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5356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356225"/>
                    </a:xfrm>
                    <a:prstGeom prst="rect">
                      <a:avLst/>
                    </a:prstGeom>
                    <a:noFill/>
                  </pic:spPr>
                </pic:pic>
              </a:graphicData>
            </a:graphic>
          </wp:anchor>
        </w:drawing>
      </w:r>
    </w:p>
    <w:p>
      <w:pPr>
        <w:spacing w:after="0" w:line="1249"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Johnson Samuel J</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4"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7"/>
          <w:szCs w:val="17"/>
          <w:color w:val="0000FF"/>
        </w:rPr>
        <w:t>77449</w:t>
      </w:r>
    </w:p>
    <w:p>
      <w:pPr>
        <w:spacing w:after="0" w:line="32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3840" w:type="dxa"/>
            <w:vAlign w:val="bottom"/>
            <w:gridSpan w:val="4"/>
          </w:tcPr>
          <w:p>
            <w:pPr>
              <w:ind w:left="60"/>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0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720" w:type="dxa"/>
            <w:vAlign w:val="bottom"/>
            <w:tcBorders>
              <w:top w:val="single" w:sz="8" w:color="0000EE"/>
            </w:tcBorders>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220" w:type="dxa"/>
            <w:vAlign w:val="bottom"/>
          </w:tcPr>
          <w:p>
            <w:pPr>
              <w:ind w:left="1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22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4"/>
        </w:trPr>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7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80" w:type="dxa"/>
            <w:vAlign w:val="bottom"/>
          </w:tcPr>
          <w:p>
            <w:pPr>
              <w:spacing w:after="0"/>
              <w:rPr>
                <w:sz w:val="7"/>
                <w:szCs w:val="7"/>
                <w:color w:val="auto"/>
              </w:rPr>
            </w:pPr>
          </w:p>
        </w:tc>
        <w:tc>
          <w:tcPr>
            <w:tcW w:w="188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188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00" w:type="dxa"/>
            <w:vAlign w:val="bottom"/>
            <w:gridSpan w:val="2"/>
            <w:vMerge w:val="continue"/>
          </w:tcPr>
          <w:p>
            <w:pPr>
              <w:spacing w:after="0"/>
              <w:rPr>
                <w:sz w:val="9"/>
                <w:szCs w:val="9"/>
                <w:color w:val="auto"/>
              </w:rPr>
            </w:pPr>
          </w:p>
        </w:tc>
        <w:tc>
          <w:tcPr>
            <w:tcW w:w="36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880" w:type="dxa"/>
            <w:vAlign w:val="bottom"/>
            <w:vMerge w:val="restart"/>
          </w:tcPr>
          <w:p>
            <w:pPr>
              <w:ind w:left="1140"/>
              <w:spacing w:after="0"/>
              <w:rPr>
                <w:sz w:val="20"/>
                <w:szCs w:val="20"/>
                <w:color w:val="auto"/>
              </w:rPr>
            </w:pPr>
            <w:r>
              <w:rPr>
                <w:rFonts w:ascii="Times New Roman" w:cs="Times New Roman" w:eastAsia="Times New Roman" w:hAnsi="Times New Roman"/>
                <w:sz w:val="17"/>
                <w:szCs w:val="17"/>
                <w:color w:val="0000FF"/>
              </w:rPr>
              <w:t>President</w:t>
            </w: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03/04/2026</w:t>
            </w: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80" w:type="dxa"/>
            <w:vAlign w:val="bottom"/>
            <w:vMerge w:val="continue"/>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92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0000FF"/>
              </w:rPr>
              <w:t>03/04/2026</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540</w:t>
            </w:r>
          </w:p>
        </w:tc>
        <w:tc>
          <w:tcPr>
            <w:tcW w:w="6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97,516</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0000FF"/>
              </w:rPr>
              <w:t>03/04/2026</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w w:val="82"/>
              </w:rPr>
              <w:t>F</w:t>
            </w:r>
          </w:p>
        </w:tc>
        <w:tc>
          <w:tcPr>
            <w:tcW w:w="220" w:type="dxa"/>
            <w:vAlign w:val="bottom"/>
          </w:tcPr>
          <w:p>
            <w:pPr>
              <w:spacing w:after="0"/>
              <w:rPr>
                <w:sz w:val="22"/>
                <w:szCs w:val="22"/>
                <w:color w:val="auto"/>
              </w:rPr>
            </w:pPr>
          </w:p>
        </w:tc>
        <w:tc>
          <w:tcPr>
            <w:tcW w:w="5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283</w:t>
            </w:r>
          </w:p>
        </w:tc>
        <w:tc>
          <w:tcPr>
            <w:tcW w:w="6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ind w:right="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59.78</w:t>
            </w: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97,233</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540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03/04/2026</w:t>
            </w:r>
          </w:p>
        </w:tc>
        <w:tc>
          <w:tcPr>
            <w:tcW w:w="1080" w:type="dxa"/>
            <w:vAlign w:val="bottom"/>
          </w:tcPr>
          <w:p>
            <w:pPr>
              <w:spacing w:after="0"/>
              <w:rPr>
                <w:sz w:val="6"/>
                <w:szCs w:val="6"/>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6"/>
                <w:szCs w:val="6"/>
                <w:color w:val="auto"/>
              </w:rPr>
            </w:pPr>
          </w:p>
        </w:tc>
        <w:tc>
          <w:tcPr>
            <w:tcW w:w="760" w:type="dxa"/>
            <w:vAlign w:val="bottom"/>
            <w:vMerge w:val="restart"/>
          </w:tcPr>
          <w:p>
            <w:pPr>
              <w:ind w:left="440"/>
              <w:spacing w:after="0" w:line="143" w:lineRule="exact"/>
              <w:rPr>
                <w:sz w:val="20"/>
                <w:szCs w:val="20"/>
                <w:color w:val="auto"/>
              </w:rPr>
            </w:pPr>
            <w:r>
              <w:rPr>
                <w:rFonts w:ascii="Times New Roman" w:cs="Times New Roman" w:eastAsia="Times New Roman" w:hAnsi="Times New Roman"/>
                <w:sz w:val="13"/>
                <w:szCs w:val="13"/>
                <w:color w:val="0000FF"/>
              </w:rPr>
              <w:t>540</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03/30/2032</w:t>
            </w: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6"/>
                <w:szCs w:val="6"/>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-2127885</wp:posOffset>
            </wp:positionV>
            <wp:extent cx="29210" cy="2132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3296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5" w:lineRule="exact"/>
        <w:rPr>
          <w:rFonts w:ascii="Times New Roman" w:cs="Times New Roman" w:eastAsia="Times New Roman" w:hAnsi="Times New Roman"/>
          <w:sz w:val="13"/>
          <w:szCs w:val="13"/>
          <w:color w:val="008000"/>
        </w:rPr>
      </w:pPr>
    </w:p>
    <w:p>
      <w:pPr>
        <w:jc w:val="both"/>
        <w:ind w:left="40" w:right="26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8,501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7,961 PRSUs were deemed earned and have fully vested as of January 30, 2026. On March 4, 2026, the Issuer's compensation committee certified achievement of certain Issuer stock price conditions as of January 30, 2026, meaning that the remaining unearned amount of this grant (i.e., 540 PRSUs) was deemed earned and vested as of the date of such certification.</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03/05/2026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2299"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2026-03-05T17:28:45Z</dcterms:created>
  <dcterms:modified xsi:type="dcterms:W3CDTF">2026-03-05T17:28:45Z</dcterms:modified>
</cp:coreProperties>
</file>