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208280</wp:posOffset>
            </wp:positionH>
            <wp:positionV relativeFrom="page">
              <wp:posOffset>346075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372110</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5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5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139700</wp:posOffset>
            </wp:positionV>
            <wp:extent cx="18091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6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144145</wp:posOffset>
            </wp:positionV>
            <wp:extent cx="180911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115" cy="8255"/>
                    </a:xfrm>
                    <a:prstGeom prst="rect">
                      <a:avLst/>
                    </a:prstGeom>
                    <a:noFill/>
                  </pic:spPr>
                </pic:pic>
              </a:graphicData>
            </a:graphic>
          </wp:anchor>
        </w:drawing>
      </w:r>
    </w:p>
    <w:p>
      <w:pPr>
        <w:spacing w:after="0" w:line="370"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6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9"/>
          <w:szCs w:val="19"/>
          <w:b w:val="1"/>
          <w:bCs w:val="1"/>
          <w:color w:val="auto"/>
        </w:rPr>
        <w:t>Pursuant to Section 13 or 15(d) of the Securities Exchange Act of 1934</w:t>
      </w:r>
    </w:p>
    <w:p>
      <w:pPr>
        <w:spacing w:after="0" w:line="17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20"/>
          <w:szCs w:val="20"/>
          <w:b w:val="1"/>
          <w:bCs w:val="1"/>
          <w:color w:val="auto"/>
        </w:rPr>
        <w:t>Date of report (Date of earliest event reported): June 2,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2143760</wp:posOffset>
            </wp:positionH>
            <wp:positionV relativeFrom="paragraph">
              <wp:posOffset>145415</wp:posOffset>
            </wp:positionV>
            <wp:extent cx="2828925" cy="10801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8925" cy="108013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8"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Academy Sports and Outdoors, Inc.</w:t>
      </w:r>
    </w:p>
    <w:p>
      <w:pPr>
        <w:spacing w:after="0" w:line="97"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140335</wp:posOffset>
            </wp:positionV>
            <wp:extent cx="18091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115"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sectPr>
      </w:pPr>
    </w:p>
    <w:p>
      <w:pPr>
        <w:spacing w:after="0" w:line="200" w:lineRule="exact"/>
        <w:rPr>
          <w:sz w:val="24"/>
          <w:szCs w:val="24"/>
          <w:color w:val="auto"/>
        </w:rPr>
      </w:pPr>
    </w:p>
    <w:p>
      <w:pPr>
        <w:spacing w:after="0" w:line="213"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4"/>
          <w:szCs w:val="14"/>
          <w:b w:val="1"/>
          <w:bCs w:val="1"/>
          <w:color w:val="auto"/>
        </w:rPr>
        <w:t>Delaware</w:t>
      </w:r>
    </w:p>
    <w:p>
      <w:pPr>
        <w:spacing w:after="0" w:line="20" w:lineRule="exact"/>
        <w:rPr>
          <w:sz w:val="24"/>
          <w:szCs w:val="24"/>
          <w:color w:val="auto"/>
        </w:rPr>
      </w:pPr>
      <w:r>
        <w:rPr>
          <w:sz w:val="24"/>
          <w:szCs w:val="24"/>
          <w:color w:val="auto"/>
        </w:rPr>
        <w:br w:type="column"/>
      </w:r>
    </w:p>
    <w:p>
      <w:pPr>
        <w:spacing w:after="0" w:line="38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001-39589</w:t>
      </w:r>
    </w:p>
    <w:p>
      <w:pPr>
        <w:spacing w:after="0" w:line="20" w:lineRule="exact"/>
        <w:rPr>
          <w:sz w:val="24"/>
          <w:szCs w:val="24"/>
          <w:color w:val="auto"/>
        </w:rPr>
      </w:pPr>
      <w:r>
        <w:rPr>
          <w:sz w:val="24"/>
          <w:szCs w:val="24"/>
          <w:color w:val="auto"/>
        </w:rPr>
        <w:br w:type="column"/>
      </w:r>
    </w:p>
    <w:p>
      <w:pPr>
        <w:spacing w:after="0" w:line="393"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85-1800912</w:t>
      </w:r>
    </w:p>
    <w:p>
      <w:pPr>
        <w:spacing w:after="0" w:line="147" w:lineRule="exact"/>
        <w:rPr>
          <w:sz w:val="24"/>
          <w:szCs w:val="24"/>
          <w:color w:val="auto"/>
        </w:rPr>
      </w:pPr>
    </w:p>
    <w:p>
      <w:pPr>
        <w:sectPr>
          <w:pgSz w:w="11900" w:h="16838" w:orient="portrait"/>
          <w:cols w:equalWidth="0" w:num="3">
            <w:col w:w="4880" w:space="720"/>
            <w:col w:w="2660" w:space="720"/>
            <w:col w:w="2180"/>
          </w:cols>
          <w:pgMar w:left="340" w:top="743" w:right="399" w:bottom="1440" w:gutter="0" w:footer="0" w:header="0"/>
          <w:type w:val="continuous"/>
        </w:sectPr>
      </w:pPr>
    </w:p>
    <w:p>
      <w:pPr>
        <w:ind w:left="1320"/>
        <w:spacing w:after="0"/>
        <w:rPr>
          <w:sz w:val="20"/>
          <w:szCs w:val="20"/>
          <w:color w:val="auto"/>
        </w:rPr>
      </w:pPr>
      <w:r>
        <w:rPr>
          <w:rFonts w:ascii="Times New Roman" w:cs="Times New Roman" w:eastAsia="Times New Roman" w:hAnsi="Times New Roman"/>
          <w:sz w:val="16"/>
          <w:szCs w:val="16"/>
          <w:color w:val="auto"/>
        </w:rPr>
        <w:t>(State or other jurisdiction of</w:t>
      </w:r>
    </w:p>
    <w:p>
      <w:pPr>
        <w:spacing w:after="0" w:line="20" w:lineRule="exact"/>
        <w:rPr>
          <w:sz w:val="24"/>
          <w:szCs w:val="24"/>
          <w:color w:val="auto"/>
        </w:rPr>
      </w:pPr>
      <w:r>
        <w:rPr>
          <w:sz w:val="24"/>
          <w:szCs w:val="24"/>
          <w:color w:val="auto"/>
        </w:rPr>
        <w:br w:type="column"/>
      </w:r>
    </w:p>
    <w:p>
      <w:pPr>
        <w:jc w:val="center"/>
        <w:ind w:right="1640"/>
        <w:spacing w:after="0"/>
        <w:rPr>
          <w:sz w:val="20"/>
          <w:szCs w:val="20"/>
          <w:color w:val="auto"/>
        </w:rPr>
      </w:pPr>
      <w:r>
        <w:rPr>
          <w:rFonts w:ascii="Times New Roman" w:cs="Times New Roman" w:eastAsia="Times New Roman" w:hAnsi="Times New Roman"/>
          <w:sz w:val="15"/>
          <w:szCs w:val="15"/>
          <w:color w:val="auto"/>
        </w:rPr>
        <w:t>(Commission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(I.R.S. Employer</w:t>
      </w:r>
    </w:p>
    <w:p>
      <w:pPr>
        <w:spacing w:after="0" w:line="127" w:lineRule="exact"/>
        <w:rPr>
          <w:sz w:val="24"/>
          <w:szCs w:val="24"/>
          <w:color w:val="auto"/>
        </w:rPr>
      </w:pPr>
    </w:p>
    <w:p>
      <w:pPr>
        <w:sectPr>
          <w:pgSz w:w="11900" w:h="16838" w:orient="portrait"/>
          <w:cols w:equalWidth="0" w:num="3">
            <w:col w:w="4800" w:space="720"/>
            <w:col w:w="2500" w:space="720"/>
            <w:col w:w="2420"/>
          </w:cols>
          <w:pgMar w:left="340" w:top="743" w:right="399" w:bottom="1440" w:gutter="0" w:footer="0" w:header="0"/>
          <w:type w:val="continuous"/>
        </w:sectPr>
      </w:pPr>
    </w:p>
    <w:p>
      <w:pPr>
        <w:ind w:left="1780"/>
        <w:spacing w:after="0"/>
        <w:rPr>
          <w:sz w:val="20"/>
          <w:szCs w:val="20"/>
          <w:color w:val="auto"/>
        </w:rPr>
      </w:pPr>
      <w:r>
        <w:rPr>
          <w:rFonts w:ascii="Times New Roman" w:cs="Times New Roman" w:eastAsia="Times New Roman" w:hAnsi="Times New Roman"/>
          <w:sz w:val="16"/>
          <w:szCs w:val="16"/>
          <w:color w:val="auto"/>
        </w:rPr>
        <w:t>incorporation )</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File No.)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Identification No.)</w:t>
      </w:r>
    </w:p>
    <w:p>
      <w:pPr>
        <w:spacing w:after="0" w:line="152" w:lineRule="exact"/>
        <w:rPr>
          <w:sz w:val="24"/>
          <w:szCs w:val="24"/>
          <w:color w:val="auto"/>
        </w:rPr>
      </w:pPr>
    </w:p>
    <w:p>
      <w:pPr>
        <w:sectPr>
          <w:pgSz w:w="11900" w:h="16838" w:orient="portrait"/>
          <w:cols w:equalWidth="0" w:num="3">
            <w:col w:w="4940" w:space="720"/>
            <w:col w:w="2300" w:space="720"/>
            <w:col w:w="2480"/>
          </w:cols>
          <w:pgMar w:left="340" w:top="743" w:right="399" w:bottom="1440" w:gutter="0" w:footer="0" w:header="0"/>
          <w:type w:val="continuous"/>
        </w:sectPr>
      </w:pPr>
    </w:p>
    <w:p>
      <w:pPr>
        <w:ind w:left="5100"/>
        <w:spacing w:after="0"/>
        <w:rPr>
          <w:sz w:val="20"/>
          <w:szCs w:val="20"/>
          <w:color w:val="auto"/>
        </w:rPr>
      </w:pPr>
      <w:r>
        <w:rPr>
          <w:rFonts w:ascii="Times New Roman" w:cs="Times New Roman" w:eastAsia="Times New Roman" w:hAnsi="Times New Roman"/>
          <w:sz w:val="16"/>
          <w:szCs w:val="16"/>
          <w:b w:val="1"/>
          <w:bCs w:val="1"/>
          <w:color w:val="auto"/>
        </w:rPr>
        <w:t>1800 North Mason Road</w:t>
      </w:r>
    </w:p>
    <w:p>
      <w:pPr>
        <w:spacing w:after="0" w:line="59" w:lineRule="exact"/>
        <w:rPr>
          <w:sz w:val="24"/>
          <w:szCs w:val="24"/>
          <w:color w:val="auto"/>
        </w:rPr>
      </w:pPr>
    </w:p>
    <w:p>
      <w:pPr>
        <w:ind w:left="5340"/>
        <w:spacing w:after="0"/>
        <w:rPr>
          <w:sz w:val="20"/>
          <w:szCs w:val="20"/>
          <w:color w:val="auto"/>
        </w:rPr>
      </w:pPr>
      <w:r>
        <w:rPr>
          <w:rFonts w:ascii="Times New Roman" w:cs="Times New Roman" w:eastAsia="Times New Roman" w:hAnsi="Times New Roman"/>
          <w:sz w:val="16"/>
          <w:szCs w:val="16"/>
          <w:b w:val="1"/>
          <w:bCs w:val="1"/>
          <w:color w:val="auto"/>
        </w:rPr>
        <w:t>Katy, Texas 77449</w:t>
      </w:r>
    </w:p>
    <w:p>
      <w:pPr>
        <w:spacing w:after="0" w:line="59" w:lineRule="exact"/>
        <w:rPr>
          <w:sz w:val="24"/>
          <w:szCs w:val="24"/>
          <w:color w:val="auto"/>
        </w:rPr>
      </w:pPr>
    </w:p>
    <w:p>
      <w:pPr>
        <w:ind w:left="4120"/>
        <w:spacing w:after="0"/>
        <w:rPr>
          <w:sz w:val="20"/>
          <w:szCs w:val="20"/>
          <w:color w:val="auto"/>
        </w:rPr>
      </w:pPr>
      <w:r>
        <w:rPr>
          <w:rFonts w:ascii="Times New Roman" w:cs="Times New Roman" w:eastAsia="Times New Roman" w:hAnsi="Times New Roman"/>
          <w:sz w:val="16"/>
          <w:szCs w:val="16"/>
          <w:i w:val="1"/>
          <w:iCs w:val="1"/>
          <w:color w:val="auto"/>
        </w:rPr>
        <w:t>(Address of principal executive offices including Zip Code)</w:t>
      </w:r>
    </w:p>
    <w:p>
      <w:pPr>
        <w:spacing w:after="0" w:line="154"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(281) 646-5200</w:t>
      </w:r>
    </w:p>
    <w:p>
      <w:pPr>
        <w:spacing w:after="0" w:line="113"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i w:val="1"/>
          <w:iCs w:val="1"/>
          <w:color w:val="auto"/>
        </w:rPr>
        <w:t>(Registrant’s telephone number, including area code)</w:t>
      </w:r>
    </w:p>
    <w:p>
      <w:pPr>
        <w:spacing w:after="0" w:line="275"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59" w:lineRule="exact"/>
        <w:rPr>
          <w:sz w:val="24"/>
          <w:szCs w:val="24"/>
          <w:color w:val="auto"/>
        </w:rPr>
      </w:pPr>
    </w:p>
    <w:p>
      <w:pPr>
        <w:jc w:val="center"/>
        <w:ind w:left="700"/>
        <w:spacing w:after="0"/>
        <w:rPr>
          <w:sz w:val="20"/>
          <w:szCs w:val="20"/>
          <w:color w:val="auto"/>
        </w:rPr>
      </w:pPr>
      <w:r>
        <w:rPr>
          <w:rFonts w:ascii="Times New Roman" w:cs="Times New Roman" w:eastAsia="Times New Roman" w:hAnsi="Times New Roman"/>
          <w:sz w:val="16"/>
          <w:szCs w:val="16"/>
          <w:i w:val="1"/>
          <w:i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2872740</wp:posOffset>
            </wp:positionH>
            <wp:positionV relativeFrom="paragraph">
              <wp:posOffset>133350</wp:posOffset>
            </wp:positionV>
            <wp:extent cx="18091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09115"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p>
      <w:pPr>
        <w:spacing w:after="0" w:line="38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59"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59" w:lineRule="exact"/>
        <w:rPr>
          <w:rFonts w:ascii="MS PGothic" w:cs="MS PGothic" w:eastAsia="MS PGothic" w:hAnsi="MS PGothic"/>
          <w:sz w:val="16"/>
          <w:szCs w:val="16"/>
          <w:color w:val="auto"/>
        </w:rPr>
      </w:pPr>
    </w:p>
    <w:p>
      <w:pPr>
        <w:ind w:left="200" w:hanging="194"/>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1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53" w:lineRule="exact"/>
        <w:rPr>
          <w:sz w:val="24"/>
          <w:szCs w:val="24"/>
          <w:color w:val="auto"/>
        </w:rPr>
      </w:pPr>
    </w:p>
    <w:tbl>
      <w:tblPr>
        <w:tblLayout w:type="fixed"/>
        <w:tblInd w:w="800" w:type="dxa"/>
        <w:tblCellMar>
          <w:top w:w="0" w:type="dxa"/>
          <w:left w:w="0" w:type="dxa"/>
          <w:bottom w:w="0" w:type="dxa"/>
          <w:right w:w="0" w:type="dxa"/>
        </w:tblCellMar>
      </w:tblPr>
      <w:tr>
        <w:trPr>
          <w:trHeight w:val="184"/>
        </w:trPr>
        <w:tc>
          <w:tcPr>
            <w:tcW w:w="840" w:type="dxa"/>
            <w:vAlign w:val="bottom"/>
          </w:tcPr>
          <w:p>
            <w:pPr>
              <w:spacing w:after="0"/>
              <w:rPr>
                <w:sz w:val="16"/>
                <w:szCs w:val="16"/>
                <w:color w:val="auto"/>
              </w:rPr>
            </w:pPr>
          </w:p>
        </w:tc>
        <w:tc>
          <w:tcPr>
            <w:tcW w:w="2860" w:type="dxa"/>
            <w:vAlign w:val="bottom"/>
            <w:gridSpan w:val="2"/>
          </w:tcPr>
          <w:p>
            <w:pPr>
              <w:jc w:val="center"/>
              <w:ind w:right="164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280" w:type="dxa"/>
            <w:vAlign w:val="bottom"/>
            <w:gridSpan w:val="3"/>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0"/>
        </w:trPr>
        <w:tc>
          <w:tcPr>
            <w:tcW w:w="8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3020" w:type="dxa"/>
            <w:vAlign w:val="bottom"/>
            <w:shd w:val="clear" w:color="auto" w:fill="000000"/>
          </w:tcPr>
          <w:p>
            <w:pPr>
              <w:spacing w:after="0" w:line="20" w:lineRule="exact"/>
              <w:rPr>
                <w:sz w:val="1"/>
                <w:szCs w:val="1"/>
                <w:color w:val="auto"/>
              </w:rPr>
            </w:pPr>
          </w:p>
        </w:tc>
      </w:tr>
      <w:tr>
        <w:trPr>
          <w:trHeight w:val="257"/>
        </w:trPr>
        <w:tc>
          <w:tcPr>
            <w:tcW w:w="3700" w:type="dxa"/>
            <w:vAlign w:val="bottom"/>
            <w:gridSpan w:val="3"/>
          </w:tcPr>
          <w:p>
            <w:pPr>
              <w:jc w:val="center"/>
              <w:ind w:right="800"/>
              <w:spacing w:after="0"/>
              <w:rPr>
                <w:sz w:val="20"/>
                <w:szCs w:val="20"/>
                <w:color w:val="auto"/>
              </w:rPr>
            </w:pPr>
            <w:r>
              <w:rPr>
                <w:rFonts w:ascii="Times New Roman" w:cs="Times New Roman" w:eastAsia="Times New Roman" w:hAnsi="Times New Roman"/>
                <w:sz w:val="16"/>
                <w:szCs w:val="16"/>
                <w:b w:val="1"/>
                <w:bCs w:val="1"/>
                <w:color w:val="auto"/>
              </w:rPr>
              <w:t>Common Stock, $0.01 par value per share</w:t>
            </w:r>
          </w:p>
        </w:tc>
        <w:tc>
          <w:tcPr>
            <w:tcW w:w="800" w:type="dxa"/>
            <w:vAlign w:val="bottom"/>
          </w:tcPr>
          <w:p>
            <w:pPr>
              <w:spacing w:after="0"/>
              <w:rPr>
                <w:sz w:val="22"/>
                <w:szCs w:val="22"/>
                <w:color w:val="auto"/>
              </w:rPr>
            </w:pPr>
          </w:p>
        </w:tc>
        <w:tc>
          <w:tcPr>
            <w:tcW w:w="2480" w:type="dxa"/>
            <w:vAlign w:val="bottom"/>
            <w:gridSpan w:val="2"/>
          </w:tcPr>
          <w:p>
            <w:pPr>
              <w:jc w:val="center"/>
              <w:ind w:right="1180"/>
              <w:spacing w:after="0"/>
              <w:rPr>
                <w:sz w:val="20"/>
                <w:szCs w:val="20"/>
                <w:color w:val="auto"/>
              </w:rPr>
            </w:pPr>
            <w:r>
              <w:rPr>
                <w:rFonts w:ascii="Times New Roman" w:cs="Times New Roman" w:eastAsia="Times New Roman" w:hAnsi="Times New Roman"/>
                <w:sz w:val="16"/>
                <w:szCs w:val="16"/>
                <w:b w:val="1"/>
                <w:bCs w:val="1"/>
                <w:color w:val="auto"/>
              </w:rPr>
              <w:t>ASO</w:t>
            </w:r>
          </w:p>
        </w:tc>
        <w:tc>
          <w:tcPr>
            <w:tcW w:w="30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195" w:lineRule="exact"/>
        <w:rPr>
          <w:sz w:val="24"/>
          <w:szCs w:val="24"/>
          <w:color w:val="auto"/>
        </w:rPr>
      </w:pPr>
    </w:p>
    <w:p>
      <w:pPr>
        <w:spacing w:after="0" w:line="273"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80" w:lineRule="exact"/>
        <w:rPr>
          <w:sz w:val="24"/>
          <w:szCs w:val="24"/>
          <w:color w:val="auto"/>
        </w:rPr>
      </w:pPr>
    </w:p>
    <w:p>
      <w:pPr>
        <w:ind w:right="500"/>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-19685</wp:posOffset>
            </wp:positionH>
            <wp:positionV relativeFrom="paragraph">
              <wp:posOffset>400050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95250</wp:posOffset>
            </wp:positionV>
            <wp:extent cx="71234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121285</wp:posOffset>
            </wp:positionV>
            <wp:extent cx="71234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23430" cy="8890"/>
                    </a:xfrm>
                    <a:prstGeom prst="rect">
                      <a:avLst/>
                    </a:prstGeom>
                    <a:noFill/>
                  </pic:spPr>
                </pic:pic>
              </a:graphicData>
            </a:graphic>
          </wp:anchor>
        </w:drawing>
      </w:r>
    </w:p>
    <w:p>
      <w:pPr>
        <w:sectPr>
          <w:pgSz w:w="11900" w:h="16838" w:orient="portrait"/>
          <w:cols w:equalWidth="0" w:num="1">
            <w:col w:w="11160"/>
          </w:cols>
          <w:pgMar w:left="340" w:top="743" w:right="39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7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June 2, 2022, Academy Sports and Outdoors, Inc. (the “Company”) held its 2022 Annual Meeting of Stockholders (the "Annual Meeting"). The final voting results for each of the matters submitted to a stockholder vote at the Annual Meeting are set forth below:</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1: Election of Directors</w:t>
      </w:r>
    </w:p>
    <w:p>
      <w:pPr>
        <w:spacing w:after="0" w:line="25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The stockholders elected two Class II directors for terms expiring at the Company's 2025 Annual Meeting of Stockholders, and subject to the election and qualification of their successors, based upon the following votes:</w:t>
      </w:r>
    </w:p>
    <w:p>
      <w:pPr>
        <w:spacing w:after="0" w:line="1" w:lineRule="exact"/>
        <w:rPr>
          <w:sz w:val="20"/>
          <w:szCs w:val="20"/>
          <w:color w:val="auto"/>
        </w:rPr>
      </w:pPr>
    </w:p>
    <w:tbl>
      <w:tblPr>
        <w:tblLayout w:type="fixed"/>
        <w:tblInd w:w="500" w:type="dxa"/>
        <w:tblCellMar>
          <w:top w:w="0" w:type="dxa"/>
          <w:left w:w="0" w:type="dxa"/>
          <w:bottom w:w="0" w:type="dxa"/>
          <w:right w:w="0" w:type="dxa"/>
        </w:tblCellMar>
      </w:tblPr>
      <w:tr>
        <w:trPr>
          <w:trHeight w:val="216"/>
        </w:trPr>
        <w:tc>
          <w:tcPr>
            <w:tcW w:w="1900" w:type="dxa"/>
            <w:vAlign w:val="bottom"/>
          </w:tcPr>
          <w:p>
            <w:pPr>
              <w:spacing w:after="0"/>
              <w:rPr>
                <w:sz w:val="18"/>
                <w:szCs w:val="18"/>
                <w:color w:val="auto"/>
              </w:rPr>
            </w:pP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1900" w:type="dxa"/>
            <w:vAlign w:val="bottom"/>
          </w:tcPr>
          <w:p>
            <w:pPr>
              <w:spacing w:after="0"/>
              <w:rPr>
                <w:sz w:val="20"/>
                <w:szCs w:val="20"/>
                <w:color w:val="auto"/>
              </w:rPr>
            </w:pP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Withheld</w:t>
            </w:r>
          </w:p>
        </w:tc>
        <w:tc>
          <w:tcPr>
            <w:tcW w:w="22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6"/>
              </w:rPr>
              <w:t>Non-Votes</w:t>
            </w:r>
          </w:p>
        </w:tc>
      </w:tr>
      <w:tr>
        <w:trPr>
          <w:trHeight w:val="27"/>
        </w:trPr>
        <w:tc>
          <w:tcPr>
            <w:tcW w:w="190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r>
      <w:tr>
        <w:trPr>
          <w:trHeight w:val="256"/>
        </w:trPr>
        <w:tc>
          <w:tcPr>
            <w:tcW w:w="19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8"/>
              </w:rPr>
              <w:t>Wendy A. Beck</w:t>
            </w: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55,185,315</w:t>
            </w:r>
          </w:p>
        </w:tc>
        <w:tc>
          <w:tcPr>
            <w:tcW w:w="140" w:type="dxa"/>
            <w:vAlign w:val="bottom"/>
          </w:tcPr>
          <w:p>
            <w:pPr>
              <w:spacing w:after="0"/>
              <w:rPr>
                <w:sz w:val="22"/>
                <w:szCs w:val="22"/>
                <w:color w:val="auto"/>
              </w:rPr>
            </w:pPr>
          </w:p>
        </w:tc>
        <w:tc>
          <w:tcPr>
            <w:tcW w:w="2220" w:type="dxa"/>
            <w:vAlign w:val="bottom"/>
          </w:tcPr>
          <w:p>
            <w:pPr>
              <w:jc w:val="right"/>
              <w:ind w:right="566"/>
              <w:spacing w:after="0"/>
              <w:rPr>
                <w:sz w:val="20"/>
                <w:szCs w:val="20"/>
                <w:color w:val="auto"/>
              </w:rPr>
            </w:pPr>
            <w:r>
              <w:rPr>
                <w:rFonts w:ascii="Times New Roman" w:cs="Times New Roman" w:eastAsia="Times New Roman" w:hAnsi="Times New Roman"/>
                <w:sz w:val="20"/>
                <w:szCs w:val="20"/>
                <w:color w:val="auto"/>
              </w:rPr>
              <w:t>12,583,781</w:t>
            </w:r>
          </w:p>
        </w:tc>
        <w:tc>
          <w:tcPr>
            <w:tcW w:w="140" w:type="dxa"/>
            <w:vAlign w:val="bottom"/>
          </w:tcPr>
          <w:p>
            <w:pPr>
              <w:spacing w:after="0"/>
              <w:rPr>
                <w:sz w:val="22"/>
                <w:szCs w:val="2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9,692,372</w:t>
            </w:r>
          </w:p>
        </w:tc>
      </w:tr>
      <w:tr>
        <w:trPr>
          <w:trHeight w:val="270"/>
        </w:trPr>
        <w:tc>
          <w:tcPr>
            <w:tcW w:w="190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Sharen J. Turney</w:t>
            </w: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67,498,529</w:t>
            </w:r>
          </w:p>
        </w:tc>
        <w:tc>
          <w:tcPr>
            <w:tcW w:w="140" w:type="dxa"/>
            <w:vAlign w:val="bottom"/>
          </w:tcPr>
          <w:p>
            <w:pPr>
              <w:spacing w:after="0"/>
              <w:rPr>
                <w:sz w:val="23"/>
                <w:szCs w:val="23"/>
                <w:color w:val="auto"/>
              </w:rPr>
            </w:pPr>
          </w:p>
        </w:tc>
        <w:tc>
          <w:tcPr>
            <w:tcW w:w="2220" w:type="dxa"/>
            <w:vAlign w:val="bottom"/>
          </w:tcPr>
          <w:p>
            <w:pPr>
              <w:jc w:val="right"/>
              <w:ind w:right="706"/>
              <w:spacing w:after="0"/>
              <w:rPr>
                <w:sz w:val="20"/>
                <w:szCs w:val="20"/>
                <w:color w:val="auto"/>
              </w:rPr>
            </w:pPr>
            <w:r>
              <w:rPr>
                <w:rFonts w:ascii="Times New Roman" w:cs="Times New Roman" w:eastAsia="Times New Roman" w:hAnsi="Times New Roman"/>
                <w:sz w:val="20"/>
                <w:szCs w:val="20"/>
                <w:color w:val="auto"/>
              </w:rPr>
              <w:t>270,567</w:t>
            </w:r>
          </w:p>
        </w:tc>
        <w:tc>
          <w:tcPr>
            <w:tcW w:w="140" w:type="dxa"/>
            <w:vAlign w:val="bottom"/>
          </w:tcPr>
          <w:p>
            <w:pPr>
              <w:spacing w:after="0"/>
              <w:rPr>
                <w:sz w:val="23"/>
                <w:szCs w:val="23"/>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7"/>
              </w:rPr>
              <w:t>9,692,372</w:t>
            </w:r>
          </w:p>
        </w:tc>
      </w:tr>
    </w:tbl>
    <w:p>
      <w:pPr>
        <w:spacing w:after="0" w:line="3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2: Ratification of Deloitte &amp; Touche LLP as the Independent Registered Public Accounting Firm for fiscal year 2022.</w:t>
      </w:r>
    </w:p>
    <w:p>
      <w:pPr>
        <w:spacing w:after="0" w:line="256" w:lineRule="exact"/>
        <w:rPr>
          <w:sz w:val="20"/>
          <w:szCs w:val="20"/>
          <w:color w:val="auto"/>
        </w:rPr>
      </w:pPr>
    </w:p>
    <w:p>
      <w:pPr>
        <w:ind w:right="20"/>
        <w:spacing w:after="0" w:line="279" w:lineRule="auto"/>
        <w:rPr>
          <w:sz w:val="20"/>
          <w:szCs w:val="20"/>
          <w:color w:val="auto"/>
        </w:rPr>
      </w:pPr>
      <w:r>
        <w:rPr>
          <w:rFonts w:ascii="Times New Roman" w:cs="Times New Roman" w:eastAsia="Times New Roman" w:hAnsi="Times New Roman"/>
          <w:sz w:val="18"/>
          <w:szCs w:val="18"/>
          <w:color w:val="auto"/>
        </w:rPr>
        <w:t>The stockholders ratified the appointment of Deloitte &amp; Touche LLP as the Company's Independent Registered Public Accounting Firm for the fiscal year 2022, based upon the following votes: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8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200" w:type="dxa"/>
            <w:vAlign w:val="bottom"/>
          </w:tcPr>
          <w:p>
            <w:pPr>
              <w:spacing w:after="0"/>
              <w:rPr>
                <w:sz w:val="18"/>
                <w:szCs w:val="18"/>
                <w:color w:val="auto"/>
              </w:rPr>
            </w:pPr>
          </w:p>
        </w:tc>
      </w:tr>
      <w:tr>
        <w:trPr>
          <w:trHeight w:val="238"/>
        </w:trPr>
        <w:tc>
          <w:tcPr>
            <w:tcW w:w="238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b w:val="1"/>
                <w:bCs w:val="1"/>
                <w:color w:val="auto"/>
                <w:w w:val="98"/>
              </w:rPr>
              <w:t>Against</w:t>
            </w: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Abstentions</w:t>
            </w:r>
          </w:p>
        </w:tc>
      </w:tr>
      <w:tr>
        <w:trPr>
          <w:trHeight w:val="27"/>
        </w:trPr>
        <w:tc>
          <w:tcPr>
            <w:tcW w:w="220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56"/>
        </w:trPr>
        <w:tc>
          <w:tcPr>
            <w:tcW w:w="2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75,010,848</w:t>
            </w:r>
          </w:p>
        </w:tc>
        <w:tc>
          <w:tcPr>
            <w:tcW w:w="180" w:type="dxa"/>
            <w:vAlign w:val="bottom"/>
          </w:tcPr>
          <w:p>
            <w:pPr>
              <w:spacing w:after="0"/>
              <w:rPr>
                <w:sz w:val="22"/>
                <w:szCs w:val="22"/>
                <w:color w:val="auto"/>
              </w:rPr>
            </w:pPr>
          </w:p>
        </w:tc>
        <w:tc>
          <w:tcPr>
            <w:tcW w:w="22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2,389,099</w:t>
            </w:r>
          </w:p>
        </w:tc>
        <w:tc>
          <w:tcPr>
            <w:tcW w:w="160" w:type="dxa"/>
            <w:vAlign w:val="bottom"/>
          </w:tcPr>
          <w:p>
            <w:pPr>
              <w:spacing w:after="0"/>
              <w:rPr>
                <w:sz w:val="22"/>
                <w:szCs w:val="22"/>
                <w:color w:val="auto"/>
              </w:rPr>
            </w:pPr>
          </w:p>
        </w:tc>
        <w:tc>
          <w:tcPr>
            <w:tcW w:w="2200" w:type="dxa"/>
            <w:vAlign w:val="bottom"/>
          </w:tcPr>
          <w:p>
            <w:pPr>
              <w:jc w:val="right"/>
              <w:ind w:right="726"/>
              <w:spacing w:after="0"/>
              <w:rPr>
                <w:sz w:val="20"/>
                <w:szCs w:val="20"/>
                <w:color w:val="auto"/>
              </w:rPr>
            </w:pPr>
            <w:r>
              <w:rPr>
                <w:rFonts w:ascii="Times New Roman" w:cs="Times New Roman" w:eastAsia="Times New Roman" w:hAnsi="Times New Roman"/>
                <w:sz w:val="20"/>
                <w:szCs w:val="20"/>
                <w:color w:val="auto"/>
              </w:rPr>
              <w:t>61,521</w:t>
            </w:r>
          </w:p>
        </w:tc>
      </w:tr>
    </w:tbl>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Proposal 3: Approval, by non-binding advisory vote, of the fiscal year 2021 compensation paid to the named executive officers.</w:t>
      </w:r>
    </w:p>
    <w:p>
      <w:pPr>
        <w:spacing w:after="0" w:line="256" w:lineRule="exact"/>
        <w:rPr>
          <w:sz w:val="20"/>
          <w:szCs w:val="20"/>
          <w:color w:val="auto"/>
        </w:rPr>
      </w:pPr>
    </w:p>
    <w:p>
      <w:pPr>
        <w:spacing w:after="0" w:line="279" w:lineRule="auto"/>
        <w:rPr>
          <w:sz w:val="20"/>
          <w:szCs w:val="20"/>
          <w:color w:val="auto"/>
        </w:rPr>
      </w:pPr>
      <w:r>
        <w:rPr>
          <w:rFonts w:ascii="Times New Roman" w:cs="Times New Roman" w:eastAsia="Times New Roman" w:hAnsi="Times New Roman"/>
          <w:sz w:val="18"/>
          <w:szCs w:val="18"/>
          <w:color w:val="auto"/>
        </w:rPr>
        <w:t>The stockholders approved, on a non-binding advisory basis, the compensation paid to the Company's named executive officers during fiscal year 2021 (commonly known as a "say-on-pay" proposal), based upon the following votes: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Votes</w:t>
            </w:r>
          </w:p>
        </w:tc>
        <w:tc>
          <w:tcPr>
            <w:tcW w:w="2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160" w:type="dxa"/>
            <w:vAlign w:val="bottom"/>
            <w:gridSpan w:val="2"/>
          </w:tcPr>
          <w:p>
            <w:pPr>
              <w:jc w:val="center"/>
              <w:ind w:right="1940"/>
              <w:spacing w:after="0"/>
              <w:rPr>
                <w:sz w:val="20"/>
                <w:szCs w:val="20"/>
                <w:color w:val="auto"/>
              </w:rPr>
            </w:pPr>
            <w:r>
              <w:rPr>
                <w:rFonts w:ascii="Times New Roman" w:cs="Times New Roman" w:eastAsia="Times New Roman" w:hAnsi="Times New Roman"/>
                <w:sz w:val="18"/>
                <w:szCs w:val="18"/>
                <w:b w:val="1"/>
                <w:bCs w:val="1"/>
                <w:color w:val="auto"/>
                <w:w w:val="98"/>
              </w:rPr>
              <w:t>Broker</w:t>
            </w:r>
          </w:p>
        </w:tc>
      </w:tr>
      <w:tr>
        <w:trPr>
          <w:trHeight w:val="238"/>
        </w:trPr>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For</w:t>
            </w:r>
          </w:p>
        </w:tc>
        <w:tc>
          <w:tcPr>
            <w:tcW w:w="236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236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Abstentions</w:t>
            </w:r>
          </w:p>
        </w:tc>
        <w:tc>
          <w:tcPr>
            <w:tcW w:w="4160" w:type="dxa"/>
            <w:vAlign w:val="bottom"/>
            <w:gridSpan w:val="2"/>
          </w:tcPr>
          <w:p>
            <w:pPr>
              <w:jc w:val="center"/>
              <w:ind w:right="1920"/>
              <w:spacing w:after="0"/>
              <w:rPr>
                <w:sz w:val="20"/>
                <w:szCs w:val="20"/>
                <w:color w:val="auto"/>
              </w:rPr>
            </w:pPr>
            <w:r>
              <w:rPr>
                <w:rFonts w:ascii="Times New Roman" w:cs="Times New Roman" w:eastAsia="Times New Roman" w:hAnsi="Times New Roman"/>
                <w:sz w:val="18"/>
                <w:szCs w:val="18"/>
                <w:b w:val="1"/>
                <w:bCs w:val="1"/>
                <w:color w:val="auto"/>
                <w:w w:val="98"/>
              </w:rPr>
              <w:t>Non-Votes</w:t>
            </w:r>
          </w:p>
        </w:tc>
      </w:tr>
      <w:tr>
        <w:trPr>
          <w:trHeight w:val="27"/>
        </w:trPr>
        <w:tc>
          <w:tcPr>
            <w:tcW w:w="220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220" w:type="dxa"/>
            <w:vAlign w:val="bottom"/>
            <w:tcBorders>
              <w:bottom w:val="single" w:sz="8" w:color="auto"/>
            </w:tcBorders>
          </w:tcPr>
          <w:p>
            <w:pPr>
              <w:spacing w:after="0"/>
              <w:rPr>
                <w:sz w:val="2"/>
                <w:szCs w:val="2"/>
                <w:color w:val="auto"/>
              </w:rPr>
            </w:pPr>
          </w:p>
        </w:tc>
        <w:tc>
          <w:tcPr>
            <w:tcW w:w="1940" w:type="dxa"/>
            <w:vAlign w:val="bottom"/>
          </w:tcPr>
          <w:p>
            <w:pPr>
              <w:spacing w:after="0"/>
              <w:rPr>
                <w:sz w:val="2"/>
                <w:szCs w:val="2"/>
                <w:color w:val="auto"/>
              </w:rPr>
            </w:pPr>
          </w:p>
        </w:tc>
      </w:tr>
      <w:tr>
        <w:trPr>
          <w:trHeight w:val="256"/>
        </w:trPr>
        <w:tc>
          <w:tcPr>
            <w:tcW w:w="220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65,666,657</w:t>
            </w:r>
          </w:p>
        </w:tc>
        <w:tc>
          <w:tcPr>
            <w:tcW w:w="160" w:type="dxa"/>
            <w:vAlign w:val="bottom"/>
          </w:tcPr>
          <w:p>
            <w:pPr>
              <w:spacing w:after="0"/>
              <w:rPr>
                <w:sz w:val="22"/>
                <w:szCs w:val="2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1,996,950</w:t>
            </w:r>
          </w:p>
        </w:tc>
        <w:tc>
          <w:tcPr>
            <w:tcW w:w="140" w:type="dxa"/>
            <w:vAlign w:val="bottom"/>
          </w:tcPr>
          <w:p>
            <w:pPr>
              <w:spacing w:after="0"/>
              <w:rPr>
                <w:sz w:val="22"/>
                <w:szCs w:val="22"/>
                <w:color w:val="auto"/>
              </w:rPr>
            </w:pPr>
          </w:p>
        </w:tc>
        <w:tc>
          <w:tcPr>
            <w:tcW w:w="2220" w:type="dxa"/>
            <w:vAlign w:val="bottom"/>
          </w:tcPr>
          <w:p>
            <w:pPr>
              <w:jc w:val="right"/>
              <w:ind w:right="706"/>
              <w:spacing w:after="0"/>
              <w:rPr>
                <w:sz w:val="20"/>
                <w:szCs w:val="20"/>
                <w:color w:val="auto"/>
              </w:rPr>
            </w:pPr>
            <w:r>
              <w:rPr>
                <w:rFonts w:ascii="Times New Roman" w:cs="Times New Roman" w:eastAsia="Times New Roman" w:hAnsi="Times New Roman"/>
                <w:sz w:val="20"/>
                <w:szCs w:val="20"/>
                <w:color w:val="auto"/>
              </w:rPr>
              <w:t>105,489</w:t>
            </w:r>
          </w:p>
        </w:tc>
        <w:tc>
          <w:tcPr>
            <w:tcW w:w="140" w:type="dxa"/>
            <w:vAlign w:val="bottom"/>
          </w:tcPr>
          <w:p>
            <w:pPr>
              <w:spacing w:after="0"/>
              <w:rPr>
                <w:sz w:val="22"/>
                <w:szCs w:val="22"/>
                <w:color w:val="auto"/>
              </w:rPr>
            </w:pPr>
          </w:p>
        </w:tc>
        <w:tc>
          <w:tcPr>
            <w:tcW w:w="2220" w:type="dxa"/>
            <w:vAlign w:val="bottom"/>
          </w:tcPr>
          <w:p>
            <w:pPr>
              <w:jc w:val="center"/>
              <w:spacing w:after="0"/>
              <w:rPr>
                <w:sz w:val="20"/>
                <w:szCs w:val="20"/>
                <w:color w:val="auto"/>
              </w:rPr>
            </w:pPr>
            <w:r>
              <w:rPr>
                <w:rFonts w:ascii="Times New Roman" w:cs="Times New Roman" w:eastAsia="Times New Roman" w:hAnsi="Times New Roman"/>
                <w:sz w:val="20"/>
                <w:szCs w:val="20"/>
                <w:color w:val="auto"/>
                <w:w w:val="99"/>
              </w:rPr>
              <w:t>9,692,372</w:t>
            </w:r>
          </w:p>
        </w:tc>
        <w:tc>
          <w:tcPr>
            <w:tcW w:w="1940" w:type="dxa"/>
            <w:vAlign w:val="bottom"/>
          </w:tcPr>
          <w:p>
            <w:pPr>
              <w:spacing w:after="0"/>
              <w:rPr>
                <w:sz w:val="22"/>
                <w:szCs w:val="22"/>
                <w:color w:val="auto"/>
              </w:rPr>
            </w:pPr>
          </w:p>
        </w:tc>
      </w:tr>
      <w:tr>
        <w:trPr>
          <w:trHeight w:val="1756"/>
        </w:trPr>
        <w:tc>
          <w:tcPr>
            <w:tcW w:w="22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22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27" w:right="339" w:bottom="1440" w:gutter="0" w:footer="0" w:header="0"/>
        </w:sectPr>
      </w:pPr>
    </w:p>
    <w:bookmarkStart w:id="2" w:name="page3"/>
    <w:bookmarkEnd w:id="2"/>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8.01</w:t>
        <w:tab/>
        <w:t>Other Events.</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Quarterly Cash Dividend</w:t>
      </w:r>
    </w:p>
    <w:p>
      <w:pPr>
        <w:spacing w:after="0" w:line="22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On June 2, 2022, the Company, issued a press release announcing that the Company’s Board of Directors (the “Board”) approved the declaration of a cash dividend with respect to the quarter ended April 30, 2022 of $0.075 per share of outstanding common stock of the Company, payable on July 14, 2022, to stockholders of record as of the close of business on June 16, 2022.</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copy of the press release is attached hereto as Exhibit 99.1 and is incorporated herein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1050290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427" w:right="459" w:bottom="1440" w:gutter="0" w:footer="0" w:header="0"/>
        </w:sectPr>
      </w:pPr>
    </w:p>
    <w:bookmarkStart w:id="3" w:name="page4"/>
    <w:bookmarkEnd w:id="3"/>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333" w:lineRule="exact"/>
        <w:rPr>
          <w:sz w:val="20"/>
          <w:szCs w:val="20"/>
          <w:color w:val="auto"/>
        </w:rPr>
      </w:pPr>
    </w:p>
    <w:p>
      <w:pPr>
        <w:ind w:left="720"/>
        <w:spacing w:after="0"/>
        <w:tabs>
          <w:tab w:leader="none" w:pos="2140" w:val="left"/>
        </w:tabs>
        <w:rPr>
          <w:sz w:val="20"/>
          <w:szCs w:val="20"/>
          <w:color w:val="auto"/>
        </w:rPr>
      </w:pPr>
      <w:r>
        <w:rPr>
          <w:rFonts w:ascii="Times New Roman" w:cs="Times New Roman" w:eastAsia="Times New Roman" w:hAnsi="Times New Roman"/>
          <w:sz w:val="18"/>
          <w:szCs w:val="18"/>
          <w:b w:val="1"/>
          <w:bCs w:val="1"/>
          <w:color w:val="auto"/>
        </w:rPr>
        <w:t>Exhibit No.</w:t>
      </w:r>
      <w:r>
        <w:rPr>
          <w:sz w:val="20"/>
          <w:szCs w:val="20"/>
          <w:color w:val="auto"/>
        </w:rPr>
        <w:tab/>
      </w:r>
      <w:r>
        <w:rPr>
          <w:rFonts w:ascii="Times New Roman" w:cs="Times New Roman" w:eastAsia="Times New Roman" w:hAnsi="Times New Roman"/>
          <w:sz w:val="17"/>
          <w:szCs w:val="17"/>
          <w:b w:val="1"/>
          <w:bCs w:val="1"/>
          <w:color w:val="auto"/>
        </w:rPr>
        <w:t>Description of Exhibit</w:t>
      </w:r>
    </w:p>
    <w:p>
      <w:pPr>
        <w:spacing w:after="0" w:line="63" w:lineRule="exact"/>
        <w:rPr>
          <w:sz w:val="20"/>
          <w:szCs w:val="20"/>
          <w:color w:val="auto"/>
        </w:rPr>
      </w:pPr>
    </w:p>
    <w:p>
      <w:pPr>
        <w:ind w:left="1460"/>
        <w:spacing w:after="0"/>
        <w:tabs>
          <w:tab w:leader="none" w:pos="2140" w:val="left"/>
        </w:tabs>
        <w:rPr>
          <w:sz w:val="20"/>
          <w:szCs w:val="20"/>
          <w:color w:val="auto"/>
        </w:rPr>
      </w:pPr>
      <w:r>
        <w:rPr>
          <w:rFonts w:ascii="Times New Roman" w:cs="Times New Roman" w:eastAsia="Times New Roman" w:hAnsi="Times New Roman"/>
          <w:sz w:val="20"/>
          <w:szCs w:val="20"/>
          <w:u w:val="single" w:color="auto"/>
          <w:color w:val="0000FF"/>
        </w:rPr>
        <w:t>99.1</w:t>
      </w:r>
      <w:r>
        <w:rPr>
          <w:sz w:val="20"/>
          <w:szCs w:val="20"/>
          <w:color w:val="auto"/>
        </w:rPr>
        <w:tab/>
      </w:r>
      <w:r>
        <w:rPr>
          <w:rFonts w:ascii="Times New Roman" w:cs="Times New Roman" w:eastAsia="Times New Roman" w:hAnsi="Times New Roman"/>
          <w:sz w:val="17"/>
          <w:szCs w:val="17"/>
          <w:color w:val="auto"/>
        </w:rPr>
        <w:t>Press Release dated June 2, 2022.</w:t>
      </w:r>
    </w:p>
    <w:p>
      <w:pPr>
        <w:spacing w:after="0" w:line="99" w:lineRule="exact"/>
        <w:rPr>
          <w:sz w:val="20"/>
          <w:szCs w:val="20"/>
          <w:color w:val="auto"/>
        </w:rPr>
      </w:pPr>
    </w:p>
    <w:p>
      <w:pPr>
        <w:ind w:left="2160" w:hanging="653"/>
        <w:spacing w:after="0"/>
        <w:tabs>
          <w:tab w:leader="none" w:pos="2160" w:val="left"/>
        </w:tabs>
        <w:numPr>
          <w:ilvl w:val="0"/>
          <w:numId w:val="2"/>
        </w:numPr>
        <w:rPr>
          <w:rFonts w:ascii="Times New Roman" w:cs="Times New Roman" w:eastAsia="Times New Roman" w:hAnsi="Times New Roman"/>
          <w:sz w:val="19"/>
          <w:szCs w:val="19"/>
          <w:color w:val="auto"/>
        </w:rPr>
      </w:pPr>
      <w:r>
        <w:rPr>
          <w:rFonts w:ascii="Times New Roman" w:cs="Times New Roman" w:eastAsia="Times New Roman" w:hAnsi="Times New Roman"/>
          <w:sz w:val="17"/>
          <w:szCs w:val="17"/>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965835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413" w:right="1440" w:bottom="1440" w:gutter="0" w:footer="0" w:header="0"/>
        </w:sectPr>
      </w:pPr>
    </w:p>
    <w:bookmarkStart w:id="4" w:name="page5"/>
    <w:bookmarkEnd w:id="4"/>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on Form 8-K on its behalf by the undersigned, thereto duly authorized.</w:t>
      </w:r>
    </w:p>
    <w:p>
      <w:pPr>
        <w:spacing w:after="0" w:line="200" w:lineRule="exact"/>
        <w:rPr>
          <w:sz w:val="20"/>
          <w:szCs w:val="20"/>
          <w:color w:val="auto"/>
        </w:rPr>
      </w:pPr>
    </w:p>
    <w:p>
      <w:pPr>
        <w:spacing w:after="0" w:line="286" w:lineRule="exact"/>
        <w:rPr>
          <w:sz w:val="20"/>
          <w:szCs w:val="20"/>
          <w:color w:val="auto"/>
        </w:rPr>
      </w:pPr>
    </w:p>
    <w:p>
      <w:pPr>
        <w:ind w:left="6300"/>
        <w:spacing w:after="0"/>
        <w:rPr>
          <w:sz w:val="20"/>
          <w:szCs w:val="20"/>
          <w:color w:val="auto"/>
        </w:rPr>
      </w:pPr>
      <w:r>
        <w:rPr>
          <w:rFonts w:ascii="Times New Roman" w:cs="Times New Roman" w:eastAsia="Times New Roman" w:hAnsi="Times New Roman"/>
          <w:sz w:val="18"/>
          <w:szCs w:val="18"/>
          <w:color w:val="auto"/>
        </w:rPr>
        <w:t>ACADEMY SPORTS AND OUTDOORS, INC.</w:t>
      </w:r>
    </w:p>
    <w:p>
      <w:pPr>
        <w:spacing w:after="0" w:line="200" w:lineRule="exact"/>
        <w:rPr>
          <w:sz w:val="20"/>
          <w:szCs w:val="20"/>
          <w:color w:val="auto"/>
        </w:rPr>
      </w:pPr>
    </w:p>
    <w:p>
      <w:pPr>
        <w:spacing w:after="0" w:line="228" w:lineRule="exact"/>
        <w:rPr>
          <w:sz w:val="20"/>
          <w:szCs w:val="20"/>
          <w:color w:val="auto"/>
        </w:rPr>
      </w:pPr>
    </w:p>
    <w:p>
      <w:pPr>
        <w:ind w:left="2840"/>
        <w:spacing w:after="0"/>
        <w:tabs>
          <w:tab w:leader="none" w:pos="6240" w:val="left"/>
          <w:tab w:leader="none" w:pos="6940" w:val="left"/>
          <w:tab w:leader="none" w:pos="7280" w:val="left"/>
        </w:tabs>
        <w:rPr>
          <w:sz w:val="20"/>
          <w:szCs w:val="20"/>
          <w:color w:val="auto"/>
        </w:rPr>
      </w:pPr>
      <w:r>
        <w:rPr>
          <w:rFonts w:ascii="Times New Roman" w:cs="Times New Roman" w:eastAsia="Times New Roman" w:hAnsi="Times New Roman"/>
          <w:sz w:val="18"/>
          <w:szCs w:val="18"/>
          <w:color w:val="auto"/>
        </w:rPr>
        <w:t>Date: June 2,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w:t>
        <w:tab/>
        <w:t>Rene G. Casares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4411345</wp:posOffset>
            </wp:positionH>
            <wp:positionV relativeFrom="paragraph">
              <wp:posOffset>34290</wp:posOffset>
            </wp:positionV>
            <wp:extent cx="272605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26055" cy="8255"/>
                    </a:xfrm>
                    <a:prstGeom prst="rect">
                      <a:avLst/>
                    </a:prstGeom>
                    <a:noFill/>
                  </pic:spPr>
                </pic:pic>
              </a:graphicData>
            </a:graphic>
          </wp:anchor>
        </w:drawing>
      </w:r>
    </w:p>
    <w:p>
      <w:pPr>
        <w:spacing w:after="0" w:line="57" w:lineRule="exact"/>
        <w:rPr>
          <w:sz w:val="20"/>
          <w:szCs w:val="20"/>
          <w:color w:val="auto"/>
        </w:rPr>
      </w:pPr>
    </w:p>
    <w:p>
      <w:pPr>
        <w:ind w:left="6260"/>
        <w:spacing w:after="0"/>
        <w:tabs>
          <w:tab w:leader="none" w:pos="6940" w:val="left"/>
        </w:tabs>
        <w:rPr>
          <w:sz w:val="20"/>
          <w:szCs w:val="20"/>
          <w:color w:val="auto"/>
        </w:rPr>
      </w:pPr>
      <w:r>
        <w:rPr>
          <w:rFonts w:ascii="Times New Roman" w:cs="Times New Roman" w:eastAsia="Times New Roman" w:hAnsi="Times New Roman"/>
          <w:sz w:val="18"/>
          <w:szCs w:val="18"/>
          <w:color w:val="auto"/>
        </w:rPr>
        <w:t>Name:</w:t>
        <w:tab/>
        <w:t>Rene G. Casares</w:t>
      </w:r>
    </w:p>
    <w:p>
      <w:pPr>
        <w:spacing w:after="0" w:line="63" w:lineRule="exact"/>
        <w:rPr>
          <w:sz w:val="20"/>
          <w:szCs w:val="20"/>
          <w:color w:val="auto"/>
        </w:rPr>
      </w:pPr>
    </w:p>
    <w:p>
      <w:pPr>
        <w:ind w:left="6260"/>
        <w:spacing w:after="0"/>
        <w:tabs>
          <w:tab w:leader="none" w:pos="69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8"/>
          <w:szCs w:val="18"/>
          <w:color w:val="auto"/>
        </w:rPr>
        <w:t>Senior Vice President, General Counsel and Secretary</w:t>
      </w:r>
    </w:p>
    <w:p>
      <w:pPr>
        <w:sectPr>
          <w:pgSz w:w="11900" w:h="16838" w:orient="portrait"/>
          <w:cols w:equalWidth="0" w:num="1">
            <w:col w:w="11240"/>
          </w:cols>
          <w:pgMar w:left="320" w:top="1440" w:right="339" w:bottom="1440" w:gutter="0" w:footer="0" w:header="0"/>
        </w:sectPr>
      </w:pPr>
    </w:p>
    <w:bookmarkStart w:id="5" w:name="page6"/>
    <w:bookmarkEnd w:id="5"/>
    <w:p>
      <w:pPr>
        <w:jc w:val="right"/>
        <w:spacing w:after="0"/>
        <w:rPr>
          <w:sz w:val="20"/>
          <w:szCs w:val="20"/>
          <w:color w:val="auto"/>
        </w:rPr>
      </w:pPr>
      <w:r>
        <w:rPr>
          <w:rFonts w:ascii="Arial" w:cs="Arial" w:eastAsia="Arial" w:hAnsi="Arial"/>
          <w:sz w:val="20"/>
          <w:szCs w:val="20"/>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2242185</wp:posOffset>
            </wp:positionH>
            <wp:positionV relativeFrom="paragraph">
              <wp:posOffset>846455</wp:posOffset>
            </wp:positionV>
            <wp:extent cx="2769235" cy="13887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69235" cy="13887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b w:val="1"/>
          <w:bCs w:val="1"/>
          <w:i w:val="1"/>
          <w:iCs w:val="1"/>
          <w:color w:val="auto"/>
        </w:rPr>
        <w:t>Academy Sports + Outdoors Announces Quarterly Cash Dividend</w:t>
      </w:r>
    </w:p>
    <w:p>
      <w:pPr>
        <w:spacing w:after="0" w:line="281" w:lineRule="exact"/>
        <w:rPr>
          <w:sz w:val="20"/>
          <w:szCs w:val="20"/>
          <w:color w:val="auto"/>
        </w:rPr>
      </w:pPr>
    </w:p>
    <w:p>
      <w:pPr>
        <w:ind w:right="20"/>
        <w:spacing w:after="0" w:line="236" w:lineRule="auto"/>
        <w:rPr>
          <w:sz w:val="20"/>
          <w:szCs w:val="20"/>
          <w:color w:val="auto"/>
        </w:rPr>
      </w:pPr>
      <w:r>
        <w:rPr>
          <w:rFonts w:ascii="Times New Roman" w:cs="Times New Roman" w:eastAsia="Times New Roman" w:hAnsi="Times New Roman"/>
          <w:sz w:val="22"/>
          <w:szCs w:val="22"/>
          <w:color w:val="auto"/>
        </w:rPr>
        <w:t>KATY, Texas, June 2, 2022 /PRNewswire -- Academy Sports and Outdoors, Inc. (the “Company” or “Academy”) (Nasdaq: ASO) announced today that its Board of Directors declared a quarterly cash dividend with respect to the fiscal quarter ended April 30, 2022 of $0.075 per share of the Company's common stock. The dividend is payable on July 14, 2022, to stockholders of record as of the close of business on June 16, 2022.</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About Academy Sports + Outdoors</w:t>
      </w:r>
    </w:p>
    <w:p>
      <w:pPr>
        <w:spacing w:after="0" w:line="18" w:lineRule="exact"/>
        <w:rPr>
          <w:sz w:val="20"/>
          <w:szCs w:val="20"/>
          <w:color w:val="auto"/>
        </w:rPr>
      </w:pPr>
    </w:p>
    <w:p>
      <w:pPr>
        <w:spacing w:after="0" w:line="245" w:lineRule="auto"/>
        <w:rPr>
          <w:sz w:val="20"/>
          <w:szCs w:val="20"/>
          <w:color w:val="auto"/>
        </w:rPr>
      </w:pPr>
      <w:r>
        <w:rPr>
          <w:rFonts w:ascii="Times New Roman" w:cs="Times New Roman" w:eastAsia="Times New Roman" w:hAnsi="Times New Roman"/>
          <w:sz w:val="21"/>
          <w:szCs w:val="21"/>
          <w:color w:val="auto"/>
        </w:rPr>
        <w:t>Academy is a leading full-line sporting goods and outdoor recreation retailer in the United States. Originally founded in 1938 as a family business in Texas, Academy has grown to 260 stores across 16 states. Academy’s mission is to provide “Fun for All”, and Academy fulfills this mission with a localized merchandising strategy and value proposition that strongly connects with a broad range of consumers. Academy’s product assortment focuses on key categories of outdoor, apparel, footwear and sports &amp; recreation through both leading national brands and a portfolio of private label brands. For more information, visit academy.com.</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u w:val="single" w:color="auto"/>
          <w:color w:val="auto"/>
        </w:rPr>
        <w:t>Forward-Looking Statements</w:t>
      </w:r>
    </w:p>
    <w:p>
      <w:pPr>
        <w:spacing w:after="0" w:line="18" w:lineRule="exact"/>
        <w:rPr>
          <w:sz w:val="20"/>
          <w:szCs w:val="20"/>
          <w:color w:val="auto"/>
        </w:rPr>
      </w:pPr>
    </w:p>
    <w:p>
      <w:pPr>
        <w:ind w:right="40"/>
        <w:spacing w:after="0"/>
        <w:rPr>
          <w:sz w:val="20"/>
          <w:szCs w:val="20"/>
          <w:color w:val="auto"/>
        </w:rPr>
      </w:pPr>
      <w:r>
        <w:rPr>
          <w:rFonts w:ascii="Times New Roman" w:cs="Times New Roman" w:eastAsia="Times New Roman" w:hAnsi="Times New Roman"/>
          <w:sz w:val="21"/>
          <w:szCs w:val="21"/>
          <w:color w:val="auto"/>
        </w:rPr>
        <w:t>This press release contains forward-looking statements within the meaning of Section 27A of the Securities Act of 1933, as amended, and Section 21E of the Securities Exchange Act of 1934, as amended. These forward-looking statements are based on Academy’s current expectations and are not guarantees of future performance. You can identify these forward-looking statements by the use of words such as “outlook,” “guidance,” “believes,” “expects,” “potential,” “continues,” “may,” “will,” “should,” “could,” “seeks,” “projects,” “predicts,” “intends,” “plans,” “estimates,” “anticipates” or the negative version of these words or other comparable words. The forward-looking statements include, among other things, statements regarding the payment of the dividend, including the timing and amount thereof, the Company’s expectations regarding its future performance, and the Company’s future financial condition to support future dividend growth and are subject to various risks, uncertainties, assumptions, or changes in circumstances that are difficult to predict or quantify. Actual results may differ materially from these expectations due to changes in global, regional, or local economic, business, competitive, market, regulatory and other factors, many of which are beyond Academy’s control. Important factors that could cause actual results to differ materially from those in the forward-looking statements are set forth in Academy’s filings with the U.S. Securities and Exchange Commission (the “SEC”), including the Company’s Annual Report on Form 10-K, under the caption “Risk Factors,” as may be updated from time to time in our periodic filings with the SEC. Any forward-looking statement in this press release speaks only as of the date of this release. Academy undertakes no obligation to publicly update or review any forward-looking statement,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1</w:t>
      </w:r>
    </w:p>
    <w:p>
      <w:pPr>
        <w:sectPr>
          <w:pgSz w:w="11900" w:h="16838" w:orient="portrait"/>
          <w:cols w:equalWidth="0" w:num="1">
            <w:col w:w="11240"/>
          </w:cols>
          <w:pgMar w:left="320" w:top="115" w:right="339" w:bottom="1440" w:gutter="0" w:footer="0" w:header="0"/>
        </w:sectPr>
      </w:pPr>
    </w:p>
    <w:bookmarkStart w:id="6" w:name="page7"/>
    <w:bookmarkEnd w:id="6"/>
    <w:p>
      <w:pPr>
        <w:jc w:val="right"/>
        <w:spacing w:after="0"/>
        <w:rPr>
          <w:sz w:val="20"/>
          <w:szCs w:val="20"/>
          <w:color w:val="auto"/>
        </w:rPr>
      </w:pPr>
      <w:r>
        <w:rPr>
          <w:rFonts w:ascii="Arial" w:cs="Arial" w:eastAsia="Arial" w:hAnsi="Arial"/>
          <w:sz w:val="20"/>
          <w:szCs w:val="20"/>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22"/>
          <w:szCs w:val="22"/>
          <w:color w:val="auto"/>
        </w:rPr>
        <w:t>whether as a result of new information, future developments or otherwise, except as may be required by any applicable securities laws.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Media inquiries: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Elise Hasbrook, Vice President Communications</w:t>
      </w:r>
    </w:p>
    <w:p>
      <w:pPr>
        <w:spacing w:after="0" w:line="230" w:lineRule="auto"/>
        <w:rPr>
          <w:sz w:val="20"/>
          <w:szCs w:val="20"/>
          <w:color w:val="auto"/>
        </w:rPr>
      </w:pPr>
      <w:r>
        <w:rPr>
          <w:rFonts w:ascii="Times New Roman" w:cs="Times New Roman" w:eastAsia="Times New Roman" w:hAnsi="Times New Roman"/>
          <w:sz w:val="22"/>
          <w:szCs w:val="22"/>
          <w:color w:val="auto"/>
        </w:rPr>
        <w:t>281.253.8200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elise.hasbrook@academy.com</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Investor inquiries: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Matt Hodges, Vice President Investor Relations</w:t>
      </w:r>
    </w:p>
    <w:p>
      <w:pPr>
        <w:spacing w:after="0" w:line="230" w:lineRule="auto"/>
        <w:rPr>
          <w:sz w:val="20"/>
          <w:szCs w:val="20"/>
          <w:color w:val="auto"/>
        </w:rPr>
      </w:pPr>
      <w:r>
        <w:rPr>
          <w:rFonts w:ascii="Times New Roman" w:cs="Times New Roman" w:eastAsia="Times New Roman" w:hAnsi="Times New Roman"/>
          <w:sz w:val="22"/>
          <w:szCs w:val="22"/>
          <w:color w:val="auto"/>
        </w:rPr>
        <w:t>281.646.5362</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matt.hodges@academy.com</w:t>
      </w:r>
    </w:p>
    <w:p>
      <w:pPr>
        <w:spacing w:after="0" w:line="200" w:lineRule="exact"/>
        <w:rPr>
          <w:sz w:val="20"/>
          <w:szCs w:val="20"/>
          <w:color w:val="auto"/>
        </w:rPr>
      </w:pP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2</w:t>
      </w:r>
    </w:p>
    <w:sectPr>
      <w:pgSz w:w="11900" w:h="16838" w:orient="portrait"/>
      <w:cols w:equalWidth="0" w:num="1">
        <w:col w:w="11240"/>
      </w:cols>
      <w:pgMar w:left="320" w:top="11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0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2022-06-02T15:57:22Z</dcterms:created>
  <dcterms:modified xsi:type="dcterms:W3CDTF">2022-06-02T15:57:22Z</dcterms:modified>
</cp:coreProperties>
</file>