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0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00" w:type="dxa"/>
            <w:vAlign w:val="bottom"/>
            <w:gridSpan w:val="17"/>
            <w:vMerge w:val="restart"/>
          </w:tcPr>
          <w:p>
            <w:pPr>
              <w:jc w:val="center"/>
              <w:ind w:lef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6"/>
                </w:rPr>
                <w:t>Johnson Samuel J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ASO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EVP, Retail Operations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ACADEMY SPORTS AND OUTDOORS,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NORTH MASON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KATY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77449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20" w:type="dxa"/>
            <w:vAlign w:val="bottom"/>
            <w:gridSpan w:val="11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2,479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50.42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-6553835</wp:posOffset>
            </wp:positionV>
            <wp:extent cx="7045325" cy="6732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73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5"/>
        <w:spacing w:after="0" w:line="27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June 9, 2023, the Reporting Person was granted 4,958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These time-based options vest in three equal installments beginning on the first anniversary of the grant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Gary Holland,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</wp:posOffset>
            </wp:positionV>
            <wp:extent cx="131508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-13335</wp:posOffset>
            </wp:positionV>
            <wp:extent cx="1625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10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4445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82299" TargetMode="External"/><Relationship Id="rId9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2023-06-13T07:13:32Z</dcterms:created>
  <dcterms:modified xsi:type="dcterms:W3CDTF">2023-06-13T07:13:32Z</dcterms:modified>
</cp:coreProperties>
</file>