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49530</wp:posOffset>
            </wp:positionV>
            <wp:extent cx="4140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3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left="3840" w:right="1400" w:hanging="2647"/>
        <w:spacing w:after="0" w:line="280" w:lineRule="auto"/>
        <w:tabs>
          <w:tab w:leader="none" w:pos="13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May 3, 2025</w:t>
      </w: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380" w:hanging="193"/>
        <w:spacing w:after="0"/>
        <w:tabs>
          <w:tab w:leader="none" w:pos="1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r>
        <w:rPr>
          <w:rFonts w:ascii="Times New Roman" w:cs="Times New Roman" w:eastAsia="Times New Roman" w:hAnsi="Times New Roman"/>
          <w:sz w:val="16"/>
          <w:szCs w:val="16"/>
          <w:color w:val="auto"/>
        </w:rPr>
        <w:t>.</w:t>
      </w:r>
    </w:p>
    <w:p>
      <w:pPr>
        <w:spacing w:after="0" w:line="14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81915</wp:posOffset>
            </wp:positionV>
            <wp:extent cx="4140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4020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184785</wp:posOffset>
            </wp:positionV>
            <wp:extent cx="1371600"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5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8" w:lineRule="exact"/>
        <w:rPr>
          <w:sz w:val="24"/>
          <w:szCs w:val="24"/>
          <w:color w:val="auto"/>
        </w:rPr>
      </w:pPr>
    </w:p>
    <w:p>
      <w:pPr>
        <w:ind w:left="1820"/>
        <w:spacing w:after="0"/>
        <w:tabs>
          <w:tab w:leader="none" w:pos="82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85-1800912</w:t>
      </w:r>
    </w:p>
    <w:p>
      <w:pPr>
        <w:spacing w:after="0" w:line="127" w:lineRule="exact"/>
        <w:rPr>
          <w:sz w:val="24"/>
          <w:szCs w:val="24"/>
          <w:color w:val="auto"/>
        </w:rPr>
      </w:pPr>
    </w:p>
    <w:p>
      <w:pPr>
        <w:ind w:left="1200"/>
        <w:spacing w:after="0"/>
        <w:tabs>
          <w:tab w:leader="none" w:pos="8100" w:val="left"/>
        </w:tabs>
        <w:rPr>
          <w:sz w:val="20"/>
          <w:szCs w:val="20"/>
          <w:color w:val="auto"/>
        </w:rPr>
      </w:pPr>
      <w:r>
        <w:rPr>
          <w:rFonts w:ascii="Times New Roman" w:cs="Times New Roman" w:eastAsia="Times New Roman" w:hAnsi="Times New Roman"/>
          <w:sz w:val="16"/>
          <w:szCs w:val="16"/>
          <w:i w:val="1"/>
          <w:iCs w:val="1"/>
          <w:color w:val="auto"/>
        </w:rPr>
        <w:t>(State or other jurisdiction of</w:t>
      </w:r>
      <w:r>
        <w:rPr>
          <w:sz w:val="20"/>
          <w:szCs w:val="20"/>
          <w:color w:val="auto"/>
        </w:rPr>
        <w:tab/>
      </w:r>
      <w:r>
        <w:rPr>
          <w:rFonts w:ascii="Times New Roman" w:cs="Times New Roman" w:eastAsia="Times New Roman" w:hAnsi="Times New Roman"/>
          <w:sz w:val="16"/>
          <w:szCs w:val="16"/>
          <w:i w:val="1"/>
          <w:iCs w:val="1"/>
          <w:color w:val="auto"/>
        </w:rPr>
        <w:t>(I.R.S. Employer</w:t>
      </w:r>
    </w:p>
    <w:p>
      <w:pPr>
        <w:spacing w:after="0" w:line="86" w:lineRule="exact"/>
        <w:rPr>
          <w:sz w:val="24"/>
          <w:szCs w:val="24"/>
          <w:color w:val="auto"/>
        </w:rPr>
      </w:pPr>
    </w:p>
    <w:p>
      <w:pPr>
        <w:ind w:left="1140"/>
        <w:spacing w:after="0"/>
        <w:tabs>
          <w:tab w:leader="none" w:pos="8040" w:val="left"/>
        </w:tabs>
        <w:rPr>
          <w:sz w:val="20"/>
          <w:szCs w:val="20"/>
          <w:color w:val="auto"/>
        </w:rPr>
      </w:pPr>
      <w:r>
        <w:rPr>
          <w:rFonts w:ascii="Times New Roman" w:cs="Times New Roman" w:eastAsia="Times New Roman" w:hAnsi="Times New Roman"/>
          <w:sz w:val="16"/>
          <w:szCs w:val="16"/>
          <w:i w:val="1"/>
          <w:iCs w:val="1"/>
          <w:color w:val="auto"/>
        </w:rPr>
        <w:t>incorporation or organization)</w:t>
      </w:r>
      <w:r>
        <w:rPr>
          <w:sz w:val="20"/>
          <w:szCs w:val="20"/>
          <w:color w:val="auto"/>
        </w:rPr>
        <w:tab/>
      </w:r>
      <w:r>
        <w:rPr>
          <w:rFonts w:ascii="Times New Roman" w:cs="Times New Roman" w:eastAsia="Times New Roman" w:hAnsi="Times New Roman"/>
          <w:sz w:val="15"/>
          <w:szCs w:val="15"/>
          <w:i w:val="1"/>
          <w:iCs w:val="1"/>
          <w:color w:val="auto"/>
        </w:rPr>
        <w:t>Identification No.)</w:t>
      </w:r>
    </w:p>
    <w:p>
      <w:pPr>
        <w:spacing w:after="0" w:line="11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4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3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3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3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12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3240" w:type="dxa"/>
            <w:vAlign w:val="bottom"/>
            <w:gridSpan w:val="2"/>
          </w:tcPr>
          <w:p>
            <w:pPr>
              <w:jc w:val="center"/>
              <w:ind w:right="2040"/>
              <w:spacing w:after="0"/>
              <w:rPr>
                <w:sz w:val="20"/>
                <w:szCs w:val="20"/>
                <w:color w:val="auto"/>
              </w:rPr>
            </w:pPr>
            <w:r>
              <w:rPr>
                <w:rFonts w:ascii="Times New Roman" w:cs="Times New Roman" w:eastAsia="Times New Roman" w:hAnsi="Times New Roman"/>
                <w:sz w:val="16"/>
                <w:szCs w:val="16"/>
                <w:b w:val="1"/>
                <w:bCs w:val="1"/>
                <w:i w:val="1"/>
                <w:iCs w:val="1"/>
                <w:color w:val="auto"/>
              </w:rPr>
              <w:t>Title of each class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Trading Symbol(s)</w:t>
            </w:r>
          </w:p>
        </w:tc>
        <w:tc>
          <w:tcPr>
            <w:tcW w:w="116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4000" w:type="dxa"/>
            <w:vAlign w:val="bottom"/>
            <w:gridSpan w:val="3"/>
          </w:tcPr>
          <w:p>
            <w:pPr>
              <w:jc w:val="center"/>
              <w:ind w:right="128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ASO</w:t>
            </w:r>
          </w:p>
        </w:tc>
        <w:tc>
          <w:tcPr>
            <w:tcW w:w="11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ind w:right="220"/>
        <w:spacing w:after="0" w:line="22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right="10160" w:firstLine="2"/>
        <w:spacing w:after="0" w:line="217" w:lineRule="exact"/>
        <w:tabs>
          <w:tab w:leader="none" w:pos="20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1" w:lineRule="exact"/>
        <w:rPr>
          <w:sz w:val="24"/>
          <w:szCs w:val="24"/>
          <w:color w:val="auto"/>
        </w:rPr>
      </w:pPr>
    </w:p>
    <w:p>
      <w:pPr>
        <w:ind w:right="40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jc w:val="both"/>
        <w:ind w:right="2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ind w:left="65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2" w:lineRule="exact"/>
        <w:rPr>
          <w:sz w:val="24"/>
          <w:szCs w:val="24"/>
          <w:color w:val="auto"/>
        </w:rPr>
      </w:pPr>
    </w:p>
    <w:p>
      <w:pPr>
        <w:jc w:val="both"/>
        <w:ind w:right="220"/>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June 3, 2025, Academy Sports and Outdoors, Inc. had 66,475,746 shares of common stock, par value $0.01 per share, outstanding.</w:t>
      </w:r>
    </w:p>
    <w:p>
      <w:pPr>
        <w:sectPr>
          <w:pgSz w:w="11900" w:h="16838" w:orient="portrait"/>
          <w:cols w:equalWidth="0" w:num="1">
            <w:col w:w="11020"/>
          </w:cols>
          <w:pgMar w:left="540" w:top="581" w:right="33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ind w:left="109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58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PART I. FINANCIAL INFORMATION</w:t>
            </w:r>
          </w:p>
        </w:tc>
        <w:tc>
          <w:tcPr>
            <w:tcW w:w="520" w:type="dxa"/>
            <w:vAlign w:val="bottom"/>
            <w:tcBorders>
              <w:right w:val="single" w:sz="8" w:color="CCEEFF"/>
            </w:tcBorders>
            <w:gridSpan w:val="2"/>
            <w:shd w:val="clear" w:color="auto" w:fill="CCEEFF"/>
          </w:tcPr>
          <w:p>
            <w:pPr>
              <w:jc w:val="center"/>
              <w:ind w:left="230"/>
              <w:spacing w:after="0" w:line="15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10"/>
          </w:tcPr>
          <w:p>
            <w:pPr>
              <w:spacing w:after="0" w:line="183"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500" w:type="dxa"/>
            <w:vAlign w:val="bottom"/>
            <w:gridSpan w:val="5"/>
          </w:tcPr>
          <w:p>
            <w:pPr>
              <w:spacing w:after="0"/>
              <w:rPr>
                <w:sz w:val="15"/>
                <w:szCs w:val="15"/>
                <w:color w:val="auto"/>
              </w:rPr>
            </w:pPr>
          </w:p>
        </w:tc>
        <w:tc>
          <w:tcPr>
            <w:tcW w:w="520" w:type="dxa"/>
            <w:vAlign w:val="bottom"/>
            <w:gridSpan w:val="2"/>
          </w:tcPr>
          <w:p>
            <w:pPr>
              <w:jc w:val="center"/>
              <w:ind w:left="230"/>
              <w:spacing w:after="0" w:line="183"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16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17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160" w:type="dxa"/>
            <w:vAlign w:val="bottom"/>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30</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8260" w:type="dxa"/>
            <w:vAlign w:val="bottom"/>
            <w:gridSpan w:val="9"/>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260" w:type="dxa"/>
            <w:vAlign w:val="bottom"/>
            <w:gridSpan w:val="9"/>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436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60" w:type="dxa"/>
            <w:vAlign w:val="bottom"/>
            <w:gridSpan w:val="3"/>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6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178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840" w:type="dxa"/>
            <w:vAlign w:val="bottom"/>
            <w:gridSpan w:val="7"/>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9000" w:type="dxa"/>
            <w:vAlign w:val="bottom"/>
            <w:gridSpan w:val="12"/>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May 3, 2025</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February 1, 2025</w:t>
            </w:r>
          </w:p>
        </w:tc>
        <w:tc>
          <w:tcPr>
            <w:tcW w:w="240" w:type="dxa"/>
            <w:vAlign w:val="bottom"/>
          </w:tcPr>
          <w:p>
            <w:pPr>
              <w:spacing w:after="0"/>
              <w:rPr>
                <w:sz w:val="20"/>
                <w:szCs w:val="20"/>
                <w:color w:val="auto"/>
              </w:rPr>
            </w:pPr>
          </w:p>
        </w:tc>
        <w:tc>
          <w:tcPr>
            <w:tcW w:w="138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May 4, 2024</w:t>
            </w:r>
          </w:p>
        </w:tc>
        <w:tc>
          <w:tcPr>
            <w:tcW w:w="0" w:type="dxa"/>
            <w:vAlign w:val="bottom"/>
          </w:tcPr>
          <w:p>
            <w:pPr>
              <w:spacing w:after="0"/>
              <w:rPr>
                <w:sz w:val="1"/>
                <w:szCs w:val="1"/>
                <w:color w:val="auto"/>
              </w:rPr>
            </w:pPr>
          </w:p>
        </w:tc>
      </w:tr>
      <w:tr>
        <w:trPr>
          <w:trHeight w:val="216"/>
        </w:trPr>
        <w:tc>
          <w:tcPr>
            <w:tcW w:w="6180" w:type="dxa"/>
            <w:vAlign w:val="bottom"/>
            <w:tcBorders>
              <w:top w:val="single" w:sz="8" w:color="CCEEFF"/>
            </w:tcBorders>
            <w:shd w:val="clear" w:color="auto" w:fill="CCEEFF"/>
          </w:tcPr>
          <w:p>
            <w:pPr>
              <w:ind w:left="27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285,104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288,929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378,145</w:t>
            </w: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Accounts receivable - less allowance for doubtful accounts of $2,584, $2,752 and</w:t>
            </w:r>
          </w:p>
        </w:tc>
        <w:tc>
          <w:tcPr>
            <w:tcW w:w="2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16,869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16,759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13,700</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$1,817, respectively</w:t>
            </w: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Merchandise inventories, net</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1,560,035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1,308,840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1,356,811</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59,757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95,621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68,320</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1,921,765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1,710,149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1,816,976</w:t>
            </w:r>
          </w:p>
        </w:tc>
        <w:tc>
          <w:tcPr>
            <w:tcW w:w="0" w:type="dxa"/>
            <w:vAlign w:val="bottom"/>
          </w:tcPr>
          <w:p>
            <w:pPr>
              <w:spacing w:after="0"/>
              <w:rPr>
                <w:sz w:val="1"/>
                <w:szCs w:val="1"/>
                <w:color w:val="auto"/>
              </w:rPr>
            </w:pPr>
          </w:p>
        </w:tc>
      </w:tr>
      <w:tr>
        <w:trPr>
          <w:trHeight w:val="94"/>
        </w:trPr>
        <w:tc>
          <w:tcPr>
            <w:tcW w:w="6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551,184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456,594</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RIGHT-OF-USE ASSETS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1,210,516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1,173,075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1,116,222</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TRADE NAME</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579,165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579,007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578,364</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861,920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55,873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51,676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43,803</w:t>
            </w:r>
          </w:p>
        </w:tc>
        <w:tc>
          <w:tcPr>
            <w:tcW w:w="0" w:type="dxa"/>
            <w:vAlign w:val="bottom"/>
          </w:tcPr>
          <w:p>
            <w:pPr>
              <w:spacing w:after="0"/>
              <w:rPr>
                <w:sz w:val="1"/>
                <w:szCs w:val="1"/>
                <w:color w:val="auto"/>
              </w:rPr>
            </w:pPr>
          </w:p>
        </w:tc>
      </w:tr>
      <w:tr>
        <w:trPr>
          <w:trHeight w:val="225"/>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5,180,423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4,900,963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4,873,879</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1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12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849,554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612,424</w:t>
            </w:r>
          </w:p>
        </w:tc>
        <w:tc>
          <w:tcPr>
            <w:tcW w:w="8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735,563</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272,362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230,323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262,048</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Current lease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137,979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121,465</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3,000</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21"/>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1,262,895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960,881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1,122,076</w:t>
            </w:r>
          </w:p>
        </w:tc>
        <w:tc>
          <w:tcPr>
            <w:tcW w:w="0" w:type="dxa"/>
            <w:vAlign w:val="bottom"/>
          </w:tcPr>
          <w:p>
            <w:pPr>
              <w:spacing w:after="0"/>
              <w:rPr>
                <w:sz w:val="1"/>
                <w:szCs w:val="1"/>
                <w:color w:val="auto"/>
              </w:rPr>
            </w:pPr>
          </w:p>
        </w:tc>
      </w:tr>
      <w:tr>
        <w:trPr>
          <w:trHeight w:val="96"/>
        </w:trPr>
        <w:tc>
          <w:tcPr>
            <w:tcW w:w="6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DEBT, NET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482,209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482,679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484,084</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LEASE LIABILITIES</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1,210,095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1,185,741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1,098,799</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 NET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255,912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253,069</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22,080</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10,812</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10,330</w:t>
            </w:r>
          </w:p>
        </w:tc>
        <w:tc>
          <w:tcPr>
            <w:tcW w:w="0" w:type="dxa"/>
            <w:vAlign w:val="bottom"/>
          </w:tcPr>
          <w:p>
            <w:pPr>
              <w:spacing w:after="0"/>
              <w:rPr>
                <w:sz w:val="1"/>
                <w:szCs w:val="1"/>
                <w:color w:val="auto"/>
              </w:rPr>
            </w:pPr>
          </w:p>
        </w:tc>
      </w:tr>
      <w:tr>
        <w:trPr>
          <w:trHeight w:val="221"/>
        </w:trPr>
        <w:tc>
          <w:tcPr>
            <w:tcW w:w="6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3,233,191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2,896,928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2,968,358</w:t>
            </w:r>
          </w:p>
        </w:tc>
        <w:tc>
          <w:tcPr>
            <w:tcW w:w="0" w:type="dxa"/>
            <w:vAlign w:val="bottom"/>
          </w:tcPr>
          <w:p>
            <w:pPr>
              <w:spacing w:after="0"/>
              <w:rPr>
                <w:sz w:val="1"/>
                <w:szCs w:val="1"/>
                <w:color w:val="auto"/>
              </w:rPr>
            </w:pPr>
          </w:p>
        </w:tc>
      </w:tr>
      <w:tr>
        <w:trPr>
          <w:trHeight w:val="76"/>
        </w:trPr>
        <w:tc>
          <w:tcPr>
            <w:tcW w:w="61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10)</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6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180" w:type="dxa"/>
            <w:vAlign w:val="bottom"/>
            <w:shd w:val="clear" w:color="auto" w:fill="CCEEFF"/>
          </w:tcPr>
          <w:p>
            <w:pPr>
              <w:ind w:left="240"/>
              <w:spacing w:after="0" w:line="169" w:lineRule="exact"/>
              <w:rPr>
                <w:sz w:val="20"/>
                <w:szCs w:val="20"/>
                <w:color w:val="auto"/>
              </w:rPr>
            </w:pPr>
            <w:r>
              <w:rPr>
                <w:rFonts w:ascii="Times New Roman" w:cs="Times New Roman" w:eastAsia="Times New Roman" w:hAnsi="Times New Roman"/>
                <w:sz w:val="17"/>
                <w:szCs w:val="17"/>
                <w:color w:val="auto"/>
              </w:rPr>
              <w:t>Preferred stock, $0.01 par value, authorized 50,000,000 shares; none issued and</w:t>
            </w:r>
          </w:p>
        </w:tc>
        <w:tc>
          <w:tcPr>
            <w:tcW w:w="2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outstanding</w:t>
            </w:r>
          </w:p>
        </w:tc>
        <w:tc>
          <w:tcPr>
            <w:tcW w:w="24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Common stock, $0.01 par value, authorized 300,000,000 shares; 66,466,377;</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80" w:type="dxa"/>
            <w:vAlign w:val="bottom"/>
          </w:tcPr>
          <w:p>
            <w:pPr>
              <w:ind w:left="240"/>
              <w:spacing w:after="0" w:line="171" w:lineRule="exact"/>
              <w:rPr>
                <w:sz w:val="20"/>
                <w:szCs w:val="20"/>
                <w:color w:val="auto"/>
              </w:rPr>
            </w:pPr>
            <w:r>
              <w:rPr>
                <w:rFonts w:ascii="Times New Roman" w:cs="Times New Roman" w:eastAsia="Times New Roman" w:hAnsi="Times New Roman"/>
                <w:sz w:val="17"/>
                <w:szCs w:val="17"/>
                <w:color w:val="auto"/>
              </w:rPr>
              <w:t>68,332,961 and 72,590,530 issued and outstanding as of May 3, 2025, February 1,</w:t>
            </w:r>
          </w:p>
        </w:tc>
        <w:tc>
          <w:tcPr>
            <w:tcW w:w="2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662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0" w:type="dxa"/>
            <w:vAlign w:val="bottom"/>
          </w:tcPr>
          <w:p>
            <w:pPr>
              <w:spacing w:after="0"/>
              <w:rPr>
                <w:sz w:val="1"/>
                <w:szCs w:val="1"/>
                <w:color w:val="auto"/>
              </w:rPr>
            </w:pPr>
          </w:p>
        </w:tc>
      </w:tr>
      <w:tr>
        <w:trPr>
          <w:trHeight w:val="226"/>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2025 and May 4, 2024, respectively.</w:t>
            </w: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244,388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247,094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240,559</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Retained earnings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1,702,182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1,756,258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1,664,236</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1,947,232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2,004,035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1,905,521</w:t>
            </w:r>
          </w:p>
        </w:tc>
        <w:tc>
          <w:tcPr>
            <w:tcW w:w="0" w:type="dxa"/>
            <w:vAlign w:val="bottom"/>
          </w:tcPr>
          <w:p>
            <w:pPr>
              <w:spacing w:after="0"/>
              <w:rPr>
                <w:sz w:val="1"/>
                <w:szCs w:val="1"/>
                <w:color w:val="auto"/>
              </w:rPr>
            </w:pPr>
          </w:p>
        </w:tc>
      </w:tr>
      <w:tr>
        <w:trPr>
          <w:trHeight w:val="225"/>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5,180,423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4,900,963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4,873,879</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6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60" w:type="dxa"/>
            <w:vAlign w:val="bottom"/>
          </w:tcPr>
          <w:p>
            <w:pPr>
              <w:spacing w:after="0"/>
              <w:rPr>
                <w:sz w:val="19"/>
                <w:szCs w:val="19"/>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1,351,409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1,364,220</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892,540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908,427</w:t>
            </w:r>
          </w:p>
        </w:tc>
      </w:tr>
      <w:tr>
        <w:trPr>
          <w:trHeight w:val="223"/>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458,869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455,793</w:t>
            </w:r>
          </w:p>
        </w:tc>
      </w:tr>
      <w:tr>
        <w:trPr>
          <w:trHeight w:val="270"/>
        </w:trPr>
        <w:tc>
          <w:tcPr>
            <w:tcW w:w="6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389,604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353,410</w:t>
            </w:r>
          </w:p>
        </w:tc>
      </w:tr>
      <w:tr>
        <w:trPr>
          <w:trHeight w:val="22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69,265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102,383</w:t>
            </w:r>
          </w:p>
        </w:tc>
      </w:tr>
      <w:tr>
        <w:trPr>
          <w:trHeight w:val="270"/>
        </w:trPr>
        <w:tc>
          <w:tcPr>
            <w:tcW w:w="69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w:t>
            </w:r>
          </w:p>
        </w:tc>
      </w:tr>
      <w:tr>
        <w:trPr>
          <w:trHeight w:val="223"/>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97,652</w:t>
            </w:r>
          </w:p>
        </w:tc>
      </w:tr>
      <w:tr>
        <w:trPr>
          <w:trHeight w:val="270"/>
        </w:trPr>
        <w:tc>
          <w:tcPr>
            <w:tcW w:w="6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21,187</w:t>
            </w:r>
          </w:p>
        </w:tc>
      </w:tr>
      <w:tr>
        <w:trPr>
          <w:trHeight w:val="22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76,465</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6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73,993</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1"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9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1, 2025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68,333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247,094</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$ 1,756,258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2,004,035</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46,084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46,084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7,542</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(2,081)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(8,436)</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(99,900)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(3,301)</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1,488</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1,488</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$0.13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(8,716)</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3,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66,466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244,388</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$ 1,702,182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1,947,232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9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7"/>
        </w:trPr>
        <w:tc>
          <w:tcPr>
            <w:tcW w:w="608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1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6"/>
        </w:trPr>
        <w:tc>
          <w:tcPr>
            <w:tcW w:w="60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3,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242,098</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$ 1,711,809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1,954,650</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76,465</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(115,856)</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$0.11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4,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240,559</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$ 1,664,236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1,905,521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60" w:type="dxa"/>
            <w:vAlign w:val="bottom"/>
          </w:tcPr>
          <w:p>
            <w:pPr>
              <w:spacing w:after="0"/>
              <w:rPr>
                <w:sz w:val="19"/>
                <w:szCs w:val="19"/>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09"/>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46,084</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76,465</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28,853</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lease expense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 compensation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deferred loan and other costs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r>
      <w:tr>
        <w:trPr>
          <w:trHeight w:val="230"/>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(251,195)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(162,652)</w:t>
            </w: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w:t>
            </w: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231,762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186,475</w:t>
            </w: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20,819</w:t>
            </w: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21,922</w:t>
            </w:r>
          </w:p>
        </w:tc>
      </w:tr>
      <w:tr>
        <w:trPr>
          <w:trHeight w:val="229"/>
        </w:trPr>
        <w:tc>
          <w:tcPr>
            <w:tcW w:w="7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8,361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3"/>
        </w:trPr>
        <w:tc>
          <w:tcPr>
            <w:tcW w:w="7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157,472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199,677</w:t>
            </w:r>
          </w:p>
        </w:tc>
      </w:tr>
      <w:tr>
        <w:trPr>
          <w:trHeight w:val="88"/>
        </w:trPr>
        <w:tc>
          <w:tcPr>
            <w:tcW w:w="7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(50,830)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(32,227)</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62"/>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(50,988)</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(32,355)</w:t>
            </w:r>
          </w:p>
        </w:tc>
      </w:tr>
      <w:tr>
        <w:trPr>
          <w:trHeight w:val="230"/>
        </w:trPr>
        <w:tc>
          <w:tcPr>
            <w:tcW w:w="7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29"/>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Revolving Credit Facilities</w:t>
            </w:r>
          </w:p>
        </w:tc>
        <w:tc>
          <w:tcPr>
            <w:tcW w:w="2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Term Loan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issuance fees</w:t>
            </w:r>
          </w:p>
        </w:tc>
        <w:tc>
          <w:tcPr>
            <w:tcW w:w="2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r>
      <w:tr>
        <w:trPr>
          <w:trHeight w:val="229"/>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(122,425)</w:t>
            </w:r>
          </w:p>
        </w:tc>
      </w:tr>
      <w:tr>
        <w:trPr>
          <w:trHeight w:val="230"/>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(8,182)</w:t>
            </w:r>
          </w:p>
        </w:tc>
      </w:tr>
      <w:tr>
        <w:trPr>
          <w:trHeight w:val="223"/>
        </w:trPr>
        <w:tc>
          <w:tcPr>
            <w:tcW w:w="7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(110,309)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(137,097)</w:t>
            </w:r>
          </w:p>
        </w:tc>
      </w:tr>
      <w:tr>
        <w:trPr>
          <w:trHeight w:val="34"/>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30,225</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288,929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347,920</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285,104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378,145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3,358</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54"/>
        </w:trPr>
        <w:tc>
          <w:tcPr>
            <w:tcW w:w="7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17,641</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39,569</w:t>
            </w: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 w:name="page7"/>
    <w:bookmarkEnd w:id="6"/>
    <w:p>
      <w:pPr>
        <w:jc w:val="center"/>
        <w:ind w:right="80"/>
        <w:spacing w:after="0" w:line="278" w:lineRule="auto"/>
        <w:rPr>
          <w:sz w:val="20"/>
          <w:szCs w:val="20"/>
          <w:color w:val="auto"/>
        </w:rPr>
      </w:pPr>
      <w:r>
        <w:rPr>
          <w:rFonts w:ascii="Times New Roman" w:cs="Times New Roman" w:eastAsia="Times New Roman" w:hAnsi="Times New Roman"/>
          <w:sz w:val="18"/>
          <w:szCs w:val="18"/>
          <w:b w:val="1"/>
          <w:bCs w:val="1"/>
          <w:color w:val="auto"/>
        </w:rPr>
        <w:t>ACADEMY SPORTS AND OUTDOORS, INC.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indirect subsidiary, Academy, Ltd., a Texas limited partnership doing business as “Academy Sports + Outdoors”, or Academy, Ltd. All of the Company's sales and business operations occur at Academy, Ltd., and Academy, Ltd. is also the borrower and/or issuer of the Company's long-term debt and the lessee of the Company’s facilities. Our fiscal year represents the 52 or 53 weeks ending on the Saturday closest to January 31.</w:t>
      </w:r>
    </w:p>
    <w:p>
      <w:pPr>
        <w:spacing w:after="0" w:line="133"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leading full-line sporting goods and outdoor recreational products retailer in the United States in terms of net sales. As of May 3, 2025, we operated 303 “Academy Sports + Outdoors” retail locations in 21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February 1, 2025, as filed with the Securities and Exchange Commission (the “SEC”) on March 20, 2025 (the “Annual Report”). The information furnished herein reflects all normal recurring adjustments which are, in the opinion of management, necessary for a fair presentation of the results for the interim periods presented. The results of operations for the thirteen weeks ended May 3, 2025 are not necessarily indicative of the results that will be realized for the fiscal year ending January 31, 2026 or any other period. The balance sheet as of February 1, 2025 has been derived from our audited financial statements as of that date. For further information, refer to our audited financial statements and notes thereto included in the Annual Report.</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ASO, Inc. and its subsidiaries, New Academy Holding Company, LLC (“NAHC”), Academy Managing Co., L.L.C., Associated Investors, L.L.C., Academy, Ltd., the Company’s operating company, Academy International Limited, Mason Creek Insurance Co., LLC, and Academy Procurement Co., LLC. NAHC, Academy Managing Co., LLC, and Associated Investors, LLC are intermediate holding companies. 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7" w:name="page8"/>
    <w:bookmarkEnd w:id="7"/>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weeks ended May 4, 2024 for comparability purposes. This reclassification is in divisional presentation only and did not impact the overall net sales balances previously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On November 29, 2023, the Board of Directors approved a share repurchase program (the “2023 Share Repurchase Program”) under which the Company was authorized to purchase up to $600 million of its outstanding shares during the three-year period ending November 29, 2026.</w:t>
      </w:r>
    </w:p>
    <w:p>
      <w:pPr>
        <w:spacing w:after="0" w:line="108"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On December 4, 2024, the Company’s Board of Directors approved a new share repurchase program under which the Company is authorized to purchase up to $700 million of its outstanding shares during the three-year period ending December 4, 2027 (the “2024 Share Repurchase Program”), and which replaces the 2023 Share Repurchase Program. Under the 2024 Share Repurchase Program, repurchases can be made using a variety of methods, which may include open market purchases, block trades, accelerated share repurchase programs, privately negotiated transactions and/or Rule 10b5-1 or other non-discretionary trading plans, all in compliance with the rules of the SEC and other applicable legal requirements. The timing, manner, price and amount of any common share repurchases under the 2024 Share Repurchase Program will be determined by the Company in its discretion and will depend on a variety of factors, including legal requirements, price, economic and market conditions. The 2024 Share Repurchase Program does not obligate the Company to acquire any particular number of common shares, and the program may be suspended, extended, modified or discontinued at any time.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periods presented:</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64"/>
        </w:trPr>
        <w:tc>
          <w:tcPr>
            <w:tcW w:w="7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8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2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2,080,772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1,983,967</w:t>
            </w:r>
          </w:p>
        </w:tc>
      </w:tr>
      <w:tr>
        <w:trPr>
          <w:trHeight w:val="30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Aggregate amount paid (amounts in millions)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bl>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Includes estimated excise tax fees of $0.9 million and $1.1 million for the thirteen weeks ended May 3, 2025 and May 4, 2024, respectively.</w:t>
      </w:r>
    </w:p>
    <w:p>
      <w:pPr>
        <w:spacing w:after="0" w:line="289" w:lineRule="exact"/>
        <w:rPr>
          <w:sz w:val="20"/>
          <w:szCs w:val="20"/>
          <w:color w:val="auto"/>
        </w:rPr>
      </w:pPr>
    </w:p>
    <w:p>
      <w:pPr>
        <w:jc w:val="both"/>
        <w:ind w:firstLine="401"/>
        <w:spacing w:after="0" w:line="261" w:lineRule="auto"/>
        <w:rPr>
          <w:sz w:val="20"/>
          <w:szCs w:val="20"/>
          <w:color w:val="auto"/>
        </w:rPr>
      </w:pPr>
      <w:r>
        <w:rPr>
          <w:rFonts w:ascii="Times New Roman" w:cs="Times New Roman" w:eastAsia="Times New Roman" w:hAnsi="Times New Roman"/>
          <w:sz w:val="18"/>
          <w:szCs w:val="18"/>
          <w:color w:val="auto"/>
        </w:rPr>
        <w:t>The Company allocates the excess of the repurchase price over the par value of shares acquired to Retained Earnings and Additional Paid-in Capital. The portion allocated to Additional Paid-in Capital is determined by dividing the number of shares to be retired by the number of shares issued multiplied by the balance of Additional Paid-in Capital as of the retirement date. As of May 3, 2025, we had $536.5 million available for share repurchases pursuant to the 2024 Share Repurchase Program.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previously entered into a supply chain financing arrangement with a third-party financial institution, whereby certain suppliers have the ability to settle outstanding payment obligations earlier than the due date required by our original supplier terms. Subsequently, we settle invoices with the financial institution within 45 days, which approximates our original supplier terms. The Company does not have an economic interest in suppliers’ voluntary participation, does not provide any guarantees or pledge assets under these arrangements, and our rights and obligations to our suppliers, including amounts due, are not impacted. Our liability associated with these arrangements, which is presented within accounts payable on the Consolidated Balance Sheets, was $3.3 million, $3.8 million and $3.2 million as of May 3, 2025, February 1, 2025 and May 4, 2024,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Adopted</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is intended to enhance the disclosures on reportable segments. Under this pronouncement, all public entities (including those with a single reporting segment) are required to include incremental disclosures related to a public entity’s reportable segments, including disclosure of disaggregated expense information that is regularly provided to the chief operating decision maker and included within each reported measure of segment profit or loss. The new guidance is effective for fiscal years beginning after December 15, 2023, and interim periods within fiscal years beginning after December 15, 2024, and should be adopted retrospectively. The Company adopted ASU 2023-07 retrospectively, effective February 1, 2025. The adoption of this standard did not have a material impact on the Company’s consolidated financial statement disclosures.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25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pronouncement is intended to enhance the transparency and decision usefulness of income tax disclosures and establishes new income tax disclosure requirements, including requiring disaggregation of a reporting entity’s effective tax rate reconciliation and disaggregation of the income taxes paid based on the applicable tax jurisdiction. The new guidance is effective for the annual periods for fiscal years beginning after December 15, 2024 and should be applied on a prospective basis with the option to apply the standard retrospectively. The Company is currently evaluating the impact that the adoption of this accounting standard will have on its annual financial disclosures.</w:t>
      </w:r>
    </w:p>
    <w:p>
      <w:pPr>
        <w:spacing w:after="0" w:line="20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November 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 (DISE</w:t>
      </w:r>
      <w:r>
        <w:rPr>
          <w:rFonts w:ascii="Times New Roman" w:cs="Times New Roman" w:eastAsia="Times New Roman" w:hAnsi="Times New Roman"/>
          <w:sz w:val="18"/>
          <w:szCs w:val="18"/>
          <w:color w:val="auto"/>
        </w:rPr>
        <w:t>), which requires disclosures about specific types of expenses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captions presented on the face of the income statement as well as disclosures about selling expenses. The new guidance is effective for annual reporting periods beginning after December 15, 2026, and interim reporting periods beginning after December 15, 2027. The requirements will be applied prospectively with the option for retrospective application. The Company is evaluating the impact of adopting ASU 2024-03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3. Net Sales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40" w:type="dxa"/>
            <w:vAlign w:val="bottom"/>
          </w:tcPr>
          <w:p>
            <w:pPr>
              <w:spacing w:after="0"/>
              <w:rPr>
                <w:sz w:val="19"/>
                <w:szCs w:val="19"/>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09"/>
        </w:trPr>
        <w:tc>
          <w:tcPr>
            <w:tcW w:w="73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Outdoors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372,029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379,024</w:t>
            </w:r>
          </w:p>
        </w:tc>
      </w:tr>
      <w:tr>
        <w:trPr>
          <w:trHeight w:val="22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Sports and recreation</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345,589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347,743</w:t>
            </w: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Apparel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332,644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334,349</w:t>
            </w:r>
          </w:p>
        </w:tc>
      </w:tr>
      <w:tr>
        <w:trPr>
          <w:trHeight w:val="230"/>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Footwear</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292,691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292,441</w:t>
            </w:r>
          </w:p>
        </w:tc>
      </w:tr>
      <w:tr>
        <w:trPr>
          <w:trHeight w:val="223"/>
        </w:trPr>
        <w:tc>
          <w:tcPr>
            <w:tcW w:w="7360" w:type="dxa"/>
            <w:vAlign w:val="bottom"/>
          </w:tcPr>
          <w:p>
            <w:pPr>
              <w:ind w:left="440"/>
              <w:spacing w:after="0" w:line="223" w:lineRule="exact"/>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1,342,953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1,353,557</w:t>
            </w:r>
          </w:p>
        </w:tc>
      </w:tr>
      <w:tr>
        <w:trPr>
          <w:trHeight w:val="230"/>
        </w:trPr>
        <w:tc>
          <w:tcPr>
            <w:tcW w:w="7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w:t>
            </w:r>
          </w:p>
        </w:tc>
      </w:tr>
      <w:tr>
        <w:trPr>
          <w:trHeight w:val="223"/>
        </w:trPr>
        <w:tc>
          <w:tcPr>
            <w:tcW w:w="7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1,351,409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1,364,220</w:t>
            </w:r>
          </w:p>
        </w:tc>
      </w:tr>
      <w:tr>
        <w:trPr>
          <w:trHeight w:val="21"/>
        </w:trPr>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500" w:hanging="248"/>
        <w:spacing w:after="0" w:line="261" w:lineRule="auto"/>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weeks ended May 4, 2024, for comparability purposes. This reclassification is in divisional presentation only and did not impact the overall net sales balances previously disclosed.</w:t>
      </w:r>
    </w:p>
    <w:p>
      <w:pPr>
        <w:ind w:left="460" w:hanging="208"/>
        <w:spacing w:after="0"/>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E-commerce sales consisted of 10.0% and 9.0% for the thirteen weeks ended May 3, 2025 and May 4, 2024, respectively.</w:t>
      </w:r>
    </w:p>
    <w:p>
      <w:pPr>
        <w:spacing w:after="0" w:line="14" w:lineRule="exact"/>
        <w:rPr>
          <w:rFonts w:ascii="Times New Roman" w:cs="Times New Roman" w:eastAsia="Times New Roman" w:hAnsi="Times New Roman"/>
          <w:sz w:val="14"/>
          <w:szCs w:val="14"/>
          <w:color w:val="auto"/>
        </w:rPr>
      </w:pPr>
    </w:p>
    <w:p>
      <w:pPr>
        <w:ind w:left="460" w:hanging="208"/>
        <w:spacing w:after="0"/>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sales consisted primarily of the gift card breakage income, credit card bounties and royalties, shipping income, sales return allowance and other items.</w:t>
      </w:r>
    </w:p>
    <w:p>
      <w:pPr>
        <w:spacing w:after="0" w:line="168"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The gift cards we sell have no expiration dates. A liability for gift cards, which is recorded in accrued expenses and other liabilities on our Consolidated Balance Sheets, is established at the time of sale and revenues are recognized as the gift cards are redeemed in stores or on our website. Based on historical gift card redemption patterns, we believe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129"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7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6"/>
        </w:trPr>
        <w:tc>
          <w:tcPr>
            <w:tcW w:w="7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40" w:type="dxa"/>
            <w:vAlign w:val="bottom"/>
          </w:tcPr>
          <w:p>
            <w:pPr>
              <w:spacing w:after="0"/>
              <w:rPr>
                <w:sz w:val="19"/>
                <w:szCs w:val="19"/>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23"/>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96,469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94,155</w:t>
            </w:r>
          </w:p>
        </w:tc>
      </w:tr>
      <w:tr>
        <w:trPr>
          <w:trHeight w:val="223"/>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18,020</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Redeemed</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(28,545)</w:t>
            </w:r>
          </w:p>
        </w:tc>
      </w:tr>
      <w:tr>
        <w:trPr>
          <w:trHeight w:val="230"/>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85,312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26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7"/>
        </w:trPr>
        <w:tc>
          <w:tcPr>
            <w:tcW w:w="26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60" w:type="dxa"/>
            <w:vAlign w:val="bottom"/>
          </w:tcPr>
          <w:p>
            <w:pPr>
              <w:spacing w:after="0"/>
              <w:rPr>
                <w:sz w:val="22"/>
                <w:szCs w:val="22"/>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Facility, due March 2029</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November 2027</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91,000</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 Notes, due November 2027</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491,000</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on Term Loan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482,209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482,679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484,084</w:t>
            </w:r>
          </w:p>
        </w:tc>
      </w:tr>
      <w:tr>
        <w:trPr>
          <w:trHeight w:val="20"/>
        </w:trPr>
        <w:tc>
          <w:tcPr>
            <w:tcW w:w="2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Deferred loan costs are related to the Term Loan and Notes.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ABL Facility</w:t>
      </w:r>
    </w:p>
    <w:p>
      <w:pPr>
        <w:spacing w:after="0" w:line="175" w:lineRule="exact"/>
        <w:rPr>
          <w:sz w:val="20"/>
          <w:szCs w:val="20"/>
          <w:color w:val="auto"/>
        </w:rPr>
      </w:pPr>
    </w:p>
    <w:p>
      <w:pPr>
        <w:jc w:val="both"/>
        <w:ind w:left="260" w:firstLine="324"/>
        <w:spacing w:after="0" w:line="273" w:lineRule="auto"/>
        <w:rPr>
          <w:sz w:val="20"/>
          <w:szCs w:val="20"/>
          <w:color w:val="auto"/>
        </w:rPr>
      </w:pPr>
      <w:r>
        <w:rPr>
          <w:rFonts w:ascii="Times New Roman" w:cs="Times New Roman" w:eastAsia="Times New Roman" w:hAnsi="Times New Roman"/>
          <w:sz w:val="17"/>
          <w:szCs w:val="17"/>
          <w:color w:val="auto"/>
        </w:rPr>
        <w:t>Academy Ltd., as borrower, and certain wholly-owned subsidiaries, as guarantors, entered into an asset-based revolving credit facility, dated July 2, 2025, with JPMorgan Chase Bank, N.A., as the administrative agent and collateral agent and other lenders party thereto (as amended to date, the “ABL Facility”). Borrowings under the ABL Facility bear interest, at our election, at either (1) Adjusted Term SOFR plus a margin of 1.25% to 1.75%, or (2) a base rate equal to the highest of (a) the federal funds rate plus 0.50%, (b) JPMorgan Chase Bank, N.A.'s “prime rate”, or (c) the one-month Adjusted Term SOFR rate plus 1.00%, plus a margin of 0.25% to 0.75%. The ABL Facility also provides a fee applicable to the unused commitments of 0.375%. The terms and conditions of the ABL Facility also require that we prepay outstanding loans under the ABL Facility under certain circumstances. As of May 3, 2025, no future prepayments of outstanding loans have been triggered under the terms and conditions of the ABL Facility.</w:t>
      </w:r>
    </w:p>
    <w:p>
      <w:pPr>
        <w:spacing w:after="0" w:line="117"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As of May 3, 2025, we had outstanding letters of credit of approximately $10.8 million, all of which were issued under the ABL Facility, and we had no borrowings outstanding, leaving an available borrowing capacity under the ABL Facility of $989.2 million.</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w:t>
      </w:r>
    </w:p>
    <w:p>
      <w:pPr>
        <w:spacing w:after="0" w:line="175" w:lineRule="exact"/>
        <w:rPr>
          <w:sz w:val="20"/>
          <w:szCs w:val="20"/>
          <w:color w:val="auto"/>
        </w:rPr>
      </w:pPr>
    </w:p>
    <w:p>
      <w:pPr>
        <w:jc w:val="both"/>
        <w:ind w:left="260" w:firstLine="324"/>
        <w:spacing w:after="0" w:line="255" w:lineRule="auto"/>
        <w:rPr>
          <w:sz w:val="20"/>
          <w:szCs w:val="20"/>
          <w:color w:val="auto"/>
        </w:rPr>
      </w:pPr>
      <w:r>
        <w:rPr>
          <w:rFonts w:ascii="Times New Roman" w:cs="Times New Roman" w:eastAsia="Times New Roman" w:hAnsi="Times New Roman"/>
          <w:sz w:val="18"/>
          <w:szCs w:val="18"/>
          <w:color w:val="auto"/>
        </w:rPr>
        <w:t>Academy, Ltd., as borrower, and certain wholly-owned subsidiaries, as guarantors, entered into a seven-year $400.0 million senior secured term loan with Credit Suisse AG, Cayman Island Branch, as the administrative agent and collateral agent and the several other lenders and parties named therein on November 6, 2020 (as amended to date, the “Term Loan”). Borrowings under the Term Loan bear interest, at our election, at either (1) Adjusted Term SOFR with a floor of 0.75% rate plus a margin of 3.75% or (2) a base rate equal to the highest of (a) the federal funds rate plus 0.50%,</w:t>
      </w:r>
    </w:p>
    <w:p>
      <w:pPr>
        <w:spacing w:after="0" w:line="3" w:lineRule="exact"/>
        <w:rPr>
          <w:sz w:val="20"/>
          <w:szCs w:val="20"/>
          <w:color w:val="auto"/>
        </w:rPr>
      </w:pPr>
    </w:p>
    <w:p>
      <w:pPr>
        <w:jc w:val="both"/>
        <w:ind w:left="260" w:hanging="8"/>
        <w:spacing w:after="0" w:line="253" w:lineRule="auto"/>
        <w:tabs>
          <w:tab w:leader="none" w:pos="5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“prime rate” announced by the administrative agent, or (c) the one-month Adjusted Term SOFR with a floor of 0.75% rate, plus a margin of 3.75%. As of May 3, 2025, the weighted average interest rate was 8.18%, with interest payable monthly. Quarterly principal payments of $750.0 thousand are required through September 30, 2027 and borrowings mature on November 6, 2027. As of May 3, 2025, no prepayment was due under the terms and conditions of the Term Loan.</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On November 6, 2020, Academy, Ltd., issued $400.0 million of 6.00% senior secured notes which are due November 15, 2027 (the “Notes”), pursuant to an indenture, dated as of November 6, 2020, with the subsidiary guarantors named therein and The Bank of New York Mellon Trust Company, N.A., as trustee and collateral agent. The Notes require cash interest payments semi-annually in arrears on May 15 and November 15 of each year at a rate of 6.00% per year, which commenced on May 15, 2021.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1" w:name="page12"/>
    <w:bookmarkEnd w:id="11"/>
    <w:p>
      <w:pPr>
        <w:jc w:val="both"/>
        <w:ind w:left="2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ABL Facility, Term Loan and Notes agreements contain covenants, including, among other things, covenants that may restrict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May 3, 2025.</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71" w:lineRule="exact"/>
        <w:rPr>
          <w:sz w:val="20"/>
          <w:szCs w:val="20"/>
          <w:color w:val="auto"/>
        </w:rPr>
      </w:pPr>
    </w:p>
    <w:p>
      <w:pPr>
        <w:ind w:left="900" w:hanging="324"/>
        <w:spacing w:after="0" w:line="281"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1" w:lineRule="exact"/>
        <w:rPr>
          <w:rFonts w:ascii="Times New Roman" w:cs="Times New Roman" w:eastAsia="Times New Roman" w:hAnsi="Times New Roman"/>
          <w:sz w:val="18"/>
          <w:szCs w:val="18"/>
          <w:color w:val="auto"/>
        </w:rPr>
      </w:pPr>
    </w:p>
    <w:p>
      <w:pPr>
        <w:jc w:val="both"/>
        <w:ind w:left="900" w:hanging="324"/>
        <w:spacing w:after="0" w:line="266"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3" w:lineRule="exact"/>
        <w:rPr>
          <w:rFonts w:ascii="Times New Roman" w:cs="Times New Roman" w:eastAsia="Times New Roman" w:hAnsi="Times New Roman"/>
          <w:sz w:val="18"/>
          <w:szCs w:val="18"/>
          <w:color w:val="auto"/>
        </w:rPr>
      </w:pPr>
    </w:p>
    <w:p>
      <w:pPr>
        <w:ind w:left="900" w:hanging="324"/>
        <w:spacing w:after="0" w:line="282"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08"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29"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As of May 3, 2025, February 1, 2025 and May 4, 2024, we held $227.5 million, $256.9 million and $324.0 million in money market funds, respectively.</w:t>
      </w:r>
    </w:p>
    <w:p>
      <w:pPr>
        <w:spacing w:after="0" w:line="122"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May 3, 2025, February 1, 2025, and May 4, 2024, the estimated fair value of the Term Loan and Notes was $0.5 billion, $0.5 billion and $0.5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69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8"/>
        </w:trPr>
        <w:tc>
          <w:tcPr>
            <w:tcW w:w="2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4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60" w:type="dxa"/>
            <w:vAlign w:val="bottom"/>
          </w:tcPr>
          <w:p>
            <w:pPr>
              <w:spacing w:after="0"/>
              <w:rPr>
                <w:sz w:val="24"/>
                <w:szCs w:val="24"/>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23"/>
        </w:trPr>
        <w:tc>
          <w:tcPr>
            <w:tcW w:w="260" w:type="dxa"/>
            <w:vAlign w:val="bottom"/>
          </w:tcPr>
          <w:p>
            <w:pPr>
              <w:spacing w:after="0"/>
              <w:rPr>
                <w:sz w:val="19"/>
                <w:szCs w:val="19"/>
                <w:color w:val="auto"/>
              </w:rPr>
            </w:pPr>
          </w:p>
        </w:tc>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692,337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663,869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589,714</w:t>
            </w:r>
          </w:p>
        </w:tc>
      </w:tr>
      <w:tr>
        <w:trPr>
          <w:trHeight w:val="229"/>
        </w:trPr>
        <w:tc>
          <w:tcPr>
            <w:tcW w:w="2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745,463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703,039</w:t>
            </w:r>
          </w:p>
        </w:tc>
      </w:tr>
      <w:tr>
        <w:trPr>
          <w:trHeight w:val="230"/>
        </w:trPr>
        <w:tc>
          <w:tcPr>
            <w:tcW w:w="2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439,776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402,803</w:t>
            </w:r>
          </w:p>
        </w:tc>
      </w:tr>
      <w:tr>
        <w:trPr>
          <w:trHeight w:val="229"/>
        </w:trPr>
        <w:tc>
          <w:tcPr>
            <w:tcW w:w="2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41,591</w:t>
            </w:r>
          </w:p>
        </w:tc>
      </w:tr>
      <w:tr>
        <w:trPr>
          <w:trHeight w:val="229"/>
        </w:trPr>
        <w:tc>
          <w:tcPr>
            <w:tcW w:w="2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w:t>
            </w:r>
          </w:p>
        </w:tc>
      </w:tr>
      <w:tr>
        <w:trPr>
          <w:trHeight w:val="223"/>
        </w:trPr>
        <w:tc>
          <w:tcPr>
            <w:tcW w:w="2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1,955,685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1,899,631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1,752,066</w:t>
            </w:r>
          </w:p>
        </w:tc>
      </w:tr>
      <w:tr>
        <w:trPr>
          <w:trHeight w:val="229"/>
        </w:trPr>
        <w:tc>
          <w:tcPr>
            <w:tcW w:w="2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(1,404,501)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(1,295,472)</w:t>
            </w:r>
          </w:p>
        </w:tc>
      </w:tr>
      <w:tr>
        <w:trPr>
          <w:trHeight w:val="223"/>
        </w:trPr>
        <w:tc>
          <w:tcPr>
            <w:tcW w:w="2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551,184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525,136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456,594</w:t>
            </w:r>
          </w:p>
        </w:tc>
      </w:tr>
      <w:tr>
        <w:trPr>
          <w:trHeight w:val="20"/>
        </w:trPr>
        <w:tc>
          <w:tcPr>
            <w:tcW w:w="2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Depreciation expense was $30.2 million and $28.9 million in the thirteen weeks ended May 3, 2025 and May 4, 2024,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80" w:type="dxa"/>
            <w:vAlign w:val="bottom"/>
          </w:tcPr>
          <w:p>
            <w:pPr>
              <w:spacing w:after="0"/>
              <w:rPr>
                <w:sz w:val="20"/>
                <w:szCs w:val="20"/>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44,384</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use tax</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18,083</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16,002</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89,426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84,725</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31,234</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23,657</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3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23,793</w:t>
            </w:r>
          </w:p>
        </w:tc>
      </w:tr>
      <w:tr>
        <w:trPr>
          <w:trHeight w:val="248"/>
        </w:trPr>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262,048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75"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Omnibus Incentive Plan (the “2020 Omnibus Incentive Plan”), which became effective on October 1, 2020. The plan reserved a total of 5,150,000 shares of common stock for issuance. On June 1, 2023, our stockholders approved the First Amendment to the 2020 Omnibus Incentive Plan, which, among other changes, increased the number of shares available for issuance thereunder by 2,600,000 shares. As of May 3, 2025, there were 3,585,481 shares that were authorized and available for future issuance under the 2020 Omnibus Incentive Plan.</w:t>
      </w:r>
    </w:p>
    <w:p>
      <w:pPr>
        <w:spacing w:after="0" w:line="129"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Employee Stock Purchase Plan (the “ESPP”), which became effective on October 1, 2020. We have reserved a total of 2,000,000 shares and as of May 3, 2025, there were 1,475,080 shares authorized and available for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3" w:name="page14"/>
    <w:bookmarkEnd w:id="13"/>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Equity compensation expense was $7.5 million and $6.1 million for the thirteen weeks ended May 3, 2025 and May 4, 2024, respectively. These costs are included in selling, general and administrative expenses in the Consolidated Statements of Income. For all Awards granted in 2023 and 2024, for team members that meet the age and service requirement for retirement eligibility (as defined in the award agreement), such Awards do not require the continued employment of the team member for vesting eligibility. In such cases, expensing of Awards is accelerated through the retirement eligibility date.</w:t>
      </w:r>
    </w:p>
    <w:p>
      <w:pPr>
        <w:spacing w:after="0" w:line="3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Award grants during the thirteen weeks ended May 3, 2025:</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7"/>
                <w:szCs w:val="17"/>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r>
      <w:tr>
        <w:trPr>
          <w:trHeight w:val="241"/>
        </w:trPr>
        <w:tc>
          <w:tcPr>
            <w:tcW w:w="6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0"/>
                <w:szCs w:val="20"/>
                <w:color w:val="auto"/>
              </w:rPr>
            </w:pPr>
          </w:p>
        </w:tc>
        <w:tc>
          <w:tcPr>
            <w:tcW w:w="2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Stock Units</w:t>
            </w:r>
          </w:p>
        </w:tc>
      </w:tr>
      <w:tr>
        <w:trPr>
          <w:trHeight w:val="225"/>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4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154,907</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Award</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Award</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3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 as of May 3, 2025:</w:t>
      </w:r>
    </w:p>
    <w:p>
      <w:pPr>
        <w:spacing w:after="0" w:line="266"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7"/>
                <w:szCs w:val="17"/>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1"/>
                <w:szCs w:val="21"/>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2,162,463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40,245,750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11,624,262</w:t>
            </w: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life remaining in years</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Common Share</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3"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weighted average common shares outstanding and basic and diluted earnings per common share are calculated as follows (amounts in thousands except per share amounts):</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20" w:type="dxa"/>
            <w:vAlign w:val="bottom"/>
          </w:tcPr>
          <w:p>
            <w:pPr>
              <w:spacing w:after="0"/>
              <w:rPr>
                <w:sz w:val="19"/>
                <w:szCs w:val="19"/>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46,084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76,465</w:t>
            </w:r>
          </w:p>
        </w:tc>
      </w:tr>
      <w:tr>
        <w:trPr>
          <w:trHeight w:val="88"/>
        </w:trPr>
        <w:tc>
          <w:tcPr>
            <w:tcW w:w="7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73,993</w:t>
            </w:r>
          </w:p>
        </w:tc>
      </w:tr>
      <w:tr>
        <w:trPr>
          <w:trHeight w:val="230"/>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Service Restricted Units and Service Restricted Stock Units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Performance Restricted Stock Units and Liquidity Event Restricted Units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30"/>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Performance Unit Options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ESPP Shares</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08"/>
        </w:trPr>
        <w:tc>
          <w:tcPr>
            <w:tcW w:w="7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r>
      <w:tr>
        <w:trPr>
          <w:trHeight w:val="238"/>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stock-based awards excluded from diluted calculation</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0" w:lineRule="exact"/>
        <w:rPr>
          <w:sz w:val="20"/>
          <w:szCs w:val="20"/>
          <w:color w:val="auto"/>
        </w:rPr>
      </w:pPr>
    </w:p>
    <w:p>
      <w:pPr>
        <w:sectPr>
          <w:pgSz w:w="11900" w:h="16838" w:orient="portrait"/>
          <w:cols w:equalWidth="0" w:num="1">
            <w:col w:w="11160"/>
          </w:cols>
          <w:pgMar w:left="40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9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Technology Related and Other Commitments</w:t>
      </w:r>
    </w:p>
    <w:p>
      <w:pPr>
        <w:spacing w:after="0" w:line="175"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As of May 3, 2025, we have obligations under technology-related, construction and other contractual commitments in the amount of $131.5 million. Of such commitments, approximately $75.4 million is payable in the next 12 months.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7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w:t>
      </w:r>
    </w:p>
    <w:p>
      <w:pPr>
        <w:spacing w:after="0" w:line="13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developments during the fiscal quarter ended May 3, 2025,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 and Intellectual Property Commitments</w:t>
      </w:r>
    </w:p>
    <w:p>
      <w:pPr>
        <w:spacing w:after="0" w:line="17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May 3, 2025, we have $8.4 million in related commitments through 2027, of which $5.9 million is payable in the next 12 months.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75" w:lineRule="exact"/>
        <w:rPr>
          <w:sz w:val="20"/>
          <w:szCs w:val="20"/>
          <w:color w:val="auto"/>
        </w:rPr>
      </w:pPr>
    </w:p>
    <w:p>
      <w:pPr>
        <w:ind w:left="500" w:right="140" w:firstLine="324"/>
        <w:spacing w:after="0" w:line="256" w:lineRule="auto"/>
        <w:rPr>
          <w:sz w:val="20"/>
          <w:szCs w:val="20"/>
          <w:color w:val="auto"/>
        </w:rPr>
      </w:pPr>
      <w:r>
        <w:rPr>
          <w:rFonts w:ascii="Times New Roman" w:cs="Times New Roman" w:eastAsia="Times New Roman" w:hAnsi="Times New Roman"/>
          <w:sz w:val="18"/>
          <w:szCs w:val="18"/>
          <w:color w:val="auto"/>
        </w:rPr>
        <w:t>The Company’s retail operations represent one operating segment and one reportable segment, which derives revenues from customers by selling full-line sporting goods and outdoor recreational products. The Company’s retail stores and online selling channels sell similar products and services, use similar selling processes, and sell to similar classes of customers. See Note 1 to the consolidated financial statements for information related to the products and services offered as well as business operations. The accounting policies of the Company's single reportable segment are the same as those described in the summary of significant accounting policies in Note 2 to the consolidated financial statements. All intercompany transactions within the single reportable segment are eliminated upon consolidation.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 w:name="page16"/>
    <w:bookmarkEnd w:id="15"/>
    <w:p>
      <w:pPr>
        <w:ind w:left="500" w:right="140" w:firstLine="324"/>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(the “CODM”) is the Chief Executive Officer. The CODM allocates resources and assesses performance at a Company level using consolidated net income, which is a GAAP measure, as reported on the Consolidated Statements of Income. The CODM evaluates the Company's assets as reported on the Company's Consolidated Balance Sheets. The CODM evaluates significant segment expenses and makes decisions about the retail business based on the cost of goods we sell and the selling, general, and administrative expenses needed to sell those goods as reported on the Consolidated Statements of Income. See the Company's consolidated financial statements included in Part I Item 1 for more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75" w:lineRule="exact"/>
        <w:rPr>
          <w:sz w:val="20"/>
          <w:szCs w:val="20"/>
          <w:color w:val="auto"/>
        </w:rPr>
      </w:pPr>
    </w:p>
    <w:p>
      <w:pPr>
        <w:ind w:left="340" w:firstLine="324"/>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May 3, 2025 through June 10, 2025, the issuance date of the consolidated financial statements, and identified the following matter to report:</w:t>
      </w:r>
    </w:p>
    <w:p>
      <w:pPr>
        <w:spacing w:after="0" w:line="108"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On June 5, 2025, the Company's Board of Directors declared a quarterly cash dividend with respect to the fiscal quarter ended May 3, 2025, of $0.13 per share of the Company's common stock, payable on July 17, 2025, to stockholders of record as of the close of business on June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in this “Management’s Discussion and Analysis of Financial Condition and Results of Operations” section and in the section entitled “Risk Factors,” and relate to matters such as macroeconomic conditions,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that could affect overall consumer spending or our industry, including the possible effect of ongoing macroeconomic challenges, inflation and higher interest rates, trade policy changes or additional tariffs or changes in tariffs, geopolitical tensions, or changes to the financial health of our customers, many of which are beyond our control. We believe that these factors include but are not limited to those described under the “Risk Factors” section in the Company's Annual Report, as such risk factors may be updated from time to time in our periodic filings with the SEC which are accessible on the SEC's website at www.sec.gov.</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securities speculative or risky (all of which are more fully described in the section entitled "Risk Factors" in the Annual Report, as the same may be updated by subsequent Forms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6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 including in China, which exposes us to various international risks, including additional tariffs and our ability to successfully reduce our direct cost exposure to China;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inventory balances;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ind w:left="660" w:right="2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train and retain quality team members in sufficient numbers, increases in wage and labor costs, and changes in laws and other labor issues;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inventory shrink;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train key personnel;</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(including raw materials) costs and availability;</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to support our existing business and future initiatives;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suppliers to supply us with merchandise that we purchase for resale;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private label brand merchandise;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67" w:lineRule="exact"/>
        <w:rPr>
          <w:sz w:val="20"/>
          <w:szCs w:val="20"/>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indemnities coverage may not be sufficient;</w:t>
      </w:r>
    </w:p>
    <w:p>
      <w:pPr>
        <w:spacing w:after="0" w:line="63" w:lineRule="exact"/>
        <w:rPr>
          <w:sz w:val="20"/>
          <w:szCs w:val="20"/>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product safety;</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climate change and other sustainability-related matters;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67" w:lineRule="exact"/>
        <w:rPr>
          <w:sz w:val="20"/>
          <w:szCs w:val="20"/>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related debt service payments and our ability to generate sufficient cash flow to satisfy all of our obligations under our indebtedness;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substantially more debt;</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current and future operations imposed by the terms of our indebtedness;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the ABL Facility (as defined below);</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may hinder our ability to negotiate favorable terms with our vendors.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6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or may decline;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decision to pay dividends on our common stock or conduct stock repurchases;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could delay or prevent a change of control;</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exclusive forum provision; and</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diluted by any future issuances of shares by us.</w:t>
      </w:r>
    </w:p>
    <w:p>
      <w:pPr>
        <w:spacing w:after="0" w:line="1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8" w:name="page19"/>
    <w:bookmarkEnd w:id="18"/>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financial statements and related notes included elsewhere in this Quarterly Report for the thirteen weeks ended May 3, 2025 and our audited financial statements for the fiscal year ended February 1, 2025 and the section entitled "Management's Discussion and Analysis of Financial Condition and Results of Operations" included in the Annual Report.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All references to “Academy,” “Academy Sports + Outdoors,” “ASO, Inc.,” “we,” “us,” “our” or the “Company” in this Quarterly Report refer to Academy Sports and Outdoors, Inc., a Delaware corporation and the current parent holding company of our operations, and its consolidated subsidiaries. We conduct our operations primarily through our indirect subsidiary, Academy, Ltd., a Texas limited partnership doing business as “Academy Sports + Outdoors”, or Academy, Ltd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All of the Company's sales and business operations occur at Academy, Ltd., and Academy, Ltd., is also the borrower and/or issuer of the Company's long-term debt and lessee of facilities.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the “current quarter,” “2025 first quarter,” or similar reference refers to the thirteen week period ended May 3, 2025, and any reference to the “prior year quarter,” “2024 first quarter” or similar reference refers to the thirteen week period ended May 4, 2024. Unless otherwise specified, all comparisons regarding the current period of 2025 are made to the corresponding period of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leading full-line sporting goods and outdoor recreation retailer in the United States. Our mission is to provide “Fun for All”, and we fulfill this mission with a localized merchandising strategy and value proposition that deeply connect with a broad range of consumers. Our product assortment focuses on key categories of outdoor, sports and recreation, apparel, and footwear (representing 28%, 26%, 24%, and 22% of our 2025 first quarter net sales, respectively) through both leading national brands and a portfolio of private label brands, which go well beyond traditional sporting goods and apparel offerings.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May 3, 2025, we operated 303 stores that range in size from approximately 40,000 to 130,000 gross square feet, with an average size of approximately 70,000 gross square feet, throughout 21 contiguous states located primarily in the southern United States. Our stores are supported by approximately 22,000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p>
      <w:pPr>
        <w:spacing w:after="0" w:line="208"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stores</w:t>
            </w: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Q1 new stores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4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stores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38"/>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Relocated stores</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Tariffs and Other Macroeconomic Trends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continue to monitor global macroeconomic trends and uncertainties such as inflation, existing and potential tariffs, and other shifting trade policies, which have impacted consumer spending and could adversely affect our ability to grow sales and merchandise margin. We have worked diligently to reduce our exposure related to products imported from China. The Company reduced its cost exposure to approximately 9% of total cost of goods sold directly related to China for its private label business, and we plan to further accelerate our efforts to diversify our global supply chain. The impact of the evolving macroeconomic environment on our financial results is uncertain. We are closely monitoring the evolving environment with respect to tariffs and other trade policy developments and will continue to adjust plans as needed, including, but not limited to, inventory purchase quantities and timing, strategic pricing and promotional adjustments to maintain value for our customers, alternating sourcing to reduce receipts from China, and vendor negotiations.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Sales.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 open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thirteen months.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comparable sales metric for the 2025 first quarter compares the thirteen weeks ended May 3, 2025 versus the thirteen weeks ended May 4, 2024. The prior year rate of decline in comparable store sales slowed in the 2025 first quarter with a 2025 first quarter comparable sales decrease of 3.7% compared to 5.7% in the 2024 first quarter. See the discussion on Net Sales below for factors contributing to these changes.</w:t>
      </w:r>
    </w:p>
    <w:p>
      <w:pPr>
        <w:spacing w:after="0" w:line="11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and average ticket. </w:t>
      </w:r>
      <w:r>
        <w:rPr>
          <w:rFonts w:ascii="Times New Roman" w:cs="Times New Roman" w:eastAsia="Times New Roman" w:hAnsi="Times New Roman"/>
          <w:sz w:val="18"/>
          <w:szCs w:val="18"/>
          <w:color w:val="auto"/>
        </w:rPr>
        <w:t>We define transactions as the number of customer transactions for stores and e-commerce during a given period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basis. Transactions are influenced by customer traffic, the amount of customers that visited our stores or website, and sales conversion, the percent of those customers that made a purchase. We define average ticket as total sales divided by the number of transactions during a given period, which tells us the average amount the customer is spending on a purchase.</w:t>
      </w:r>
    </w:p>
    <w:p>
      <w:pPr>
        <w:spacing w:after="0" w:line="12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Adjusted EBIT, Adjusted Net Income, Adjusted Earnings per Share and Adjusted Free Cash Flow. </w:t>
      </w:r>
      <w:r>
        <w:rPr>
          <w:rFonts w:ascii="Times New Roman" w:cs="Times New Roman" w:eastAsia="Times New Roman" w:hAnsi="Times New Roman"/>
          <w:sz w:val="18"/>
          <w:szCs w:val="18"/>
          <w:color w:val="auto"/>
        </w:rPr>
        <w:t>Management uses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0" w:name="page21"/>
    <w:bookmarkEnd w:id="20"/>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Components of Our Results of Operations. </w:t>
      </w:r>
      <w:r>
        <w:rPr>
          <w:rFonts w:ascii="Times New Roman" w:cs="Times New Roman" w:eastAsia="Times New Roman" w:hAnsi="Times New Roman"/>
          <w:sz w:val="18"/>
          <w:szCs w:val="18"/>
          <w:color w:val="auto"/>
        </w:rPr>
        <w:t>Our profitability is primarily influenced by fluctuations in net sales, gross margin and our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leverage selling, general and administrative expenses.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broad assortment gives us an advantage over mass general merchants who typically do not carry the leading national brands sold at Academy. We have also continued to add private label brand products to our assortment of products, which we generally price lower than the national brand products of comparable quality that we also offer. 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expansion and enhancement of our omnichannel capabilities has resulted in increased sales in recent years. We continue to invest in initiatives that will increase traffic to our stores and e-commerce platform, which includes our website and mobile app, and drive increased sales conversion. These initiatives include investments in our new customer data platform and the development of strategies that focus on customer segmentation with the intention of improving customer identification and increasing customer engagement. Additionally, we continue to implement several innovative website features to enhance the customer online shopping experience, including a redesigned home page, additional BOPIS features, and enhanced shipping notifications. Our improved e-commerce platform supports our stores with digital marketing and our BOPIS and ship-to-store programs. These platforms allow us to connect further with our customers for marketing and product education and assists us in introducing customers to the Academy brand by reaching customers outside of our current store footprint. During the 2025 first quarter, stores facilitated approximately 95% of our total sales, including ship-from-store, BOPIS and in-store retail sales. We expect to continue to invest in expanding and enhancing our omnichannel capabilities, including our mobile app, optimizing the web site experience and upgrading our fulfillment capabilities, which will continue to require further investments by us.</w:t>
      </w:r>
    </w:p>
    <w:p>
      <w:pPr>
        <w:spacing w:after="0" w:line="14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sales and gross margin in the future as we execute our new store opening growth plans. Our growth strategy encompasses both deepening our presence in existing markets as well as entering new markets, leveraging enhanced brand awareness and operational efficiencies. Our new store model favors off-mall locations within power centers or stand-alone buildings. We utilize comprehensive demographic and trade data to guide our real estate site selection. During the 2025 first quarter, we opened 5 new stores. Our strategic real estate approach, including the 44 stores opened since fiscal year 2021, has positioned us effectively for continued expansion.</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procurement, warehousing and distribution, which consist primarily of transportation, payroll and benefits and distribution center occupancy costs and are generally variable in nature relative to our sales volume.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private label merchandise sales, and our ability to control cost of goods sold, such as inventory and logistics cost management. Our gross margin is also impacted by variables including commodity costs, freight costs, shrinkage (discussed below), inventory processing costs and e-commerce shipping costs. We track and measure gross margin as a percentage of net sales in order to evaluate our performance against profitability targets.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1" w:name="page22"/>
    <w:bookmarkEnd w:id="21"/>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refer to loss or theft of inventory as “shrinkage” or “shrink”. A prolonged period of significant increased shrink could have a material negative impact on our gross margin and results of operations.</w:t>
      </w:r>
    </w:p>
    <w:p>
      <w:pPr>
        <w:spacing w:after="0" w:line="10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store and corporate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and payroll benefits, store and corporate headquarters occupancy costs, advertising, credit card processing, information technology, pre-opening costs and other store and administrative expenses. These expenses are both variable and fixed in nature. SG&amp;A expenses as a percentage of sales increased from 25.9% in the 2024 first quarter to 28.8% in the 2025 first quarter, primarily attributable to the addition of new stores. We track and measure operating expenses as a percentage of net sales in order to evaluate our performance against profitability targets. Management of SG&amp;A expenses depends on our ability to balance a control of operating costs, such as store and corporate headcount, information technology infrastructure and marketing and advertising expenses, while efficiently and effectively servicing our customers.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Pre-opening expenses represent non-capital expenditures associated with the opening of new stores and distribution centers prior to sales generation or start of operations, which consist primarily of occupancy costs, marketing, payroll and recruiting costs, and are expensed as incurred. As we execute our new store opening growth plans, we expect our pre-opening expenses to increase and result in a negative impact to SG&amp;A as a percentage of sales. The following table summarizes our pre-opening expense activity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340" w:type="dxa"/>
            <w:vAlign w:val="bottom"/>
            <w:tcBorders>
              <w:bottom w:val="single" w:sz="8" w:color="auto"/>
            </w:tcBorders>
          </w:tcPr>
          <w:p>
            <w:pPr>
              <w:spacing w:after="0"/>
              <w:rPr>
                <w:sz w:val="20"/>
                <w:szCs w:val="20"/>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340" w:type="dxa"/>
            <w:vAlign w:val="bottom"/>
            <w:tcBorders>
              <w:bottom w:val="single" w:sz="8" w:color="auto"/>
            </w:tcBorders>
          </w:tcPr>
          <w:p>
            <w:pPr>
              <w:spacing w:after="0"/>
              <w:rPr>
                <w:sz w:val="19"/>
                <w:szCs w:val="19"/>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new stores opened</w:t>
            </w: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pre-opening expenses incurred (in millions)</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Pr>
          <w:p>
            <w:pPr>
              <w:spacing w:after="0"/>
              <w:rPr>
                <w:sz w:val="20"/>
                <w:szCs w:val="20"/>
                <w:color w:val="auto"/>
              </w:rPr>
            </w:pP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1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includes regular interest payable related to our Term Loan, Notes and ABL Facility (see Note 4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accompanying financial statements) and the amortization of our deferred loan costs and original issuance discounts associated with the acquisition of the debt.</w:t>
      </w:r>
    </w:p>
    <w:p>
      <w:pPr>
        <w:spacing w:after="0" w:line="11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ASO, Inc. is treated as a U.S. corporation for U.S. federal, state, and local income tax purposes and accordingly, a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has been recorded for the anticipated tax consequences of our reported results of operations for federal, state and local income taxes. Recent fluctuations in income tax expense have been primarily as a result of changes in income before income taxes and changes in equity awards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May 3, 2025 Compared to Thirteen Weeks Ended May 4, 2024</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1,351,409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892,540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908,427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(15,887)</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458,869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389,604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353,410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36,194</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16,944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48"/>
        </w:trPr>
        <w:tc>
          <w:tcPr>
            <w:tcW w:w="3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*Percentages in table may not sum properly due to rounding.</w:t>
      </w:r>
    </w:p>
    <w:p>
      <w:pPr>
        <w:spacing w:after="0" w:line="16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decreased $12.8 million, or 0.9%, in the 2025 first quarter over the prior year first quarter, which was primarily a result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comparable sales. We opened 19 new stores since the end of the 2024 first quarter, 5 of which opened throughout the 2025 first quarter. During the 2025 first quarter, these 19 stores generated $45.3 million of net sales, including e-commerce. Since re-launching our new store program in 2022, we have opened 44 new stores, 25 of which have been open for at least twelve months. Over the last twelve months, those 25 stores have averaged approximately $13 million in net sales per store, including e-commerce. We believe that performance of new stores in year one is partially affected by the season in which the new store opens and the brand awareness in the region the new store opens.</w:t>
      </w:r>
    </w:p>
    <w:p>
      <w:pPr>
        <w:spacing w:after="0" w:line="13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Comparable sales decreased 3.7% driven by lower sales across all merchandise divisions as a result of a 5.2% decrease in comparable transactions, partially offset by an increase in average ticket of 1.5%. The decrease of 0.9% in net sales was driven by decreased sales of 1.8% in the outdoor merchandise division, 0.6% in the sports and recreation merchandise division and 0.5% in the apparel division, partially offset by an increase of 0.1% in the footwear division.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E-commerce net sales represented 10.0% of merchandise sales for the 2025 first quarter compared to 9.0% for the prior year first quarter.</w:t>
      </w:r>
    </w:p>
    <w:p>
      <w:pPr>
        <w:spacing w:after="0" w:line="16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increased $3.1 million, or 0.7%, to $458.9 million in the 2025 first quarter from $455.8 million in the 2024 first quarter.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percentage of net sales, gross margin increased 60 basis points from 33.4% in the 2024 first quarter to 34.0% in the 2025 first quarter. The increase of 60 basis points in gross margin was primarily attributable to 40 basis points of favorability in merchandise margin as a result of managing prices to provide differentiated value and newness to our customers and 10 basis points of favorability as a result of decreased inventory shrink.</w:t>
      </w:r>
    </w:p>
    <w:p>
      <w:pPr>
        <w:spacing w:after="0" w:line="12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$36.2 million, or 10.2%, to $389.6 million in the 2025 first quarter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$353.4 million in the 2024 first quarter, primarily as a result of our increased strategic investments of $33.4 million in new stores, technology, and the Jordan Brand launch.</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Write off of Deferred Loan Costs. </w:t>
      </w:r>
      <w:r>
        <w:rPr>
          <w:rFonts w:ascii="Times New Roman" w:cs="Times New Roman" w:eastAsia="Times New Roman" w:hAnsi="Times New Roman"/>
          <w:sz w:val="18"/>
          <w:szCs w:val="18"/>
          <w:color w:val="auto"/>
        </w:rPr>
        <w:t>Write off of deferred loan costs decreased by $0.4 million in the 2025 first quarter when compared with the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quarter, in connection with the amendment that led to the write off of deferred loan costs on the ABL Facility in the 2024 first quarter.</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$0.4 million, or 4.7%, in the 2025 first quarter when compared with the 2024 first quarter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from lower interest rates and a lower outstanding balance on our Term Loan.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3" w:name="page24"/>
    <w:bookmarkEnd w:id="23"/>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$2.4 million in the 2025 first quarter when compared with the 2024 first quarter, primarily driven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decreased money market investments at lower interest rates in the 2025 first quarter when compared with the 2024 first quarter.</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$4.2 million to $16.9 million for the 2025 first quarter as compared to $21.2 million in the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quarter, resulting primarily from a decrease in pre-tax income. ASO, Inc.'s effective tax rate was 26.9% in the first quarter of 2025 compared to 21.7% in the first quarter of 2024. The increase in the effective tax rate compared to the prior year quarter is due to a higher number of employee equity awards vesting and exercised in the 2024 first quarter at a higher share price compared with the 2025 first quarter.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Adjusted EBITDA, Adjusted EBIT, Adjusted Net Income,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to Adjusted EBIT in the applicable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(used in) operating activities to Adjusted Free Cash Flow in the applicable table below.</w:t>
      </w:r>
    </w:p>
    <w:p>
      <w:pPr>
        <w:spacing w:after="0" w:line="13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(used in)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4" w:name="page25"/>
    <w:bookmarkEnd w:id="2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22" w:lineRule="exact"/>
        <w:rPr>
          <w:sz w:val="20"/>
          <w:szCs w:val="20"/>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costs or cash outlays for capital expenditures or contractual commitments;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changes in, or cash requirements for, our working capital needs;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period to period changes in taxes, income tax expense or the cash necessary to pay income taxes;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the impact of earnings or charges resulting from matters we consider not to be indicative of our ongoing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reconciliations of net income to Adjusted EBITDA and to Adjusted EBIT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40" w:type="dxa"/>
            <w:vAlign w:val="bottom"/>
          </w:tcPr>
          <w:p>
            <w:pPr>
              <w:spacing w:after="0"/>
              <w:rPr>
                <w:sz w:val="19"/>
                <w:szCs w:val="19"/>
                <w:color w:val="auto"/>
              </w:rPr>
            </w:pP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46,084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21,187</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28,853</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77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142,578</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(28,853)</w:t>
            </w: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520" w:right="40" w:hanging="494"/>
        <w:spacing w:after="0" w:line="261"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Net Income and Adjusted Earnings per Share for the periods presented (amounts 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40" w:type="dxa"/>
            <w:vAlign w:val="bottom"/>
          </w:tcPr>
          <w:p>
            <w:pPr>
              <w:spacing w:after="0"/>
              <w:rPr>
                <w:sz w:val="19"/>
                <w:szCs w:val="19"/>
                <w:color w:val="auto"/>
              </w:rPr>
            </w:pP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46,084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effects of these adjustments (b)</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73,993</w:t>
            </w: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75,798</w:t>
            </w:r>
          </w:p>
        </w:tc>
      </w:tr>
    </w:tbl>
    <w:p>
      <w:pPr>
        <w:spacing w:after="0" w:line="99" w:lineRule="exact"/>
        <w:rPr>
          <w:sz w:val="20"/>
          <w:szCs w:val="20"/>
          <w:color w:val="auto"/>
        </w:rPr>
      </w:pPr>
    </w:p>
    <w:p>
      <w:pPr>
        <w:ind w:left="520" w:right="40" w:hanging="494"/>
        <w:spacing w:after="0" w:line="251"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ind w:left="520" w:right="20" w:hanging="494"/>
        <w:spacing w:after="0" w:line="261"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thirteen weeks ended May 3, 2025 and May 4, 2024, this represents the estimated tax effect (by using the projected full year tax rates for the respective years) of the total adjustments made to arrive at Adjusted Net Income.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40" w:type="dxa"/>
            <w:vAlign w:val="bottom"/>
          </w:tcPr>
          <w:p>
            <w:pPr>
              <w:spacing w:after="0"/>
              <w:rPr>
                <w:sz w:val="19"/>
                <w:szCs w:val="19"/>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157,472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199,677</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(50,988)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(32,355)</w:t>
            </w: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Free Cash Flow</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106,484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167,322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liquidity requirements are for working capital, capital expenditures and cash used to pay our debt obligations and related interest expense. We also use cash to pay dividends and to repurchase common stock. We fund these liquidity requirements through cash and cash equivalents, cash generated from operating activities, issuances of debt (such as the Notes) and borrowings under our ABL Facility. On May 3, 2025, our cash and cash equivalents totaled $285.1 million. We believe our cash and cash equivalents, as well as our availability under the ABL Facility, will be sufficient to fund our cash requirements for the next 12 months and the longer term foreseeable future.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May 3, 2025, the Company's long-term debt and interest rates consist of:</w:t>
      </w:r>
    </w:p>
    <w:p>
      <w:pPr>
        <w:spacing w:after="0" w:line="11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- 6.00% fixed rate senior secured notes with $400 million in principal outstanding and full principal maturing November 15, 2027;</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- 8.18% variable rate term-loan with $88.0 million in principal outstanding maturing November 6, 2027 and requiring quarterly principal payments of $750 thousand through September 30, 2027;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 $1.0 billion commitment on a variable rate secured asset-based revolving credit facility with no principal outstanding maturing March 8, 2029.</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See Note 4 to the accompanying financial statements for further disclosure regarding our debt agreements. The following table summarizes our current debt obligations by fiscal year (amounts in thousands):</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Term Loan and related interest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103,994</w:t>
            </w:r>
          </w:p>
        </w:tc>
      </w:tr>
      <w:tr>
        <w:trPr>
          <w:trHeight w:val="230"/>
        </w:trPr>
        <w:tc>
          <w:tcPr>
            <w:tcW w:w="3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Notes and related interest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424,000</w:t>
            </w:r>
          </w:p>
        </w:tc>
        <w:tc>
          <w:tcPr>
            <w:tcW w:w="3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472,000</w:t>
            </w:r>
          </w:p>
        </w:tc>
      </w:tr>
      <w:tr>
        <w:trPr>
          <w:trHeight w:val="229"/>
        </w:trPr>
        <w:tc>
          <w:tcPr>
            <w:tcW w:w="3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ABL Facility and related interest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2,500</w:t>
            </w:r>
          </w:p>
        </w:tc>
        <w:tc>
          <w:tcPr>
            <w:tcW w:w="12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w:t>
            </w:r>
          </w:p>
        </w:tc>
      </w:tr>
    </w:tbl>
    <w:p>
      <w:pPr>
        <w:spacing w:after="0" w:line="85" w:lineRule="exact"/>
        <w:rPr>
          <w:sz w:val="20"/>
          <w:szCs w:val="20"/>
          <w:color w:val="auto"/>
        </w:rPr>
      </w:pPr>
    </w:p>
    <w:p>
      <w:pPr>
        <w:ind w:left="760" w:right="940" w:hanging="160"/>
        <w:spacing w:after="0" w:line="251" w:lineRule="auto"/>
        <w:tabs>
          <w:tab w:leader="none" w:pos="80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discount and debt issuance costs and are approximated based on projected interest rates and assume no unscheduled principal payments.</w:t>
      </w:r>
    </w:p>
    <w:p>
      <w:pPr>
        <w:ind w:left="800" w:hanging="200"/>
        <w:spacing w:after="0"/>
        <w:tabs>
          <w:tab w:leader="none" w:pos="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debt issuance costs and assumes Notes are paid in full at maturity date.</w:t>
      </w:r>
    </w:p>
    <w:p>
      <w:pPr>
        <w:spacing w:after="0" w:line="41" w:lineRule="exact"/>
        <w:rPr>
          <w:rFonts w:ascii="Times New Roman" w:cs="Times New Roman" w:eastAsia="Times New Roman" w:hAnsi="Times New Roman"/>
          <w:sz w:val="14"/>
          <w:szCs w:val="14"/>
          <w:color w:val="auto"/>
        </w:rPr>
      </w:pPr>
    </w:p>
    <w:p>
      <w:pPr>
        <w:ind w:left="800" w:hanging="200"/>
        <w:spacing w:after="0"/>
        <w:tabs>
          <w:tab w:leader="none" w:pos="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 minimum revolving credit commitment of $1.0 billion and assumes no balances drawn on our ABL Facility.</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is as follows for the periods shown (dollar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80" w:type="dxa"/>
            <w:vAlign w:val="bottom"/>
          </w:tcPr>
          <w:p>
            <w:pPr>
              <w:spacing w:after="0"/>
              <w:rPr>
                <w:sz w:val="19"/>
                <w:szCs w:val="19"/>
                <w:color w:val="auto"/>
              </w:rPr>
            </w:pPr>
          </w:p>
        </w:tc>
        <w:tc>
          <w:tcPr>
            <w:tcW w:w="15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funds drawn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26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953,921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977,254</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(amounts in thousands) as of:</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99"/>
        </w:trPr>
        <w:tc>
          <w:tcPr>
            <w:tcW w:w="5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0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letters of credit</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predominantly lease store locations, distribution centers, office space and certain equipment under operating leases expiring between fiscal years 2024 and 2044. Operating lease obligations include future minimum lease payments under all of our non-cancelable operating leases at May 3, 2025. The following table summarizes our remaining operating lease obligations by fiscal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2029</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payments </w:t>
            </w:r>
            <w:r>
              <w:rPr>
                <w:rFonts w:ascii="Times New Roman" w:cs="Times New Roman" w:eastAsia="Times New Roman" w:hAnsi="Times New Roman"/>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235,970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1,075,808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2,146,599</w:t>
            </w:r>
          </w:p>
        </w:tc>
      </w:tr>
    </w:tbl>
    <w:p>
      <w:pPr>
        <w:spacing w:after="0" w:line="85" w:lineRule="exact"/>
        <w:rPr>
          <w:sz w:val="20"/>
          <w:szCs w:val="20"/>
          <w:color w:val="auto"/>
        </w:rPr>
      </w:pPr>
    </w:p>
    <w:p>
      <w:pPr>
        <w:ind w:left="220" w:hanging="194"/>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lease payments have not been reduced by sublease rentals of $1.7 million due in the future under non-cancelable sub-leases.</w:t>
      </w:r>
    </w:p>
    <w:p>
      <w:pPr>
        <w:spacing w:after="0" w:line="55"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balances include stores where we have an executed contract but have not taken possession of the location as of May 3, 2025.</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November 29, 2023, the Board of Directors approved a share repurchase program (the “2023 Share Repurchase Program”) under which the Company was authorized to purchase up to $600 million of its outstanding shares during the three-year period ending November 29, 2026.</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December 4, 2024, the Company's Board of Directors approved a new share repurchase program under which the Company is authorized to purchase up to 700 million of its outstanding shares during the three-year period ending December 4, 2027 (the “2024 Share Repurchase Program”), and which replaces the 2023 Share Repurchase Program. Under the 2024 Share Repurchase Program, repurchases can be made using a variety of methods, which may include open market purchases, block trades, accelerated share repurchase programs, privately negotiated transactions and/or Rule 10b5-1 or other non-discretionary trading plans, all in compliance with the rules of the SEC and other applicable legal requirements. The timing, manner, price and amount of any common share repurchases under the 2024 Share Repurchase Program will be determined by the Company in its discretion and will depend on a variety of factors, including legal requirements, price and economic and market conditions. The 2024 Share Repurchase Program does not obligate the Company to acquire any particular number of common shares, and the program may be suspended, extended, modified or discontinued at any time. As of May 3, 2025, the Company had $536.5 million remaining for share repurchases under the Share Repurchase Programs. See Note 2 to the consolidated financial statements.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2025 first quarter (dollar amounts in thousands,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20" w:type="dxa"/>
            <w:vAlign w:val="bottom"/>
          </w:tcPr>
          <w:p>
            <w:pPr>
              <w:spacing w:after="0"/>
              <w:rPr>
                <w:sz w:val="18"/>
                <w:szCs w:val="18"/>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43"/>
        </w:trPr>
        <w:tc>
          <w:tcPr>
            <w:tcW w:w="5480" w:type="dxa"/>
            <w:vAlign w:val="bottom"/>
          </w:tcPr>
          <w:p>
            <w:pPr>
              <w:spacing w:after="0"/>
              <w:rPr>
                <w:sz w:val="21"/>
                <w:szCs w:val="21"/>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60" w:type="dxa"/>
            <w:vAlign w:val="bottom"/>
          </w:tcPr>
          <w:p>
            <w:pPr>
              <w:spacing w:after="0"/>
              <w:rPr>
                <w:sz w:val="21"/>
                <w:szCs w:val="21"/>
                <w:color w:val="auto"/>
              </w:rPr>
            </w:pPr>
          </w:p>
        </w:tc>
        <w:tc>
          <w:tcPr>
            <w:tcW w:w="158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1"/>
                <w:szCs w:val="21"/>
                <w:color w:val="auto"/>
              </w:rPr>
            </w:pPr>
          </w:p>
        </w:tc>
        <w:tc>
          <w:tcPr>
            <w:tcW w:w="1640" w:type="dxa"/>
            <w:vAlign w:val="bottom"/>
          </w:tcPr>
          <w:p>
            <w:pPr>
              <w:jc w:val="right"/>
              <w:ind w:right="25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Repurchased </w:t>
            </w:r>
            <w:r>
              <w:rPr>
                <w:rFonts w:ascii="Times New Roman" w:cs="Times New Roman" w:eastAsia="Times New Roman" w:hAnsi="Times New Roman"/>
                <w:sz w:val="23"/>
                <w:szCs w:val="23"/>
                <w:b w:val="1"/>
                <w:bCs w:val="1"/>
                <w:color w:val="auto"/>
                <w:vertAlign w:val="superscript"/>
              </w:rPr>
              <w:t>(1)</w:t>
            </w:r>
          </w:p>
        </w:tc>
      </w:tr>
      <w:tr>
        <w:trPr>
          <w:trHeight w:val="223"/>
        </w:trPr>
        <w:tc>
          <w:tcPr>
            <w:tcW w:w="54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First Quarter (February 2, 2025 to May 3, 2025)</w:t>
            </w:r>
            <w:r>
              <w:rPr>
                <w:rFonts w:ascii="Times New Roman" w:cs="Times New Roman" w:eastAsia="Times New Roman" w:hAnsi="Times New Roman"/>
                <w:sz w:val="23"/>
                <w:szCs w:val="23"/>
                <w:color w:val="auto"/>
                <w:vertAlign w:val="superscript"/>
              </w:rPr>
              <w:t>(2)</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2,080,772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99,031</w:t>
            </w:r>
          </w:p>
        </w:tc>
      </w:tr>
      <w:tr>
        <w:trPr>
          <w:trHeight w:val="22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2,080,772</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99,031</w:t>
            </w:r>
          </w:p>
        </w:tc>
      </w:tr>
      <w:tr>
        <w:trPr>
          <w:trHeight w:val="20"/>
        </w:trPr>
        <w:tc>
          <w:tcPr>
            <w:tcW w:w="54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260" w:hanging="207"/>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unpaid excise taxes.</w:t>
      </w:r>
    </w:p>
    <w:p>
      <w:pPr>
        <w:spacing w:after="0" w:line="41" w:lineRule="exact"/>
        <w:rPr>
          <w:rFonts w:ascii="Times New Roman" w:cs="Times New Roman" w:eastAsia="Times New Roman" w:hAnsi="Times New Roman"/>
          <w:sz w:val="14"/>
          <w:szCs w:val="14"/>
          <w:color w:val="auto"/>
        </w:rPr>
      </w:pPr>
    </w:p>
    <w:p>
      <w:pPr>
        <w:ind w:left="260" w:hanging="207"/>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Part II, Item 2 - Unregistered Sales of Equity Securities and Use of Proceeds for further detail on the 2025 first quarter share repurchases.</w:t>
      </w:r>
    </w:p>
    <w:p>
      <w:pPr>
        <w:spacing w:after="0" w:line="200" w:lineRule="exact"/>
        <w:rPr>
          <w:sz w:val="20"/>
          <w:szCs w:val="20"/>
          <w:color w:val="auto"/>
        </w:rPr>
      </w:pPr>
    </w:p>
    <w:p>
      <w:pPr>
        <w:spacing w:after="0" w:line="3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quarterly dividend payments for the 2025 first quarter (amounts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120" w:type="dxa"/>
            <w:vAlign w:val="bottom"/>
          </w:tcPr>
          <w:p>
            <w:pPr>
              <w:spacing w:after="0"/>
              <w:rPr>
                <w:sz w:val="18"/>
                <w:szCs w:val="18"/>
                <w:color w:val="auto"/>
              </w:rPr>
            </w:pPr>
          </w:p>
        </w:tc>
        <w:tc>
          <w:tcPr>
            <w:tcW w:w="1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Dividends Paid</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 Date of</w:t>
            </w:r>
          </w:p>
        </w:tc>
        <w:tc>
          <w:tcPr>
            <w:tcW w:w="0" w:type="dxa"/>
            <w:vAlign w:val="bottom"/>
          </w:tcPr>
          <w:p>
            <w:pPr>
              <w:spacing w:after="0"/>
              <w:rPr>
                <w:sz w:val="1"/>
                <w:szCs w:val="1"/>
                <w:color w:val="auto"/>
              </w:rPr>
            </w:pPr>
          </w:p>
        </w:tc>
      </w:tr>
      <w:tr>
        <w:trPr>
          <w:trHeight w:val="238"/>
        </w:trPr>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(February 2, 2025 to May 3,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25, 2025</w:t>
            </w:r>
          </w:p>
        </w:tc>
        <w:tc>
          <w:tcPr>
            <w:tcW w:w="0" w:type="dxa"/>
            <w:vAlign w:val="bottom"/>
          </w:tcPr>
          <w:p>
            <w:pPr>
              <w:spacing w:after="0"/>
              <w:rPr>
                <w:sz w:val="1"/>
                <w:szCs w:val="1"/>
                <w:color w:val="auto"/>
              </w:rPr>
            </w:pPr>
          </w:p>
        </w:tc>
      </w:tr>
      <w:tr>
        <w:trPr>
          <w:trHeight w:val="22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Dividends Paid</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5, 2025, the Company's Board of Directors declared a quarterly cash dividend with respect to the fiscal quarter ended May 3, 2025, of $0.13 per share of the Company's common stock, payable on July 17, 2025, to stockholders of record as of the close of business on June 19,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capital expenditures for the thirteen weeks ended May 3, 2025 and May 4, 2024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8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600" w:type="dxa"/>
            <w:vAlign w:val="bottom"/>
            <w:tcBorders>
              <w:bottom w:val="single" w:sz="8" w:color="auto"/>
            </w:tcBorders>
          </w:tcPr>
          <w:p>
            <w:pPr>
              <w:spacing w:after="0"/>
              <w:rPr>
                <w:sz w:val="20"/>
                <w:szCs w:val="20"/>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600" w:type="dxa"/>
            <w:vAlign w:val="bottom"/>
            <w:tcBorders>
              <w:bottom w:val="single" w:sz="8" w:color="auto"/>
            </w:tcBorders>
          </w:tcPr>
          <w:p>
            <w:pPr>
              <w:spacing w:after="0"/>
              <w:rPr>
                <w:sz w:val="19"/>
                <w:szCs w:val="19"/>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58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25,970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16,789</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1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22,953</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Updates for existing stores and distribution centers</w:t>
            </w:r>
          </w:p>
        </w:tc>
        <w:tc>
          <w:tcPr>
            <w:tcW w:w="15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1,907</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r>
      <w:tr>
        <w:trPr>
          <w:trHeight w:val="223"/>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58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50,830</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32,227</w:t>
            </w:r>
          </w:p>
        </w:tc>
      </w:tr>
      <w:tr>
        <w:trPr>
          <w:trHeight w:val="20"/>
        </w:trPr>
        <w:tc>
          <w:tcPr>
            <w:tcW w:w="68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expect capital expenditures for fiscal year 2025 to be between $180 million and $220 million. The following table summarizes our forecasted allocation of capital expenditures for fiscal year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4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Updates for existing stores and distribution centers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review forecasted capital expenditures throughout the year and will adjust our capital expenditures based on business conditions at that time.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Thirteen Weeks Ended May 3, 2025 and May 4, 2024</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9"/>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unaudited statements of cash flows are summarized as follows (in thousands):</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6"/>
        </w:trPr>
        <w:tc>
          <w:tcPr>
            <w:tcW w:w="7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7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320" w:type="dxa"/>
            <w:vAlign w:val="bottom"/>
          </w:tcPr>
          <w:p>
            <w:pPr>
              <w:spacing w:after="0"/>
              <w:rPr>
                <w:sz w:val="19"/>
                <w:szCs w:val="19"/>
                <w:color w:val="auto"/>
              </w:rPr>
            </w:pPr>
          </w:p>
        </w:tc>
        <w:tc>
          <w:tcPr>
            <w:tcW w:w="17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157,472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199,677</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(32,355)</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(110,309)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(137,097)</w:t>
            </w:r>
          </w:p>
        </w:tc>
      </w:tr>
      <w:tr>
        <w:trPr>
          <w:trHeight w:val="223"/>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30,225</w:t>
            </w:r>
          </w:p>
        </w:tc>
      </w:tr>
      <w:tr>
        <w:trPr>
          <w:trHeight w:val="20"/>
        </w:trPr>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from operating activities are seasonal in our business. Typically, cash flows from operations are used to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inventory in advance of peak selling seasons, with the fourth quarter pre-holiday season inventory increase being the most significant.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provided by operating activities in the 2025 first quarter decreased $42.2 million, compared to 2024 first quarter. This decrease is attributable to:</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 million decrease in net income;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$21.4 million net decrease in cash flows provided by operating assets and liabilities;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million net increase in non-cash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color w:val="auto"/>
        </w:rPr>
        <w:t>The decrease in cash flows from operating assets and liabilities was primarily attributable to:</w:t>
      </w:r>
    </w:p>
    <w:p>
      <w:pPr>
        <w:spacing w:after="0" w:line="171" w:lineRule="exact"/>
        <w:rPr>
          <w:sz w:val="20"/>
          <w:szCs w:val="20"/>
          <w:color w:val="auto"/>
        </w:rPr>
      </w:pPr>
    </w:p>
    <w:p>
      <w:pPr>
        <w:ind w:left="66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$88.5 million decrease in cash flows from merchandise inventories, net due to increased inventory receipts relative to the prior year first quarter;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 million increase in cash flows from accounts payable, due to timing of payments relative to the prior year first quarter;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 million increase in cash flows from prepaid expenses and other current assets, largely driven by timing of construction reimbursement payments received in the 2025 first quarter relative to the prior year first quarter.</w:t>
      </w:r>
    </w:p>
    <w:p>
      <w:pPr>
        <w:spacing w:after="0" w:line="18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investing activities increased $18.6 million in the 2025 first quarter compared to the 2024 first quarter. The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cash used in investing activities is primarily related to:</w:t>
      </w:r>
    </w:p>
    <w:p>
      <w:pPr>
        <w:spacing w:after="0" w:line="105" w:lineRule="exact"/>
        <w:rPr>
          <w:sz w:val="20"/>
          <w:szCs w:val="20"/>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$18.6 million increase in capital expenditures, primarily driven by increased spending related to Corporate, E-commerce, and information technology programs in the 2025 first quarter relative to the prior year first quarter.</w:t>
      </w:r>
    </w:p>
    <w:p>
      <w:pPr>
        <w:spacing w:after="0" w:line="18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decreased $26.8 million in the 2025 first quarter, compared to the 2024 first quarter.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primary driver of the decrease was:</w:t>
      </w:r>
    </w:p>
    <w:p>
      <w:pPr>
        <w:spacing w:after="0" w:line="10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 million decrease in cash outflows for repurchases of common stock in the current year period.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More information on all of our significant accounting policies can be found in the “Critical Accounting Policies and Estimates” section of the Annual Report entitled “Management's Discussion and Analysis of Financial Condition and Results of Operations.” There have been no material changes to our critical accounting policies as compared to the critical accounting policies described in the Annual Report.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2 to our unaudited consolidated financial statements under Part I, Item 1 of this Quarterly Report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10 — Commitments to our unaudited consolidated financial statements included under Part I, Item 1 of this Quarterly Report is incorporated herein by reference.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developments during the fiscal quarter ended May 3, 2025,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the section of the Annual Report entitled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There have been no material changes to the risk factors discussed in the section of the Annual Report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64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repurchases and cancellations of shares of our common stock during the 2025 first quarter:</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24"/>
                <w:szCs w:val="24"/>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6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that May Yet</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7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89"/>
        </w:trPr>
        <w:tc>
          <w:tcPr>
            <w:tcW w:w="458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680" w:type="dxa"/>
            <w:vAlign w:val="bottom"/>
            <w:gridSpan w:val="3"/>
            <w:vMerge w:val="continue"/>
          </w:tcPr>
          <w:p>
            <w:pPr>
              <w:spacing w:after="0"/>
              <w:rPr>
                <w:sz w:val="16"/>
                <w:szCs w:val="16"/>
                <w:color w:val="auto"/>
              </w:rPr>
            </w:pPr>
          </w:p>
        </w:tc>
        <w:tc>
          <w:tcPr>
            <w:tcW w:w="17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60" w:type="dxa"/>
            <w:vAlign w:val="bottom"/>
          </w:tcPr>
          <w:p>
            <w:pPr>
              <w:spacing w:after="0"/>
              <w:rPr>
                <w:sz w:val="16"/>
                <w:szCs w:val="16"/>
                <w:color w:val="auto"/>
              </w:rPr>
            </w:pPr>
          </w:p>
        </w:tc>
        <w:tc>
          <w:tcPr>
            <w:tcW w:w="14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30"/>
        </w:trPr>
        <w:tc>
          <w:tcPr>
            <w:tcW w:w="4580" w:type="dxa"/>
            <w:vAlign w:val="bottom"/>
            <w:gridSpan w:val="2"/>
            <w:vMerge w:val="continue"/>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 Share (b)</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or Programs (c)</w:t>
            </w:r>
          </w:p>
        </w:tc>
        <w:tc>
          <w:tcPr>
            <w:tcW w:w="16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Programs (c)</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 2025 to March 1, 2025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580,936,189</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 2025 to April 5,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639,828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639,828</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550,861,576</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6, 2025 May 3,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536,480,184</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2,080,772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2,080,772</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536,480,184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right="1940" w:hanging="252"/>
        <w:spacing w:after="0" w:line="261" w:lineRule="auto"/>
        <w:tabs>
          <w:tab w:leader="none" w:pos="21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repurchased excludes shares which were net-settled, and therefore not issued, to cover employee withholding related to the vesting of certain restricted stock awards and exercise of certain stock option awards.</w:t>
      </w:r>
    </w:p>
    <w:p>
      <w:pPr>
        <w:ind w:left="220" w:hanging="212"/>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unpaid excise taxes.</w:t>
      </w:r>
    </w:p>
    <w:p>
      <w:pPr>
        <w:spacing w:after="0" w:line="14" w:lineRule="exact"/>
        <w:rPr>
          <w:rFonts w:ascii="Times New Roman" w:cs="Times New Roman" w:eastAsia="Times New Roman" w:hAnsi="Times New Roman"/>
          <w:sz w:val="14"/>
          <w:szCs w:val="14"/>
          <w:color w:val="auto"/>
        </w:rPr>
      </w:pPr>
    </w:p>
    <w:p>
      <w:pPr>
        <w:jc w:val="both"/>
        <w:ind w:left="260" w:hanging="252"/>
        <w:spacing w:after="0" w:line="249" w:lineRule="auto"/>
        <w:tabs>
          <w:tab w:leader="none" w:pos="22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29, 2023, the Board of Directors of the Company authorized a share repurchase program (the “2023 Share Repurchase Program”) under which the Company is authorized to purchase up to $600 million of its outstanding shares during the three-year period ending November 29, 2026. On December 4, 2024, the Board of Directors authorized a share repurchase program under which the Company is authorized to purchase up to $700 million of its outstanding shares during the three-year period ending December 4, 2027 (the “2024 Share Repurchase Program”), and which replaces the 2023 Share Repurchase Program. As of May 3, 2025, approximately $536.5 million remained available for share repurchases pursuant to the 2024 Share Repurchase Program (see Note 2 to the accompanying financial statements). The 2024 Share Repurchase Program does not obligate the Company to acquire any particular number of common shares, and the programs may be suspended, extended, modified or discontinued at any time.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Trading Plans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May 3, 2025, no director or officer (as defined in Rule 16a-1(f) under the Exchange Act) of the Company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80" w:type="dxa"/>
            <w:vAlign w:val="bottom"/>
            <w:tcBorders>
              <w:bottom w:val="single" w:sz="8" w:color="auto"/>
            </w:tcBorders>
          </w:tcPr>
          <w:p>
            <w:pPr>
              <w:ind w:left="40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440" w:type="dxa"/>
            <w:vAlign w:val="bottom"/>
            <w:gridSpan w:val="3"/>
            <w:shd w:val="clear" w:color="auto" w:fill="CCEEFF"/>
          </w:tcPr>
          <w:p>
            <w:pPr>
              <w:ind w:left="20"/>
              <w:spacing w:after="0" w:line="149" w:lineRule="exact"/>
              <w:rPr>
                <w:rFonts w:ascii="Times New Roman" w:cs="Times New Roman" w:eastAsia="Times New Roman" w:hAnsi="Times New Roman"/>
                <w:sz w:val="17"/>
                <w:szCs w:val="17"/>
                <w:color w:val="0000FF"/>
              </w:rPr>
            </w:pPr>
            <w:hyperlink r:id="rId44">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hyperlink>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6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Restated Certificate of Incorporation of the Registrant (incorporated by reference to Exhibit 3.2 to the Registrant’s Current Report on</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9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 8-K filed on June 5, 2025).</w:t>
            </w:r>
          </w:p>
        </w:tc>
      </w:tr>
      <w:tr>
        <w:trPr>
          <w:trHeight w:val="189"/>
        </w:trPr>
        <w:tc>
          <w:tcPr>
            <w:tcW w:w="4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3.1 to the Registrant's Current Report on Form</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 filed on March 7, 2025).</w:t>
            </w:r>
          </w:p>
        </w:tc>
      </w:tr>
      <w:tr>
        <w:trPr>
          <w:trHeight w:val="189"/>
        </w:trPr>
        <w:tc>
          <w:tcPr>
            <w:tcW w:w="20" w:type="dxa"/>
            <w:vAlign w:val="bottom"/>
            <w:shd w:val="clear" w:color="auto" w:fill="CCEEFF"/>
          </w:tcPr>
          <w:p>
            <w:pPr>
              <w:spacing w:after="0"/>
              <w:rPr>
                <w:sz w:val="16"/>
                <w:szCs w:val="16"/>
                <w:color w:val="auto"/>
              </w:rPr>
            </w:pPr>
          </w:p>
        </w:tc>
        <w:tc>
          <w:tcPr>
            <w:tcW w:w="15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96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2025 Executive Performance-Based Restricted Stock Unit Agreement.</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6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2025 Executive Time-Based Restricted Stock Unit Agreement.</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p>
        </w:tc>
        <w:tc>
          <w:tcPr>
            <w:tcW w:w="96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2025 Executive Time-Based Option Agreement.</w:t>
            </w: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040" w:type="dxa"/>
            <w:vAlign w:val="bottom"/>
            <w:tcBorders>
              <w:top w:val="single" w:sz="8" w:color="CCEEFF"/>
            </w:tcBorders>
          </w:tcPr>
          <w:p>
            <w:pPr>
              <w:spacing w:after="0"/>
              <w:rPr>
                <w:sz w:val="16"/>
                <w:szCs w:val="16"/>
                <w:color w:val="auto"/>
              </w:rPr>
            </w:pPr>
          </w:p>
        </w:tc>
        <w:tc>
          <w:tcPr>
            <w:tcW w:w="968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w:t>
            </w: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96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w:t>
            </w:r>
          </w:p>
        </w:tc>
      </w:tr>
      <w:tr>
        <w:trPr>
          <w:trHeight w:val="189"/>
        </w:trPr>
        <w:tc>
          <w:tcPr>
            <w:tcW w:w="156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89"/>
        </w:trPr>
        <w:tc>
          <w:tcPr>
            <w:tcW w:w="156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96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9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76"/>
        </w:trPr>
        <w:tc>
          <w:tcPr>
            <w:tcW w:w="20" w:type="dxa"/>
            <w:vAlign w:val="bottom"/>
          </w:tcPr>
          <w:p>
            <w:pPr>
              <w:spacing w:after="0"/>
              <w:rPr>
                <w:sz w:val="15"/>
                <w:szCs w:val="15"/>
                <w:color w:val="auto"/>
              </w:rPr>
            </w:pPr>
          </w:p>
        </w:tc>
        <w:tc>
          <w:tcPr>
            <w:tcW w:w="15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20" w:type="dxa"/>
            <w:vAlign w:val="bottom"/>
            <w:shd w:val="clear" w:color="auto" w:fill="CCEEFF"/>
          </w:tcPr>
          <w:p>
            <w:pPr>
              <w:spacing w:after="0"/>
              <w:rPr>
                <w:sz w:val="20"/>
                <w:szCs w:val="20"/>
                <w:color w:val="auto"/>
              </w:rPr>
            </w:pPr>
          </w:p>
        </w:tc>
        <w:tc>
          <w:tcPr>
            <w:tcW w:w="1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20" w:type="dxa"/>
            <w:vAlign w:val="bottom"/>
          </w:tcPr>
          <w:p>
            <w:pPr>
              <w:spacing w:after="0"/>
              <w:rPr>
                <w:sz w:val="19"/>
                <w:szCs w:val="19"/>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29"/>
        </w:trPr>
        <w:tc>
          <w:tcPr>
            <w:tcW w:w="20" w:type="dxa"/>
            <w:vAlign w:val="bottom"/>
            <w:shd w:val="clear" w:color="auto" w:fill="CCEEFF"/>
          </w:tcPr>
          <w:p>
            <w:pPr>
              <w:spacing w:after="0"/>
              <w:rPr>
                <w:sz w:val="19"/>
                <w:szCs w:val="19"/>
                <w:color w:val="auto"/>
              </w:rPr>
            </w:pPr>
          </w:p>
        </w:tc>
        <w:tc>
          <w:tcPr>
            <w:tcW w:w="1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230"/>
        </w:trPr>
        <w:tc>
          <w:tcPr>
            <w:tcW w:w="20" w:type="dxa"/>
            <w:vAlign w:val="bottom"/>
          </w:tcPr>
          <w:p>
            <w:pPr>
              <w:spacing w:after="0"/>
              <w:rPr>
                <w:sz w:val="19"/>
                <w:szCs w:val="19"/>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29"/>
        </w:trPr>
        <w:tc>
          <w:tcPr>
            <w:tcW w:w="20" w:type="dxa"/>
            <w:vAlign w:val="bottom"/>
            <w:shd w:val="clear" w:color="auto" w:fill="CCEEFF"/>
          </w:tcPr>
          <w:p>
            <w:pPr>
              <w:spacing w:after="0"/>
              <w:rPr>
                <w:sz w:val="19"/>
                <w:szCs w:val="19"/>
                <w:color w:val="auto"/>
              </w:rPr>
            </w:pPr>
          </w:p>
        </w:tc>
        <w:tc>
          <w:tcPr>
            <w:tcW w:w="1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680" w:type="dxa"/>
            <w:vAlign w:val="bottom"/>
          </w:tcPr>
          <w:p>
            <w:pPr>
              <w:spacing w:after="0"/>
              <w:rPr>
                <w:sz w:val="23"/>
                <w:szCs w:val="23"/>
                <w:color w:val="auto"/>
              </w:rPr>
            </w:pPr>
          </w:p>
        </w:tc>
      </w:tr>
      <w:tr>
        <w:trPr>
          <w:trHeight w:val="230"/>
        </w:trPr>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56"/>
        </w:trPr>
        <w:tc>
          <w:tcPr>
            <w:tcW w:w="20" w:type="dxa"/>
            <w:vAlign w:val="bottom"/>
            <w:shd w:val="clear" w:color="auto" w:fill="CCEEFF"/>
          </w:tcPr>
          <w:p>
            <w:pPr>
              <w:spacing w:after="0"/>
              <w:rPr>
                <w:sz w:val="22"/>
                <w:szCs w:val="22"/>
                <w:color w:val="auto"/>
              </w:rPr>
            </w:pPr>
          </w:p>
        </w:tc>
        <w:tc>
          <w:tcPr>
            <w:tcW w:w="1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contract or compensatory plans or arrangements.</w:t>
            </w: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June 10, 2025 on its behalf by the undersigned, thereto duly authorized.</w:t>
      </w:r>
    </w:p>
    <w:p>
      <w:pPr>
        <w:spacing w:after="0" w:line="2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14" w:lineRule="exact"/>
        <w:rPr>
          <w:sz w:val="20"/>
          <w:szCs w:val="20"/>
          <w:color w:val="auto"/>
        </w:rPr>
      </w:pPr>
    </w:p>
    <w:p>
      <w:pPr>
        <w:ind w:left="6000"/>
        <w:spacing w:after="0"/>
        <w:tabs>
          <w:tab w:leader="none" w:pos="6460" w:val="left"/>
          <w:tab w:leader="none" w:pos="686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EARL CARLTON FORD,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Earl Carlton Ford, IV</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08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ind w:left="5040"/>
        <w:spacing w:after="0" w:line="225"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rPr>
          <w:sz w:val="20"/>
          <w:szCs w:val="20"/>
          <w:color w:val="auto"/>
        </w:rPr>
      </w:pPr>
      <w:r>
        <w:rPr>
          <w:rFonts w:ascii="Times New Roman" w:cs="Times New Roman" w:eastAsia="Times New Roman" w:hAnsi="Times New Roman"/>
          <w:sz w:val="20"/>
          <w:szCs w:val="20"/>
          <w:b w:val="1"/>
          <w:bCs w:val="1"/>
          <w:color w:val="auto"/>
        </w:rPr>
        <w:t>ACADEMY SPORTS AND OUTDOORS,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Academy Sports and Outdoors,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0"/>
          <w:szCs w:val="20"/>
          <w:color w:val="auto"/>
        </w:rPr>
        <w:t>”) hereby grants to the Participant set forth below the number of Restricted Stock Units set forth below pursuant to its 2020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0"/>
          <w:szCs w:val="20"/>
          <w:color w:val="auto"/>
        </w:rPr>
        <w:t>”). The Restricted Stock Units are subject to all of the terms and conditions as set forth herein, in the Restricted Stock Unit Agreement attached hereto, and in the Plan, all of which are incorporated herein in their entirety. Capitalized terms not otherwise defined herein shall have the meanings set forth in the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First Name</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Last Name</w:t>
      </w:r>
      <w:r>
        <w:rPr>
          <w:rFonts w:ascii="Times New Roman" w:cs="Times New Roman" w:eastAsia="Times New Roman" w:hAnsi="Times New Roman"/>
          <w:sz w:val="20"/>
          <w:szCs w:val="20"/>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Date of Grant</w:t>
      </w:r>
      <w:r>
        <w:rPr>
          <w:rFonts w:ascii="Times New Roman" w:cs="Times New Roman" w:eastAsia="Times New Roman" w:hAnsi="Times New Roman"/>
          <w:sz w:val="20"/>
          <w:szCs w:val="20"/>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Target Number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Insert Target Number of Restricted Stock Units Granted</w:t>
      </w:r>
      <w:r>
        <w:rPr>
          <w:rFonts w:ascii="Times New Roman" w:cs="Times New Roman" w:eastAsia="Times New Roman" w:hAnsi="Times New Roman"/>
          <w:sz w:val="20"/>
          <w:szCs w:val="20"/>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Period</w:t>
      </w:r>
      <w:r>
        <w:rPr>
          <w:rFonts w:ascii="Times New Roman" w:cs="Times New Roman" w:eastAsia="Times New Roman" w:hAnsi="Times New Roman"/>
          <w:sz w:val="20"/>
          <w:szCs w:val="20"/>
          <w:color w:val="auto"/>
        </w:rPr>
        <w:t>:  February 4, 2024 through January 30, 2027</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Vesting Criteria: </w:t>
      </w:r>
      <w:r>
        <w:rPr>
          <w:rFonts w:ascii="Times New Roman" w:cs="Times New Roman" w:eastAsia="Times New Roman" w:hAnsi="Times New Roman"/>
          <w:sz w:val="20"/>
          <w:szCs w:val="20"/>
          <w:color w:val="auto"/>
        </w:rPr>
        <w:t>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hereto.</w:t>
      </w:r>
    </w:p>
    <w:p>
      <w:pPr>
        <w:spacing w:after="0" w:line="2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IN CONNECTION WITH THIS GRANT, AND IN ADDITION TO THIS GRANT NOTICE, PARTICIPANT HAS RECEIVED A COPY OF THE PLAN AND THE RESTRICTED STOCK UNIT AGREEMENT. PARTICIPANT MAY REJECT THIS AWARD OF RESTRICTED STOCK UNITS BY NOTIFYING THE COMPANY NO LATER THAN THE FIFTH BUSINESS DAY FOLLOWING RECEIPT OF THIS AWARD DOCUMENT. FAILURE TO REJECT THIS AWARD OF RESTRICTED STOCK UNITS WITHIN SUCH 5-DAY PERIOD SHALL BE DEEMED ACCEPTANCE OF THIS AWARD OF RESTRICTED STOCK UNITS AND THE TERMS AND CONDITIONS OF THIS AWARD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09" w:right="339" w:bottom="1440" w:gutter="0" w:footer="0" w:header="0"/>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1050519.7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1052179</w:t>
      </w:r>
    </w:p>
    <w:p>
      <w:pPr>
        <w:sectPr>
          <w:pgSz w:w="11900" w:h="16838" w:orient="portrait"/>
          <w:cols w:equalWidth="0" w:num="1">
            <w:col w:w="11240"/>
          </w:cols>
          <w:pgMar w:left="320" w:top="1409" w:right="339" w:bottom="1440" w:gutter="0" w:footer="0" w:header="0"/>
          <w:type w:val="continuous"/>
        </w:sectPr>
      </w:pPr>
    </w:p>
    <w:bookmarkStart w:id="36" w:name="page37"/>
    <w:bookmarkEnd w:id="36"/>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33" w:lineRule="auto"/>
        <w:rPr>
          <w:sz w:val="20"/>
          <w:szCs w:val="20"/>
          <w:color w:val="auto"/>
        </w:rPr>
      </w:pPr>
      <w:r>
        <w:rPr>
          <w:rFonts w:ascii="Times New Roman" w:cs="Times New Roman" w:eastAsia="Times New Roman" w:hAnsi="Times New Roman"/>
          <w:sz w:val="22"/>
          <w:szCs w:val="22"/>
          <w:b w:val="1"/>
          <w:bCs w:val="1"/>
          <w:color w:val="auto"/>
        </w:rPr>
        <w:t>ACADEMY SPORTS AND OUTDOORS,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202"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0"/>
          <w:szCs w:val="20"/>
          <w:color w:val="auto"/>
        </w:rPr>
        <w:t>Pursuant to the Restricted Stock Unit Grant Notice (the “</w:t>
      </w:r>
      <w:r>
        <w:rPr>
          <w:rFonts w:ascii="Times New Roman" w:cs="Times New Roman" w:eastAsia="Times New Roman" w:hAnsi="Times New Roman"/>
          <w:sz w:val="21"/>
          <w:szCs w:val="21"/>
          <w:u w:val="single" w:color="auto"/>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Restricted Stock Unit Agreement (this “</w:t>
      </w:r>
      <w:r>
        <w:rPr>
          <w:rFonts w:ascii="Times New Roman" w:cs="Times New Roman" w:eastAsia="Times New Roman" w:hAnsi="Times New Roman"/>
          <w:sz w:val="21"/>
          <w:szCs w:val="21"/>
          <w:u w:val="single" w:color="auto"/>
          <w:color w:val="auto"/>
        </w:rPr>
        <w:t>Restricted Stock Unit Agreement</w:t>
      </w:r>
      <w:r>
        <w:rPr>
          <w:rFonts w:ascii="Times New Roman" w:cs="Times New Roman" w:eastAsia="Times New Roman" w:hAnsi="Times New Roman"/>
          <w:sz w:val="20"/>
          <w:szCs w:val="20"/>
          <w:color w:val="auto"/>
        </w:rPr>
        <w:t>”) and the Academy Sports and Outdoors, Inc. 2020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0"/>
          <w:szCs w:val="20"/>
          <w:color w:val="auto"/>
        </w:rPr>
        <w:t>”), Academy Sports and Outdoors,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 w:lineRule="exact"/>
        <w:rPr>
          <w:sz w:val="20"/>
          <w:szCs w:val="20"/>
          <w:color w:val="auto"/>
        </w:rPr>
      </w:pPr>
    </w:p>
    <w:p>
      <w:pPr>
        <w:jc w:val="both"/>
        <w:ind w:firstLine="1304"/>
        <w:spacing w:after="0" w:line="246" w:lineRule="auto"/>
        <w:tabs>
          <w:tab w:leader="none" w:pos="149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19"/>
          <w:szCs w:val="19"/>
          <w:color w:val="auto"/>
        </w:rPr>
        <w:t>. Each Restricted Stock Unit granted to the Participant pursuant to the Grant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represents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91" w:lineRule="exact"/>
        <w:rPr>
          <w:rFonts w:ascii="Times New Roman" w:cs="Times New Roman" w:eastAsia="Times New Roman" w:hAnsi="Times New Roman"/>
          <w:sz w:val="20"/>
          <w:szCs w:val="20"/>
          <w:color w:val="auto"/>
        </w:rPr>
      </w:pPr>
    </w:p>
    <w:p>
      <w:pPr>
        <w:ind w:left="1500" w:hanging="196"/>
        <w:spacing w:after="0"/>
        <w:tabs>
          <w:tab w:leader="none" w:pos="15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19"/>
          <w:szCs w:val="19"/>
          <w:color w:val="auto"/>
        </w:rPr>
        <w:t>. Subject to the conditions contained herein and, in the Plan, the Restricted Stock Units shall vest as provided in</w:t>
      </w:r>
    </w:p>
    <w:p>
      <w:pPr>
        <w:spacing w:after="0" w:line="2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Notice.</w:t>
      </w:r>
    </w:p>
    <w:p>
      <w:pPr>
        <w:spacing w:after="0" w:line="211" w:lineRule="exact"/>
        <w:rPr>
          <w:rFonts w:ascii="Times New Roman" w:cs="Times New Roman" w:eastAsia="Times New Roman" w:hAnsi="Times New Roman"/>
          <w:sz w:val="20"/>
          <w:szCs w:val="20"/>
          <w:color w:val="auto"/>
        </w:rPr>
      </w:pPr>
    </w:p>
    <w:p>
      <w:pPr>
        <w:jc w:val="both"/>
        <w:ind w:firstLine="1304"/>
        <w:spacing w:after="0" w:line="247" w:lineRule="auto"/>
        <w:tabs>
          <w:tab w:leader="none" w:pos="149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Settlement of Vested Restricted Stock Units</w:t>
      </w:r>
      <w:r>
        <w:rPr>
          <w:rFonts w:ascii="Times New Roman" w:cs="Times New Roman" w:eastAsia="Times New Roman" w:hAnsi="Times New Roman"/>
          <w:sz w:val="19"/>
          <w:szCs w:val="19"/>
          <w:color w:val="auto"/>
        </w:rPr>
        <w:t>. Upon the vesting of a Restricted Stock Unit hereunder, and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any election by the Committee pursuant to Section 9(d)(ii) of the Plan, the Company will deliver one share of Common Stock for each vested Restricted Stock Unit (as adjusted under the Plan, as applicable) to the Participant as soon as reasonably practicable (and, in any event, within two and one-half months) following the applicable vesting date. The Company shall either (a) deliver, or cause to be delivered, to the Participant a certificate or certificates therefor, registered in the Participant’s name or (b) cause such shares of Common Stock to be credited to the Participant’s account in book entry form, including at any third-party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200" w:lineRule="exact"/>
        <w:rPr>
          <w:rFonts w:ascii="Times New Roman" w:cs="Times New Roman" w:eastAsia="Times New Roman" w:hAnsi="Times New Roman"/>
          <w:sz w:val="20"/>
          <w:szCs w:val="20"/>
          <w:color w:val="auto"/>
        </w:rPr>
      </w:pPr>
    </w:p>
    <w:p>
      <w:pPr>
        <w:jc w:val="both"/>
        <w:ind w:firstLine="1304"/>
        <w:spacing w:after="0" w:line="244" w:lineRule="auto"/>
        <w:tabs>
          <w:tab w:leader="none" w:pos="149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Treatment of Restricted Stock Units Upon Termination</w:t>
      </w:r>
      <w:r>
        <w:rPr>
          <w:rFonts w:ascii="Times New Roman" w:cs="Times New Roman" w:eastAsia="Times New Roman" w:hAnsi="Times New Roman"/>
          <w:sz w:val="19"/>
          <w:szCs w:val="19"/>
          <w:color w:val="auto"/>
        </w:rPr>
        <w:t>. Except as otherwise provided in the Grant Notice or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spacing w:after="0" w:line="188" w:lineRule="exact"/>
        <w:rPr>
          <w:rFonts w:ascii="Times New Roman" w:cs="Times New Roman" w:eastAsia="Times New Roman" w:hAnsi="Times New Roman"/>
          <w:sz w:val="20"/>
          <w:szCs w:val="20"/>
          <w:color w:val="auto"/>
        </w:rPr>
      </w:pPr>
    </w:p>
    <w:p>
      <w:pPr>
        <w:jc w:val="both"/>
        <w:ind w:firstLine="1304"/>
        <w:spacing w:after="0" w:line="242" w:lineRule="auto"/>
        <w:tabs>
          <w:tab w:leader="none" w:pos="152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Conditions to Issuance of Common Stock</w:t>
      </w:r>
      <w:r>
        <w:rPr>
          <w:rFonts w:ascii="Times New Roman" w:cs="Times New Roman" w:eastAsia="Times New Roman" w:hAnsi="Times New Roman"/>
          <w:sz w:val="19"/>
          <w:szCs w:val="19"/>
          <w:color w:val="auto"/>
        </w:rPr>
        <w:t>. The Company shall not be required to record the ownership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Participant of shares of Common Stock issued upon the settlement of vested Restricted Stock Units prior to fulfillment of all of the following conditions: (a) the obtaining of approval or other clearance from any federal, state, local or non-U.S. governmental agency which the Committee shall, in its reasonable and good faith discretion, determine to be necessary; (b) the lapse of such reasonable period of time following the vesting of the Restricted Stock Units as may otherwise be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1050519</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69" w:lineRule="auto"/>
        <w:rPr>
          <w:sz w:val="20"/>
          <w:szCs w:val="20"/>
          <w:color w:val="auto"/>
        </w:rPr>
      </w:pPr>
      <w:r>
        <w:rPr>
          <w:rFonts w:ascii="Times New Roman" w:cs="Times New Roman" w:eastAsia="Times New Roman" w:hAnsi="Times New Roman"/>
          <w:sz w:val="20"/>
          <w:szCs w:val="20"/>
          <w:color w:val="auto"/>
        </w:rPr>
        <w:t>required by applicable law; and (c) the execution and delivery to the Company, to the extent not so previously executed and delivered, of such other documents and instruments as may be reasonably required by the Committee.</w:t>
      </w:r>
    </w:p>
    <w:p>
      <w:pPr>
        <w:spacing w:after="0" w:line="164" w:lineRule="exact"/>
        <w:rPr>
          <w:sz w:val="20"/>
          <w:szCs w:val="20"/>
          <w:color w:val="auto"/>
        </w:rPr>
      </w:pPr>
    </w:p>
    <w:p>
      <w:pPr>
        <w:jc w:val="both"/>
        <w:ind w:firstLine="1304"/>
        <w:spacing w:after="0" w:line="244" w:lineRule="auto"/>
        <w:tabs>
          <w:tab w:leader="none" w:pos="1507"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19"/>
          <w:szCs w:val="19"/>
          <w:color w:val="auto"/>
        </w:rPr>
        <w:t>. Whenever the word “Participant” is used in any provision of this Restricted Stock Unit Agreement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circumstances 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p>
    <w:p>
      <w:pPr>
        <w:spacing w:after="0" w:line="202" w:lineRule="exact"/>
        <w:rPr>
          <w:rFonts w:ascii="Times New Roman" w:cs="Times New Roman" w:eastAsia="Times New Roman" w:hAnsi="Times New Roman"/>
          <w:sz w:val="20"/>
          <w:szCs w:val="20"/>
          <w:color w:val="auto"/>
        </w:rPr>
      </w:pPr>
    </w:p>
    <w:p>
      <w:pPr>
        <w:jc w:val="both"/>
        <w:ind w:firstLine="1304"/>
        <w:spacing w:after="0" w:line="255" w:lineRule="auto"/>
        <w:tabs>
          <w:tab w:leader="none" w:pos="149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Non-Transferability</w:t>
      </w:r>
      <w:r>
        <w:rPr>
          <w:rFonts w:ascii="Times New Roman" w:cs="Times New Roman" w:eastAsia="Times New Roman" w:hAnsi="Times New Roman"/>
          <w:sz w:val="19"/>
          <w:szCs w:val="19"/>
          <w:color w:val="auto"/>
        </w:rPr>
        <w:t>. The Restricted Stock Units are not transferable by the Participant except to Permitted Transferees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93" w:lineRule="exact"/>
        <w:rPr>
          <w:rFonts w:ascii="Times New Roman" w:cs="Times New Roman" w:eastAsia="Times New Roman" w:hAnsi="Times New Roman"/>
          <w:sz w:val="20"/>
          <w:szCs w:val="20"/>
          <w:color w:val="auto"/>
        </w:rPr>
      </w:pPr>
    </w:p>
    <w:p>
      <w:pPr>
        <w:jc w:val="both"/>
        <w:ind w:firstLine="1304"/>
        <w:spacing w:after="0" w:line="237" w:lineRule="auto"/>
        <w:tabs>
          <w:tab w:leader="none" w:pos="149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Rights as Shareholder</w:t>
      </w:r>
      <w:r>
        <w:rPr>
          <w:rFonts w:ascii="Times New Roman" w:cs="Times New Roman" w:eastAsia="Times New Roman" w:hAnsi="Times New Roman"/>
          <w:sz w:val="19"/>
          <w:szCs w:val="19"/>
          <w:color w:val="auto"/>
        </w:rPr>
        <w:t>. The Participant or a Permitted Transferee of the Restricted Stock Units shall have no rights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 w:lineRule="exact"/>
        <w:rPr>
          <w:rFonts w:ascii="Times New Roman" w:cs="Times New Roman" w:eastAsia="Times New Roman" w:hAnsi="Times New Roman"/>
          <w:sz w:val="20"/>
          <w:szCs w:val="20"/>
          <w:color w:val="auto"/>
        </w:rPr>
      </w:pPr>
    </w:p>
    <w:p>
      <w:pPr>
        <w:jc w:val="both"/>
        <w:ind w:firstLine="1304"/>
        <w:spacing w:after="0"/>
        <w:tabs>
          <w:tab w:leader="none" w:pos="149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19"/>
          <w:szCs w:val="19"/>
          <w:color w:val="auto"/>
        </w:rPr>
        <w:t>. The Participant must pay to the Company any amount that the Company determines it is required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withhold under applicable federal, state or local or foreign tax laws in respect of the vesting and settlement of the shares of Common Stock underlying the Restricted Stock Units (“</w:t>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19"/>
          <w:szCs w:val="19"/>
          <w:color w:val="auto"/>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issuable under the Restricted Stock Units, and that the broker has been directed to pay a sufficient portion of the net proceeds of the sale to the Company in satisfaction of the Withholding Taxes;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xml:space="preserve">, that payment of such proceeds is then made to the Company upon settlement of such sale, or (iii) through withholding a number of shares of Common Stock issuable under the Restricted Stock Units;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19"/>
          <w:szCs w:val="19"/>
          <w:color w:val="auto"/>
        </w:rPr>
        <w:t>, that the Committee may, in its sole discretion, direct that such withholding obligation be satisfied by any other method described in Section 14 of the Plan.</w:t>
      </w:r>
    </w:p>
    <w:p>
      <w:pPr>
        <w:spacing w:after="0" w:line="200" w:lineRule="exact"/>
        <w:rPr>
          <w:rFonts w:ascii="Times New Roman" w:cs="Times New Roman" w:eastAsia="Times New Roman" w:hAnsi="Times New Roman"/>
          <w:sz w:val="20"/>
          <w:szCs w:val="20"/>
          <w:color w:val="auto"/>
        </w:rPr>
      </w:pPr>
    </w:p>
    <w:p>
      <w:pPr>
        <w:spacing w:after="0" w:line="205" w:lineRule="exact"/>
        <w:rPr>
          <w:rFonts w:ascii="Times New Roman" w:cs="Times New Roman" w:eastAsia="Times New Roman" w:hAnsi="Times New Roman"/>
          <w:sz w:val="20"/>
          <w:szCs w:val="20"/>
          <w:color w:val="auto"/>
        </w:rPr>
      </w:pPr>
    </w:p>
    <w:p>
      <w:pPr>
        <w:jc w:val="both"/>
        <w:ind w:firstLine="1304"/>
        <w:spacing w:after="0" w:line="250" w:lineRule="auto"/>
        <w:tabs>
          <w:tab w:leader="none" w:pos="160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19"/>
          <w:szCs w:val="19"/>
          <w:color w:val="auto"/>
        </w:rPr>
        <w:t>. Every notice or other communication relating to this Restricted Stock Unit Agreement between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1050519</w:t>
      </w:r>
    </w:p>
    <w:p>
      <w:pPr>
        <w:sectPr>
          <w:pgSz w:w="11900" w:h="16838" w:orient="portrait"/>
          <w:cols w:equalWidth="0" w:num="1">
            <w:col w:w="11240"/>
          </w:cols>
          <w:pgMar w:left="320" w:top="1426" w:right="339" w:bottom="1440" w:gutter="0" w:footer="0" w:header="0"/>
        </w:sectPr>
      </w:pPr>
    </w:p>
    <w:bookmarkStart w:id="38" w:name="page39"/>
    <w:bookmarkEnd w:id="38"/>
    <w:p>
      <w:pPr>
        <w:ind w:firstLine="1304"/>
        <w:spacing w:after="0" w:line="282" w:lineRule="auto"/>
        <w:tabs>
          <w:tab w:leader="none" w:pos="158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No Right to Continued Service</w:t>
      </w:r>
      <w:r>
        <w:rPr>
          <w:rFonts w:ascii="Times New Roman" w:cs="Times New Roman" w:eastAsia="Times New Roman" w:hAnsi="Times New Roman"/>
          <w:sz w:val="19"/>
          <w:szCs w:val="19"/>
          <w:color w:val="auto"/>
        </w:rPr>
        <w:t>. This Restricted Stock Unit Agreement does not confer upon the Participant any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to continue as an employee or other service provider to the Company or any of its Subsidiaries.</w:t>
      </w:r>
    </w:p>
    <w:p>
      <w:pPr>
        <w:spacing w:after="0" w:line="148" w:lineRule="exact"/>
        <w:rPr>
          <w:rFonts w:ascii="Times New Roman" w:cs="Times New Roman" w:eastAsia="Times New Roman" w:hAnsi="Times New Roman"/>
          <w:sz w:val="20"/>
          <w:szCs w:val="20"/>
          <w:color w:val="auto"/>
        </w:rPr>
      </w:pPr>
    </w:p>
    <w:p>
      <w:pPr>
        <w:ind w:firstLine="1304"/>
        <w:spacing w:after="0" w:line="243" w:lineRule="auto"/>
        <w:tabs>
          <w:tab w:leader="none" w:pos="160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19"/>
          <w:szCs w:val="19"/>
          <w:color w:val="auto"/>
        </w:rPr>
        <w:t>. This Restricted Stock Unit Agreement shall be binding upon the heirs, executors, administrators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successors of the parties hereto.</w:t>
      </w:r>
    </w:p>
    <w:p>
      <w:pPr>
        <w:spacing w:after="0" w:line="203" w:lineRule="exact"/>
        <w:rPr>
          <w:rFonts w:ascii="Times New Roman" w:cs="Times New Roman" w:eastAsia="Times New Roman" w:hAnsi="Times New Roman"/>
          <w:sz w:val="20"/>
          <w:szCs w:val="20"/>
          <w:color w:val="auto"/>
        </w:rPr>
      </w:pPr>
    </w:p>
    <w:p>
      <w:pPr>
        <w:jc w:val="both"/>
        <w:ind w:firstLine="1304"/>
        <w:spacing w:after="0" w:line="249" w:lineRule="auto"/>
        <w:tabs>
          <w:tab w:leader="none" w:pos="15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Waiver and Amendments</w:t>
      </w:r>
      <w:r>
        <w:rPr>
          <w:rFonts w:ascii="Times New Roman" w:cs="Times New Roman" w:eastAsia="Times New Roman" w:hAnsi="Times New Roman"/>
          <w:sz w:val="19"/>
          <w:szCs w:val="19"/>
          <w:color w:val="auto"/>
        </w:rPr>
        <w:t>. Except as otherwise set forth in Section 13 of the Plan, any waiver, alteration,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or modification of any of the terms of this Restricted Stock Unit Agreement shall be valid only if made in writing and signed by the parties 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97"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Clawback; Forfeiture</w:t>
      </w:r>
      <w:r>
        <w:rPr>
          <w:rFonts w:ascii="Times New Roman" w:cs="Times New Roman" w:eastAsia="Times New Roman" w:hAnsi="Times New Roman"/>
          <w:sz w:val="19"/>
          <w:szCs w:val="19"/>
          <w:color w:val="auto"/>
        </w:rPr>
        <w:t>.</w:t>
      </w:r>
    </w:p>
    <w:p>
      <w:pPr>
        <w:spacing w:after="0" w:line="255" w:lineRule="exact"/>
        <w:rPr>
          <w:sz w:val="20"/>
          <w:szCs w:val="20"/>
          <w:color w:val="auto"/>
        </w:rPr>
      </w:pPr>
    </w:p>
    <w:p>
      <w:pPr>
        <w:jc w:val="both"/>
        <w:ind w:firstLine="1304"/>
        <w:spacing w:after="0" w:line="238" w:lineRule="auto"/>
        <w:tabs>
          <w:tab w:leader="none" w:pos="157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in the Plan, if the Participant has engaged in or engages in any Detrimental Activity, then the Committee may, in its sole discretion, take actions permitted under the Plan, including: (i) canceling the Restricted Stock Units, or (ii) requiring that the Participant forfeit any gain realized on the disposition of any shares of Common Stock received in settlement of any Restricted Stock Units, and repay such gain to the Company. “</w:t>
      </w:r>
      <w:r>
        <w:rPr>
          <w:rFonts w:ascii="Times New Roman" w:cs="Times New Roman" w:eastAsia="Times New Roman" w:hAnsi="Times New Roman"/>
          <w:sz w:val="21"/>
          <w:szCs w:val="21"/>
          <w:u w:val="single" w:color="auto"/>
          <w:color w:val="auto"/>
        </w:rPr>
        <w:t>Detrimental Activity</w:t>
      </w:r>
      <w:r>
        <w:rPr>
          <w:rFonts w:ascii="Times New Roman" w:cs="Times New Roman" w:eastAsia="Times New Roman" w:hAnsi="Times New Roman"/>
          <w:sz w:val="20"/>
          <w:szCs w:val="20"/>
          <w:color w:val="auto"/>
        </w:rPr>
        <w:t>” 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231" w:lineRule="exact"/>
        <w:rPr>
          <w:rFonts w:ascii="Times New Roman" w:cs="Times New Roman" w:eastAsia="Times New Roman" w:hAnsi="Times New Roman"/>
          <w:sz w:val="20"/>
          <w:szCs w:val="20"/>
          <w:color w:val="auto"/>
        </w:rPr>
      </w:pPr>
    </w:p>
    <w:p>
      <w:pPr>
        <w:jc w:val="both"/>
        <w:ind w:firstLine="1304"/>
        <w:spacing w:after="0" w:line="242" w:lineRule="auto"/>
        <w:tabs>
          <w:tab w:leader="none" w:pos="158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and any clawback policy adopted by the Company from time to time, including the Company’s Incentive Compensation Clawback Policy.</w:t>
      </w:r>
    </w:p>
    <w:p>
      <w:pPr>
        <w:spacing w:after="0" w:line="215" w:lineRule="exact"/>
        <w:rPr>
          <w:rFonts w:ascii="Times New Roman" w:cs="Times New Roman" w:eastAsia="Times New Roman" w:hAnsi="Times New Roman"/>
          <w:sz w:val="20"/>
          <w:szCs w:val="20"/>
          <w:color w:val="auto"/>
        </w:rPr>
      </w:pPr>
    </w:p>
    <w:p>
      <w:pPr>
        <w:jc w:val="both"/>
        <w:ind w:firstLine="1304"/>
        <w:spacing w:after="0" w:line="241" w:lineRule="auto"/>
        <w:tabs>
          <w:tab w:leader="none" w:pos="159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foregoing, the Participant expressly and explicitly authorizes (x) the Company and any Service Recipient to issue instructions, on the Participant’s behalf, to any brokerage firm and/or third party administrator engaged by the Company or such Service Recipient to hold shares of the Company’s common stock granted to the Participant and other amounts acquired by the Participant under the Plan or any other incentive compensation plan, program or arrangement of the Company to re-convey, transfer or otherwise return such shares and/or other amounts to the Company or the applicable Service Recipient and (y) the Company’s or Service Recipient’s recovery of any covered compensation through any method of recovery that the Company deems appropriate, including without limitation by reducing any amount that is or may become payable to the Participant. The Participant further agrees to comply with any request or demand for repayment by the Company or any Service Recipient in order to comply with such policies or applicable law. To the extent that the terms of this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1050519</w:t>
      </w:r>
    </w:p>
    <w:p>
      <w:pPr>
        <w:sectPr>
          <w:pgSz w:w="11900" w:h="16838" w:orient="portrait"/>
          <w:cols w:equalWidth="0" w:num="1">
            <w:col w:w="11240"/>
          </w:cols>
          <w:pgMar w:left="320" w:top="14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u w:val="single" w:color="auto"/>
          <w:color w:val="auto"/>
        </w:rPr>
        <w:t>Restricted Stock Unit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and any recoupment policy of the Company conflict, the terms of the recoupment policy shall prevail.</w:t>
      </w:r>
    </w:p>
    <w:p>
      <w:pPr>
        <w:spacing w:after="0" w:line="229" w:lineRule="exact"/>
        <w:rPr>
          <w:sz w:val="20"/>
          <w:szCs w:val="20"/>
          <w:color w:val="auto"/>
        </w:rPr>
      </w:pPr>
    </w:p>
    <w:p>
      <w:pPr>
        <w:jc w:val="both"/>
        <w:ind w:firstLine="1304"/>
        <w:spacing w:after="0" w:line="258" w:lineRule="auto"/>
        <w:tabs>
          <w:tab w:leader="none" w:pos="159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Governing Law; Venue</w:t>
      </w:r>
      <w:r>
        <w:rPr>
          <w:rFonts w:ascii="Times New Roman" w:cs="Times New Roman" w:eastAsia="Times New Roman" w:hAnsi="Times New Roman"/>
          <w:sz w:val="19"/>
          <w:szCs w:val="19"/>
          <w:color w:val="auto"/>
        </w:rPr>
        <w:t>. This Restricted Stock Unit Agreement shall be construed and interpreted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w:t>
      </w:r>
    </w:p>
    <w:p>
      <w:pPr>
        <w:spacing w:after="0" w:line="179" w:lineRule="exact"/>
        <w:rPr>
          <w:rFonts w:ascii="Times New Roman" w:cs="Times New Roman" w:eastAsia="Times New Roman" w:hAnsi="Times New Roman"/>
          <w:sz w:val="20"/>
          <w:szCs w:val="20"/>
          <w:color w:val="auto"/>
        </w:rPr>
      </w:pPr>
    </w:p>
    <w:p>
      <w:pPr>
        <w:jc w:val="both"/>
        <w:ind w:firstLine="1304"/>
        <w:spacing w:after="0"/>
        <w:tabs>
          <w:tab w:leader="none" w:pos="159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Award Subject to Plan</w:t>
      </w:r>
      <w:r>
        <w:rPr>
          <w:rFonts w:ascii="Times New Roman" w:cs="Times New Roman" w:eastAsia="Times New Roman" w:hAnsi="Times New Roman"/>
          <w:sz w:val="19"/>
          <w:szCs w:val="19"/>
          <w:color w:val="auto"/>
        </w:rPr>
        <w:t>. The Restricted Stock Units granted hereunder, and the shares of Common Stock issued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Participant upon 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spacing w:after="0" w:line="200" w:lineRule="exact"/>
        <w:rPr>
          <w:rFonts w:ascii="Times New Roman" w:cs="Times New Roman" w:eastAsia="Times New Roman" w:hAnsi="Times New Roman"/>
          <w:sz w:val="20"/>
          <w:szCs w:val="20"/>
          <w:color w:val="auto"/>
        </w:rPr>
      </w:pPr>
    </w:p>
    <w:p>
      <w:pPr>
        <w:spacing w:after="0" w:line="240" w:lineRule="exact"/>
        <w:rPr>
          <w:rFonts w:ascii="Times New Roman" w:cs="Times New Roman" w:eastAsia="Times New Roman" w:hAnsi="Times New Roman"/>
          <w:sz w:val="20"/>
          <w:szCs w:val="20"/>
          <w:color w:val="auto"/>
        </w:rPr>
      </w:pPr>
    </w:p>
    <w:p>
      <w:pPr>
        <w:jc w:val="both"/>
        <w:ind w:firstLine="1304"/>
        <w:spacing w:after="0" w:line="249" w:lineRule="auto"/>
        <w:tabs>
          <w:tab w:leader="none" w:pos="160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19"/>
          <w:szCs w:val="19"/>
          <w:color w:val="auto"/>
        </w:rPr>
        <w:t>. It is intended that the Restricted Stock Units granted hereunder shall be exempt from Section 409A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Code pursuant to the “short-term deferral” rule applicable to such section, as set forth in the regulations or other guidance published by the Internal Revenue Service thereunder.</w:t>
      </w:r>
    </w:p>
    <w:p>
      <w:pPr>
        <w:jc w:val="both"/>
        <w:ind w:firstLine="1304"/>
        <w:spacing w:after="0" w:line="241" w:lineRule="auto"/>
        <w:tabs>
          <w:tab w:leader="none" w:pos="164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Imposition of Other Requirements</w:t>
      </w:r>
      <w:r>
        <w:rPr>
          <w:rFonts w:ascii="Times New Roman" w:cs="Times New Roman" w:eastAsia="Times New Roman" w:hAnsi="Times New Roman"/>
          <w:sz w:val="19"/>
          <w:szCs w:val="19"/>
          <w:color w:val="auto"/>
        </w:rPr>
        <w:t>. The Company reserves the right to impose other requirements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Participant’s 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207" w:lineRule="exact"/>
        <w:rPr>
          <w:rFonts w:ascii="Times New Roman" w:cs="Times New Roman" w:eastAsia="Times New Roman" w:hAnsi="Times New Roman"/>
          <w:sz w:val="20"/>
          <w:szCs w:val="20"/>
          <w:color w:val="auto"/>
        </w:rPr>
      </w:pPr>
    </w:p>
    <w:p>
      <w:pPr>
        <w:jc w:val="both"/>
        <w:ind w:firstLine="1304"/>
        <w:spacing w:after="0" w:line="244" w:lineRule="auto"/>
        <w:tabs>
          <w:tab w:leader="none" w:pos="16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Transmission Acknowledgement</w:t>
      </w:r>
      <w:r>
        <w:rPr>
          <w:rFonts w:ascii="Times New Roman" w:cs="Times New Roman" w:eastAsia="Times New Roman" w:hAnsi="Times New Roman"/>
          <w:sz w:val="19"/>
          <w:szCs w:val="19"/>
          <w:color w:val="auto"/>
        </w:rPr>
        <w:t>. To the extent necessary, the Participant authorizes, agrees and unambiguously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188" w:lineRule="exact"/>
        <w:rPr>
          <w:rFonts w:ascii="Times New Roman" w:cs="Times New Roman" w:eastAsia="Times New Roman" w:hAnsi="Times New Roman"/>
          <w:sz w:val="20"/>
          <w:szCs w:val="20"/>
          <w:color w:val="auto"/>
        </w:rPr>
      </w:pPr>
    </w:p>
    <w:p>
      <w:pPr>
        <w:jc w:val="both"/>
        <w:ind w:firstLine="1304"/>
        <w:spacing w:after="0" w:line="243" w:lineRule="auto"/>
        <w:tabs>
          <w:tab w:leader="none" w:pos="160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Electronic Delivery and Acceptance</w:t>
      </w:r>
      <w:r>
        <w:rPr>
          <w:rFonts w:ascii="Times New Roman" w:cs="Times New Roman" w:eastAsia="Times New Roman" w:hAnsi="Times New Roman"/>
          <w:sz w:val="19"/>
          <w:szCs w:val="19"/>
          <w:color w:val="auto"/>
        </w:rPr>
        <w:t>. The Company may, in its sole discretion, decide to deliver any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 w:cs="Times New Roman" w:eastAsia="Times New Roman" w:hAnsi="Times New Roman"/>
          <w:sz w:val="21"/>
          <w:szCs w:val="21"/>
          <w:u w:val="single" w:color="auto"/>
          <w:color w:val="auto"/>
        </w:rPr>
        <w:t>Restricted Stock Unit Governing Documents</w:t>
      </w:r>
      <w:r>
        <w:rPr>
          <w:rFonts w:ascii="Times New Roman" w:cs="Times New Roman" w:eastAsia="Times New Roman" w:hAnsi="Times New Roman"/>
          <w:sz w:val="19"/>
          <w:szCs w:val="19"/>
          <w:color w:val="auto"/>
        </w:rPr>
        <w:t>”), the Restricted Stock Unit Governing Documents shall control.</w:t>
      </w:r>
    </w:p>
    <w:p>
      <w:pPr>
        <w:spacing w:after="0" w:line="200" w:lineRule="exact"/>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jc w:val="both"/>
        <w:ind w:firstLine="1304"/>
        <w:spacing w:after="0" w:line="265" w:lineRule="auto"/>
        <w:tabs>
          <w:tab w:leader="none" w:pos="16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19"/>
          <w:szCs w:val="19"/>
          <w:color w:val="auto"/>
        </w:rPr>
        <w:t>. The Restricted Stock Unit Governing Documents constitute the entire agreement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hereto 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1050519</w:t>
      </w:r>
    </w:p>
    <w:p>
      <w:pPr>
        <w:sectPr>
          <w:pgSz w:w="11900" w:h="16838" w:orient="portrait"/>
          <w:cols w:equalWidth="0" w:num="1">
            <w:col w:w="11240"/>
          </w:cols>
          <w:pgMar w:left="320" w:top="1408"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25" w:lineRule="auto"/>
        <w:rPr>
          <w:sz w:val="20"/>
          <w:szCs w:val="20"/>
          <w:color w:val="auto"/>
        </w:rPr>
      </w:pPr>
      <w:r>
        <w:rPr>
          <w:rFonts w:ascii="Times New Roman" w:cs="Times New Roman" w:eastAsia="Times New Roman" w:hAnsi="Times New Roman"/>
          <w:sz w:val="20"/>
          <w:szCs w:val="20"/>
          <w:b w:val="1"/>
          <w:bCs w:val="1"/>
          <w:color w:val="auto"/>
        </w:rPr>
        <w:t>ACADEMY SPORTS AND OUTDOORS,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Academy Sports and Outdoors,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0"/>
          <w:szCs w:val="20"/>
          <w:color w:val="auto"/>
        </w:rPr>
        <w:t>”) hereby grants to the Participant set forth below the number of Restricted</w:t>
      </w:r>
    </w:p>
    <w:p>
      <w:pPr>
        <w:spacing w:after="0" w:line="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Stock Units set forth below pursuant to its 2020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0"/>
          <w:szCs w:val="20"/>
          <w:color w:val="auto"/>
        </w:rPr>
        <w:t>”). The Restricted Stock Units are subject to all of the terms and conditions as set forth herein, in the Restricted Stock Unit Agreement attached</w:t>
      </w:r>
    </w:p>
    <w:p>
      <w:pPr>
        <w:spacing w:after="0" w:line="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hereto, and in the Plan, all of which are incorporated herein in their entirety. Capitalized terms not otherwise defined herein shall have the meanings set forth in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First Name</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Last Name</w:t>
      </w:r>
      <w:r>
        <w:rPr>
          <w:rFonts w:ascii="Times New Roman" w:cs="Times New Roman" w:eastAsia="Times New Roman" w:hAnsi="Times New Roman"/>
          <w:sz w:val="20"/>
          <w:szCs w:val="20"/>
          <w:color w:val="auto"/>
        </w:rPr>
        <w: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Date of Grant</w:t>
      </w:r>
      <w:r>
        <w:rPr>
          <w:rFonts w:ascii="Times New Roman" w:cs="Times New Roman" w:eastAsia="Times New Roman" w:hAnsi="Times New Roman"/>
          <w:sz w:val="20"/>
          <w:szCs w:val="20"/>
          <w:color w:val="auto"/>
        </w:rPr>
        <w: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Insert Number of Restricted Stock Units Granted</w:t>
      </w:r>
      <w:r>
        <w:rPr>
          <w:rFonts w:ascii="Times New Roman" w:cs="Times New Roman" w:eastAsia="Times New Roman" w:hAnsi="Times New Roman"/>
          <w:sz w:val="20"/>
          <w:szCs w:val="20"/>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hereto</w:t>
      </w:r>
    </w:p>
    <w:p>
      <w:pPr>
        <w:spacing w:after="0" w:line="2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IN CONNECTION WITH THIS GRANT, AND IN ADDITION TO THIS GRANT NOTICE, PARTICIPANT HAS RECEIVED A COPY OF THE PLAN AND THE RESTRICTED STOCK UNIT AGREEMENT. PARTICIPANT MAY REJECT THIS AWARD OF RESTRICTED STOCK UNITS BY NOTIFYING THE COMPANY NO LATER THAN THE FIFTH BUSINESS DAY FOLLOWING RECEIPT OF THIS AWARD DOCUMENT. FAILURE TO REJECT THIS AWARD OF RESTRICTED STOCK UNITS WITHIN SUCH 5-DAY PERIOD SHALL BE DEEMED ACCEPTANCE OF THIS AWARD OF RESTRICTED STOCK UNITS AND THE TERMS AND CONDITIONS OF THIS AWARD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04" w:right="339" w:bottom="1440" w:gutter="0" w:footer="0" w:header="0"/>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1050505.5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1052191</w:t>
      </w:r>
    </w:p>
    <w:p>
      <w:pPr>
        <w:sectPr>
          <w:pgSz w:w="11900" w:h="16838" w:orient="portrait"/>
          <w:cols w:equalWidth="0" w:num="1">
            <w:col w:w="11240"/>
          </w:cols>
          <w:pgMar w:left="320" w:top="1404" w:right="339" w:bottom="1440" w:gutter="0" w:footer="0" w:header="0"/>
          <w:type w:val="continuous"/>
        </w:sectPr>
      </w:pPr>
    </w:p>
    <w:bookmarkStart w:id="41" w:name="page42"/>
    <w:bookmarkEnd w:id="41"/>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33" w:lineRule="auto"/>
        <w:rPr>
          <w:sz w:val="20"/>
          <w:szCs w:val="20"/>
          <w:color w:val="auto"/>
        </w:rPr>
      </w:pPr>
      <w:r>
        <w:rPr>
          <w:rFonts w:ascii="Times New Roman" w:cs="Times New Roman" w:eastAsia="Times New Roman" w:hAnsi="Times New Roman"/>
          <w:sz w:val="22"/>
          <w:szCs w:val="22"/>
          <w:b w:val="1"/>
          <w:bCs w:val="1"/>
          <w:color w:val="auto"/>
        </w:rPr>
        <w:t>ACADEMY SPORTS AND OUTDOORS,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Pursuant to the Restricted Stock Unit Grant Notice (the “</w:t>
      </w:r>
      <w:r>
        <w:rPr>
          <w:rFonts w:ascii="Times New Roman" w:cs="Times New Roman" w:eastAsia="Times New Roman" w:hAnsi="Times New Roman"/>
          <w:sz w:val="21"/>
          <w:szCs w:val="21"/>
          <w:u w:val="single" w:color="auto"/>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Restricted Stock Unit Agreement (this “</w:t>
      </w:r>
      <w:r>
        <w:rPr>
          <w:rFonts w:ascii="Times New Roman" w:cs="Times New Roman" w:eastAsia="Times New Roman" w:hAnsi="Times New Roman"/>
          <w:sz w:val="21"/>
          <w:szCs w:val="21"/>
          <w:u w:val="single" w:color="auto"/>
          <w:color w:val="auto"/>
        </w:rPr>
        <w:t>Restricted Stock Unit Agreement</w:t>
      </w:r>
      <w:r>
        <w:rPr>
          <w:rFonts w:ascii="Times New Roman" w:cs="Times New Roman" w:eastAsia="Times New Roman" w:hAnsi="Times New Roman"/>
          <w:sz w:val="20"/>
          <w:szCs w:val="20"/>
          <w:color w:val="auto"/>
        </w:rPr>
        <w:t>”) and the Academy Sports and Outdoors, Inc. 2020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0"/>
          <w:szCs w:val="20"/>
          <w:color w:val="auto"/>
        </w:rPr>
        <w:t>”), Academy Sports and Outdoors,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86" w:lineRule="exact"/>
        <w:rPr>
          <w:sz w:val="20"/>
          <w:szCs w:val="20"/>
          <w:color w:val="auto"/>
        </w:rPr>
      </w:pPr>
    </w:p>
    <w:p>
      <w:pPr>
        <w:jc w:val="both"/>
        <w:ind w:firstLine="1304"/>
        <w:spacing w:after="0" w:line="252" w:lineRule="auto"/>
        <w:tabs>
          <w:tab w:leader="none" w:pos="149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19"/>
          <w:szCs w:val="19"/>
          <w:color w:val="auto"/>
        </w:rPr>
        <w:t>. Each Restricted Stock Unit granted to the Participant pursuant to the Grant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represents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84" w:lineRule="exact"/>
        <w:rPr>
          <w:rFonts w:ascii="Times New Roman" w:cs="Times New Roman" w:eastAsia="Times New Roman" w:hAnsi="Times New Roman"/>
          <w:sz w:val="20"/>
          <w:szCs w:val="20"/>
          <w:color w:val="auto"/>
        </w:rPr>
      </w:pPr>
    </w:p>
    <w:p>
      <w:pPr>
        <w:ind w:left="1520" w:hanging="216"/>
        <w:spacing w:after="0"/>
        <w:tabs>
          <w:tab w:leader="none" w:pos="1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19"/>
          <w:szCs w:val="19"/>
          <w:color w:val="auto"/>
        </w:rPr>
        <w:t>. Subject to the conditions contained herein and in the Plan, the Restricted Stock Units shall vest as provided in</w:t>
      </w:r>
    </w:p>
    <w:p>
      <w:pPr>
        <w:spacing w:after="0" w:line="2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Notice.</w:t>
      </w:r>
    </w:p>
    <w:p>
      <w:pPr>
        <w:spacing w:after="0" w:line="211" w:lineRule="exact"/>
        <w:rPr>
          <w:rFonts w:ascii="Times New Roman" w:cs="Times New Roman" w:eastAsia="Times New Roman" w:hAnsi="Times New Roman"/>
          <w:sz w:val="20"/>
          <w:szCs w:val="20"/>
          <w:color w:val="auto"/>
        </w:rPr>
      </w:pPr>
    </w:p>
    <w:p>
      <w:pPr>
        <w:jc w:val="both"/>
        <w:ind w:firstLine="1304"/>
        <w:spacing w:after="0" w:line="247" w:lineRule="auto"/>
        <w:tabs>
          <w:tab w:leader="none" w:pos="150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Settlement of Restricted Stock Units</w:t>
      </w:r>
      <w:r>
        <w:rPr>
          <w:rFonts w:ascii="Times New Roman" w:cs="Times New Roman" w:eastAsia="Times New Roman" w:hAnsi="Times New Roman"/>
          <w:sz w:val="19"/>
          <w:szCs w:val="19"/>
          <w:color w:val="auto"/>
        </w:rPr>
        <w:t>. Upon the vesting of a Restricted Stock Unit hereunder, and subject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election by the Committee pursuant to Section 9(d)(ii) of the Plan, the Company will deliver one share of Common Stock for each Restricted Stock Unit (as adjusted under the Plan, as applicable) to the Participant as soon as reasonably practicable (and, in any event, within two and one-half months) following the applicable vesting date. The Company shall either (a) deliver, or cause to be delivered, to the Participant a certificate or certificates therefor, registered in the Participant’s name or (b) cause such shares of Common Stock to be credited to the Participant’s account in book entry form, including at any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200" w:lineRule="exact"/>
        <w:rPr>
          <w:rFonts w:ascii="Times New Roman" w:cs="Times New Roman" w:eastAsia="Times New Roman" w:hAnsi="Times New Roman"/>
          <w:sz w:val="20"/>
          <w:szCs w:val="20"/>
          <w:color w:val="auto"/>
        </w:rPr>
      </w:pPr>
    </w:p>
    <w:p>
      <w:pPr>
        <w:jc w:val="both"/>
        <w:ind w:firstLine="1304"/>
        <w:spacing w:after="0" w:line="244" w:lineRule="auto"/>
        <w:tabs>
          <w:tab w:leader="none" w:pos="149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Treatment of Restricted Stock Units Upon Termination</w:t>
      </w:r>
      <w:r>
        <w:rPr>
          <w:rFonts w:ascii="Times New Roman" w:cs="Times New Roman" w:eastAsia="Times New Roman" w:hAnsi="Times New Roman"/>
          <w:sz w:val="19"/>
          <w:szCs w:val="19"/>
          <w:color w:val="auto"/>
        </w:rPr>
        <w:t>. Except as otherwise provided in the Grant Notice or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spacing w:after="0" w:line="188" w:lineRule="exact"/>
        <w:rPr>
          <w:rFonts w:ascii="Times New Roman" w:cs="Times New Roman" w:eastAsia="Times New Roman" w:hAnsi="Times New Roman"/>
          <w:sz w:val="20"/>
          <w:szCs w:val="20"/>
          <w:color w:val="auto"/>
        </w:rPr>
      </w:pPr>
    </w:p>
    <w:p>
      <w:pPr>
        <w:jc w:val="both"/>
        <w:ind w:firstLine="1304"/>
        <w:spacing w:after="0" w:line="242" w:lineRule="auto"/>
        <w:tabs>
          <w:tab w:leader="none" w:pos="152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Conditions to Issuance of Common Stock</w:t>
      </w:r>
      <w:r>
        <w:rPr>
          <w:rFonts w:ascii="Times New Roman" w:cs="Times New Roman" w:eastAsia="Times New Roman" w:hAnsi="Times New Roman"/>
          <w:sz w:val="19"/>
          <w:szCs w:val="19"/>
          <w:color w:val="auto"/>
        </w:rPr>
        <w:t>. The Company shall not be required to record the ownership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Participant of shares of Common Stock issued upon the settlement of vested Restricted Stock Units prior to fulfillment of all of the following conditions: (a) the obtaining of approval or other clearance from any federal, state, local or non-U.S. governmental agency which the Committee shall, in its reasonable and good faith discretion, determine to be necessary; (b) the lapse of such reasonable period of time following the vesting of the vested Restricted Stock Units as may otherwise be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1050505</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69" w:lineRule="auto"/>
        <w:rPr>
          <w:sz w:val="20"/>
          <w:szCs w:val="20"/>
          <w:color w:val="auto"/>
        </w:rPr>
      </w:pPr>
      <w:r>
        <w:rPr>
          <w:rFonts w:ascii="Times New Roman" w:cs="Times New Roman" w:eastAsia="Times New Roman" w:hAnsi="Times New Roman"/>
          <w:sz w:val="20"/>
          <w:szCs w:val="20"/>
          <w:color w:val="auto"/>
        </w:rPr>
        <w:t>required by applicable law; and (c) the execution and delivery to the Company, to the extent not so previously executed and delivered, of such other documents and instruments as may be reasonably required by the Committee.</w:t>
      </w:r>
    </w:p>
    <w:p>
      <w:pPr>
        <w:spacing w:after="0" w:line="164" w:lineRule="exact"/>
        <w:rPr>
          <w:sz w:val="20"/>
          <w:szCs w:val="20"/>
          <w:color w:val="auto"/>
        </w:rPr>
      </w:pPr>
    </w:p>
    <w:p>
      <w:pPr>
        <w:jc w:val="both"/>
        <w:ind w:firstLine="1304"/>
        <w:spacing w:after="0" w:line="244" w:lineRule="auto"/>
        <w:tabs>
          <w:tab w:leader="none" w:pos="151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19"/>
          <w:szCs w:val="19"/>
          <w:color w:val="auto"/>
        </w:rPr>
        <w:t>. Whenever the word “Participant” is used in any provision of this Restricted Stock Unit Agreement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circumstances 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p>
    <w:p>
      <w:pPr>
        <w:spacing w:after="0" w:line="202" w:lineRule="exact"/>
        <w:rPr>
          <w:rFonts w:ascii="Times New Roman" w:cs="Times New Roman" w:eastAsia="Times New Roman" w:hAnsi="Times New Roman"/>
          <w:sz w:val="20"/>
          <w:szCs w:val="20"/>
          <w:color w:val="auto"/>
        </w:rPr>
      </w:pPr>
    </w:p>
    <w:p>
      <w:pPr>
        <w:jc w:val="both"/>
        <w:ind w:firstLine="1304"/>
        <w:spacing w:after="0" w:line="255" w:lineRule="auto"/>
        <w:tabs>
          <w:tab w:leader="none" w:pos="149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Non-Transferability</w:t>
      </w:r>
      <w:r>
        <w:rPr>
          <w:rFonts w:ascii="Times New Roman" w:cs="Times New Roman" w:eastAsia="Times New Roman" w:hAnsi="Times New Roman"/>
          <w:sz w:val="19"/>
          <w:szCs w:val="19"/>
          <w:color w:val="auto"/>
        </w:rPr>
        <w:t>. The Restricted Stock Units are not transferable by the Participant except to Permitted Transferees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93" w:lineRule="exact"/>
        <w:rPr>
          <w:rFonts w:ascii="Times New Roman" w:cs="Times New Roman" w:eastAsia="Times New Roman" w:hAnsi="Times New Roman"/>
          <w:sz w:val="20"/>
          <w:szCs w:val="20"/>
          <w:color w:val="auto"/>
        </w:rPr>
      </w:pPr>
    </w:p>
    <w:p>
      <w:pPr>
        <w:jc w:val="both"/>
        <w:ind w:firstLine="1304"/>
        <w:spacing w:after="0" w:line="237" w:lineRule="auto"/>
        <w:tabs>
          <w:tab w:leader="none" w:pos="149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Rights as Shareholder</w:t>
      </w:r>
      <w:r>
        <w:rPr>
          <w:rFonts w:ascii="Times New Roman" w:cs="Times New Roman" w:eastAsia="Times New Roman" w:hAnsi="Times New Roman"/>
          <w:sz w:val="19"/>
          <w:szCs w:val="19"/>
          <w:color w:val="auto"/>
        </w:rPr>
        <w:t>. The Participant or a Permitted Transferee of the Restricted Stock Units shall have no rights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 w:lineRule="exact"/>
        <w:rPr>
          <w:rFonts w:ascii="Times New Roman" w:cs="Times New Roman" w:eastAsia="Times New Roman" w:hAnsi="Times New Roman"/>
          <w:sz w:val="20"/>
          <w:szCs w:val="20"/>
          <w:color w:val="auto"/>
        </w:rPr>
      </w:pPr>
    </w:p>
    <w:p>
      <w:pPr>
        <w:jc w:val="both"/>
        <w:ind w:firstLine="1304"/>
        <w:spacing w:after="0"/>
        <w:tabs>
          <w:tab w:leader="none" w:pos="149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19"/>
          <w:szCs w:val="19"/>
          <w:color w:val="auto"/>
        </w:rPr>
        <w:t>. The Participant must pay to the Company any amount that the Company determines it is required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withhold under applicable federal, state or local or foreign tax laws in respect of the vesting and settlement of the shares of Common Stock underlying the Restricted Stock Units (“</w:t>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19"/>
          <w:szCs w:val="19"/>
          <w:color w:val="auto"/>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issuable under the Restricted Stock Units, and that the broker has been directed to pay a sufficient portion of the net proceeds of the sale to the Company in satisfaction of the Withholding Taxes;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xml:space="preserve">, that payment of such proceeds is then made to the Company upon settlement of such sale, or (iii) through withholding a number of shares of Common Stock issuable under the Restricted Stock Units;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19"/>
          <w:szCs w:val="19"/>
          <w:color w:val="auto"/>
        </w:rPr>
        <w:t>, that the Committee may, in its sole discretion, direct that such withholding obligation be satisfied by any other method described in Section 14 of the Plan.</w:t>
      </w:r>
    </w:p>
    <w:p>
      <w:pPr>
        <w:spacing w:after="0" w:line="200" w:lineRule="exact"/>
        <w:rPr>
          <w:rFonts w:ascii="Times New Roman" w:cs="Times New Roman" w:eastAsia="Times New Roman" w:hAnsi="Times New Roman"/>
          <w:sz w:val="20"/>
          <w:szCs w:val="20"/>
          <w:color w:val="auto"/>
        </w:rPr>
      </w:pPr>
    </w:p>
    <w:p>
      <w:pPr>
        <w:spacing w:after="0" w:line="205" w:lineRule="exact"/>
        <w:rPr>
          <w:rFonts w:ascii="Times New Roman" w:cs="Times New Roman" w:eastAsia="Times New Roman" w:hAnsi="Times New Roman"/>
          <w:sz w:val="20"/>
          <w:szCs w:val="20"/>
          <w:color w:val="auto"/>
        </w:rPr>
      </w:pPr>
    </w:p>
    <w:p>
      <w:pPr>
        <w:jc w:val="both"/>
        <w:ind w:firstLine="1304"/>
        <w:spacing w:after="0" w:line="250" w:lineRule="auto"/>
        <w:tabs>
          <w:tab w:leader="none" w:pos="160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19"/>
          <w:szCs w:val="19"/>
          <w:color w:val="auto"/>
        </w:rPr>
        <w:t>. Every notice or other communication relating to this Restricted Stock Unit Agreement between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1050505</w:t>
      </w:r>
    </w:p>
    <w:p>
      <w:pPr>
        <w:sectPr>
          <w:pgSz w:w="11900" w:h="16838" w:orient="portrait"/>
          <w:cols w:equalWidth="0" w:num="1">
            <w:col w:w="11240"/>
          </w:cols>
          <w:pgMar w:left="320" w:top="1426" w:right="339" w:bottom="1440" w:gutter="0" w:footer="0" w:header="0"/>
        </w:sectPr>
      </w:pPr>
    </w:p>
    <w:bookmarkStart w:id="43" w:name="page44"/>
    <w:bookmarkEnd w:id="43"/>
    <w:p>
      <w:pPr>
        <w:ind w:firstLine="1304"/>
        <w:spacing w:after="0" w:line="282" w:lineRule="auto"/>
        <w:tabs>
          <w:tab w:leader="none" w:pos="158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No Right to Continued Service</w:t>
      </w:r>
      <w:r>
        <w:rPr>
          <w:rFonts w:ascii="Times New Roman" w:cs="Times New Roman" w:eastAsia="Times New Roman" w:hAnsi="Times New Roman"/>
          <w:sz w:val="19"/>
          <w:szCs w:val="19"/>
          <w:color w:val="auto"/>
        </w:rPr>
        <w:t>. This Restricted Stock Unit Agreement does not confer upon the Participant any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to continue as an employee or other service provider to the Company or any of its Subsidiaries.</w:t>
      </w:r>
    </w:p>
    <w:p>
      <w:pPr>
        <w:spacing w:after="0" w:line="148" w:lineRule="exact"/>
        <w:rPr>
          <w:rFonts w:ascii="Times New Roman" w:cs="Times New Roman" w:eastAsia="Times New Roman" w:hAnsi="Times New Roman"/>
          <w:sz w:val="20"/>
          <w:szCs w:val="20"/>
          <w:color w:val="auto"/>
        </w:rPr>
      </w:pPr>
    </w:p>
    <w:p>
      <w:pPr>
        <w:ind w:firstLine="1304"/>
        <w:spacing w:after="0" w:line="243" w:lineRule="auto"/>
        <w:tabs>
          <w:tab w:leader="none" w:pos="160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19"/>
          <w:szCs w:val="19"/>
          <w:color w:val="auto"/>
        </w:rPr>
        <w:t>. This Restricted Stock Unit Agreement shall be binding upon the heirs, executors, administrators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successors of the parties hereto.</w:t>
      </w:r>
    </w:p>
    <w:p>
      <w:pPr>
        <w:spacing w:after="0" w:line="203" w:lineRule="exact"/>
        <w:rPr>
          <w:rFonts w:ascii="Times New Roman" w:cs="Times New Roman" w:eastAsia="Times New Roman" w:hAnsi="Times New Roman"/>
          <w:sz w:val="20"/>
          <w:szCs w:val="20"/>
          <w:color w:val="auto"/>
        </w:rPr>
      </w:pPr>
    </w:p>
    <w:p>
      <w:pPr>
        <w:jc w:val="both"/>
        <w:ind w:firstLine="1304"/>
        <w:spacing w:after="0" w:line="249" w:lineRule="auto"/>
        <w:tabs>
          <w:tab w:leader="none" w:pos="159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Waiver and Amendments</w:t>
      </w:r>
      <w:r>
        <w:rPr>
          <w:rFonts w:ascii="Times New Roman" w:cs="Times New Roman" w:eastAsia="Times New Roman" w:hAnsi="Times New Roman"/>
          <w:sz w:val="19"/>
          <w:szCs w:val="19"/>
          <w:color w:val="auto"/>
        </w:rPr>
        <w:t>. Except as otherwise set forth in Section 13 of the Plan, any waiver, alteration,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or modification of any of the terms of this Restricted Stock Unit Agreement shall be valid only if made in writing and signed by the parties 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97"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Clawback; Forfeiture</w:t>
      </w:r>
      <w:r>
        <w:rPr>
          <w:rFonts w:ascii="Times New Roman" w:cs="Times New Roman" w:eastAsia="Times New Roman" w:hAnsi="Times New Roman"/>
          <w:sz w:val="19"/>
          <w:szCs w:val="19"/>
          <w:color w:val="auto"/>
        </w:rPr>
        <w:t>.</w:t>
      </w:r>
    </w:p>
    <w:p>
      <w:pPr>
        <w:spacing w:after="0" w:line="242" w:lineRule="exact"/>
        <w:rPr>
          <w:sz w:val="20"/>
          <w:szCs w:val="20"/>
          <w:color w:val="auto"/>
        </w:rPr>
      </w:pPr>
    </w:p>
    <w:p>
      <w:pPr>
        <w:jc w:val="both"/>
        <w:ind w:firstLine="1304"/>
        <w:spacing w:after="0" w:line="236" w:lineRule="auto"/>
        <w:tabs>
          <w:tab w:leader="none" w:pos="156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in the Plan, if the Participant has engaged in or engages in any Detrimental Activity, then the Committee may, in its sole discretion, take actions permitted under the Plan, including: (i) canceling the Restricted Stock Units, or (ii) requiring that the Participant forfeit any gain realized on the disposition of any shares of Common Stock received in settlement of any Restricted Stock Units, and repay such gain to the Company. “</w:t>
      </w:r>
      <w:r>
        <w:rPr>
          <w:rFonts w:ascii="Times New Roman" w:cs="Times New Roman" w:eastAsia="Times New Roman" w:hAnsi="Times New Roman"/>
          <w:sz w:val="21"/>
          <w:szCs w:val="21"/>
          <w:u w:val="single" w:color="auto"/>
          <w:color w:val="auto"/>
        </w:rPr>
        <w:t>Detrimental Activity</w:t>
      </w:r>
      <w:r>
        <w:rPr>
          <w:rFonts w:ascii="Times New Roman" w:cs="Times New Roman" w:eastAsia="Times New Roman" w:hAnsi="Times New Roman"/>
          <w:sz w:val="20"/>
          <w:szCs w:val="20"/>
          <w:color w:val="auto"/>
        </w:rPr>
        <w:t>” 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221" w:lineRule="exact"/>
        <w:rPr>
          <w:rFonts w:ascii="Times New Roman" w:cs="Times New Roman" w:eastAsia="Times New Roman" w:hAnsi="Times New Roman"/>
          <w:sz w:val="20"/>
          <w:szCs w:val="20"/>
          <w:color w:val="auto"/>
        </w:rPr>
      </w:pPr>
    </w:p>
    <w:p>
      <w:pPr>
        <w:jc w:val="both"/>
        <w:ind w:firstLine="1304"/>
        <w:spacing w:after="0" w:line="242" w:lineRule="auto"/>
        <w:tabs>
          <w:tab w:leader="none" w:pos="158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and any clawback policy adopted by the Company from time to time, including the Company’s Incentive Compensation Clawback Policy.</w:t>
      </w:r>
    </w:p>
    <w:p>
      <w:pPr>
        <w:spacing w:after="0" w:line="197" w:lineRule="exact"/>
        <w:rPr>
          <w:rFonts w:ascii="Times New Roman" w:cs="Times New Roman" w:eastAsia="Times New Roman" w:hAnsi="Times New Roman"/>
          <w:sz w:val="20"/>
          <w:szCs w:val="20"/>
          <w:color w:val="auto"/>
        </w:rPr>
      </w:pPr>
    </w:p>
    <w:p>
      <w:pPr>
        <w:jc w:val="both"/>
        <w:ind w:firstLine="1304"/>
        <w:spacing w:after="0" w:line="234" w:lineRule="auto"/>
        <w:tabs>
          <w:tab w:leader="none" w:pos="159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For purposes of the foregoing, the Participant expressly and explicitly authorizes (x) the Company and any Service Recipient to issue instructions, on the Participant’s behalf, to any brokerage firm and/or third party administrator engaged by the Company or such Service Recipient to hold shares of the Company’s common stock granted to the Participant and other amounts acquired by the Participant under the Plan or any other incentive compensation plan, program or arrangement of the Company to re-convey, transfer or otherwise return such shares and/or other amounts to the Company or the applicable Service Recipient and (y) the Company’s or Service Recipient’s recovery of any covered compensation through any method of recovery that the Company deems appropriate, including without limitation by reducing any amount that is or may become payable to the Participant. The Participant further agrees to comply with any request or demand for repayment by the Company or any Service Recipient in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1050505</w:t>
      </w:r>
    </w:p>
    <w:p>
      <w:pPr>
        <w:sectPr>
          <w:pgSz w:w="11900" w:h="16838" w:orient="portrait"/>
          <w:cols w:equalWidth="0" w:num="1">
            <w:col w:w="11240"/>
          </w:cols>
          <w:pgMar w:left="320" w:top="1404" w:right="339" w:bottom="1440" w:gutter="0" w:footer="0" w:header="0"/>
        </w:sectPr>
      </w:pPr>
    </w:p>
    <w:bookmarkStart w:id="44" w:name="page45"/>
    <w:bookmarkEnd w:id="44"/>
    <w:p>
      <w:pPr>
        <w:spacing w:after="0" w:line="258" w:lineRule="auto"/>
        <w:rPr>
          <w:sz w:val="20"/>
          <w:szCs w:val="20"/>
          <w:color w:val="auto"/>
        </w:rPr>
      </w:pPr>
      <w:r>
        <w:rPr>
          <w:rFonts w:ascii="Times New Roman" w:cs="Times New Roman" w:eastAsia="Times New Roman" w:hAnsi="Times New Roman"/>
          <w:sz w:val="22"/>
          <w:szCs w:val="22"/>
          <w:color w:val="auto"/>
        </w:rPr>
        <w:t xml:space="preserve">order to comply with such policies or applicable law. To the extent that the terms of this </w:t>
      </w:r>
      <w:r>
        <w:rPr>
          <w:rFonts w:ascii="Times New Roman" w:cs="Times New Roman" w:eastAsia="Times New Roman" w:hAnsi="Times New Roman"/>
          <w:sz w:val="22"/>
          <w:szCs w:val="22"/>
          <w:u w:val="single" w:color="auto"/>
          <w:color w:val="auto"/>
        </w:rPr>
        <w:t>Restricted Stock Unit Agreement</w:t>
      </w:r>
      <w:r>
        <w:rPr>
          <w:rFonts w:ascii="Times New Roman" w:cs="Times New Roman" w:eastAsia="Times New Roman" w:hAnsi="Times New Roman"/>
          <w:sz w:val="22"/>
          <w:szCs w:val="22"/>
          <w:color w:val="auto"/>
        </w:rPr>
        <w:t xml:space="preserve"> and any recoupment policy of the Company conflict, the terms of the recoupment policy shall prevail.</w:t>
      </w:r>
    </w:p>
    <w:p>
      <w:pPr>
        <w:spacing w:after="0" w:line="181" w:lineRule="exact"/>
        <w:rPr>
          <w:sz w:val="20"/>
          <w:szCs w:val="20"/>
          <w:color w:val="auto"/>
        </w:rPr>
      </w:pPr>
    </w:p>
    <w:p>
      <w:pPr>
        <w:jc w:val="both"/>
        <w:ind w:firstLine="1304"/>
        <w:spacing w:after="0" w:line="255" w:lineRule="auto"/>
        <w:tabs>
          <w:tab w:leader="none" w:pos="159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Governing Law; Venue</w:t>
      </w:r>
      <w:r>
        <w:rPr>
          <w:rFonts w:ascii="Times New Roman" w:cs="Times New Roman" w:eastAsia="Times New Roman" w:hAnsi="Times New Roman"/>
          <w:sz w:val="19"/>
          <w:szCs w:val="19"/>
          <w:color w:val="auto"/>
        </w:rPr>
        <w:t>. This Restricted Stock Unit Agreement shall be construed and interpreted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w:t>
      </w:r>
    </w:p>
    <w:p>
      <w:pPr>
        <w:spacing w:after="0" w:line="193" w:lineRule="exact"/>
        <w:rPr>
          <w:rFonts w:ascii="Times New Roman" w:cs="Times New Roman" w:eastAsia="Times New Roman" w:hAnsi="Times New Roman"/>
          <w:sz w:val="20"/>
          <w:szCs w:val="20"/>
          <w:color w:val="auto"/>
        </w:rPr>
      </w:pPr>
    </w:p>
    <w:p>
      <w:pPr>
        <w:jc w:val="both"/>
        <w:ind w:firstLine="1304"/>
        <w:spacing w:after="0"/>
        <w:tabs>
          <w:tab w:leader="none" w:pos="159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Award Subject to Plan</w:t>
      </w:r>
      <w:r>
        <w:rPr>
          <w:rFonts w:ascii="Times New Roman" w:cs="Times New Roman" w:eastAsia="Times New Roman" w:hAnsi="Times New Roman"/>
          <w:sz w:val="19"/>
          <w:szCs w:val="19"/>
          <w:color w:val="auto"/>
        </w:rPr>
        <w:t>. The Restricted Stock Units granted hereunder, and the shares of Common Stock issued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Participant upon 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spacing w:after="0" w:line="200" w:lineRule="exact"/>
        <w:rPr>
          <w:rFonts w:ascii="Times New Roman" w:cs="Times New Roman" w:eastAsia="Times New Roman" w:hAnsi="Times New Roman"/>
          <w:sz w:val="20"/>
          <w:szCs w:val="20"/>
          <w:color w:val="auto"/>
        </w:rPr>
      </w:pPr>
    </w:p>
    <w:p>
      <w:pPr>
        <w:spacing w:after="0" w:line="240" w:lineRule="exact"/>
        <w:rPr>
          <w:rFonts w:ascii="Times New Roman" w:cs="Times New Roman" w:eastAsia="Times New Roman" w:hAnsi="Times New Roman"/>
          <w:sz w:val="20"/>
          <w:szCs w:val="20"/>
          <w:color w:val="auto"/>
        </w:rPr>
      </w:pPr>
    </w:p>
    <w:p>
      <w:pPr>
        <w:jc w:val="both"/>
        <w:ind w:firstLine="1304"/>
        <w:spacing w:after="0" w:line="250" w:lineRule="auto"/>
        <w:tabs>
          <w:tab w:leader="none" w:pos="160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19"/>
          <w:szCs w:val="19"/>
          <w:color w:val="auto"/>
        </w:rPr>
        <w:t>. Notwithstanding any provision in this Restricted Stock Unit Agreement to the contrary, this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Stock Unit Agreement will be interpreted and applied so that the Restricted Stock Unit Agreement does not fail to meet, and is operated in accordance with, the requirements of Section 409A of the Code. The Company reserves the right to change the terms of this Restricted Stock Unit Agreement and the Plan without the Participant’s consent to the extent necessary or desirable to comply with the requirements of Section 409A of the Code. Further, in accordance with the restrictions provided by Treasury Regulation Section 1.409A-3(j)(2), any subsequent amendments to this Restricted Stock Unit Agreement or any other agreement, or the entering into or termination of any other agreement, affecting the Restricted Stock Units provided by this Restricted Stock Unit Agreement shall not modify the time or form of issuance of the Restricted Stock Units set forth in this Restricted Stock Unit Agreement. In addition, if the Participant is a “specified employee” within the meaning of Section 409A of the Code, as determined by the Company, any payment made in connection with the Participant’s separation from service shall not be made earlier than six (6) months and one day after the date of such separation from service to the extent required by Section 409A of the Code.</w:t>
      </w:r>
    </w:p>
    <w:p>
      <w:pPr>
        <w:spacing w:after="0" w:line="200" w:lineRule="exact"/>
        <w:rPr>
          <w:rFonts w:ascii="Times New Roman" w:cs="Times New Roman" w:eastAsia="Times New Roman" w:hAnsi="Times New Roman"/>
          <w:sz w:val="20"/>
          <w:szCs w:val="20"/>
          <w:color w:val="auto"/>
        </w:rPr>
      </w:pPr>
    </w:p>
    <w:p>
      <w:pPr>
        <w:spacing w:after="0" w:line="228" w:lineRule="exact"/>
        <w:rPr>
          <w:rFonts w:ascii="Times New Roman" w:cs="Times New Roman" w:eastAsia="Times New Roman" w:hAnsi="Times New Roman"/>
          <w:sz w:val="20"/>
          <w:szCs w:val="20"/>
          <w:color w:val="auto"/>
        </w:rPr>
      </w:pPr>
    </w:p>
    <w:p>
      <w:pPr>
        <w:jc w:val="both"/>
        <w:ind w:firstLine="1304"/>
        <w:spacing w:after="0" w:line="256" w:lineRule="auto"/>
        <w:tabs>
          <w:tab w:leader="none" w:pos="164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Imposition of Other Requirements</w:t>
      </w:r>
      <w:r>
        <w:rPr>
          <w:rFonts w:ascii="Times New Roman" w:cs="Times New Roman" w:eastAsia="Times New Roman" w:hAnsi="Times New Roman"/>
          <w:sz w:val="19"/>
          <w:szCs w:val="19"/>
          <w:color w:val="auto"/>
        </w:rPr>
        <w:t>. The Company reserves the right to impose other requirements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Participant’s 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78" w:lineRule="exact"/>
        <w:rPr>
          <w:rFonts w:ascii="Times New Roman" w:cs="Times New Roman" w:eastAsia="Times New Roman" w:hAnsi="Times New Roman"/>
          <w:sz w:val="20"/>
          <w:szCs w:val="20"/>
          <w:color w:val="auto"/>
        </w:rPr>
      </w:pPr>
    </w:p>
    <w:p>
      <w:pPr>
        <w:jc w:val="both"/>
        <w:ind w:firstLine="1304"/>
        <w:spacing w:after="0" w:line="244" w:lineRule="auto"/>
        <w:tabs>
          <w:tab w:leader="none" w:pos="16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Transmission Acknowledgement</w:t>
      </w:r>
      <w:r>
        <w:rPr>
          <w:rFonts w:ascii="Times New Roman" w:cs="Times New Roman" w:eastAsia="Times New Roman" w:hAnsi="Times New Roman"/>
          <w:sz w:val="19"/>
          <w:szCs w:val="19"/>
          <w:color w:val="auto"/>
        </w:rPr>
        <w:t>. To the extent necessary, the Participant authorizes, agrees and unambiguously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188" w:lineRule="exact"/>
        <w:rPr>
          <w:rFonts w:ascii="Times New Roman" w:cs="Times New Roman" w:eastAsia="Times New Roman" w:hAnsi="Times New Roman"/>
          <w:sz w:val="20"/>
          <w:szCs w:val="20"/>
          <w:color w:val="auto"/>
        </w:rPr>
      </w:pPr>
    </w:p>
    <w:p>
      <w:pPr>
        <w:ind w:firstLine="1304"/>
        <w:spacing w:after="0" w:line="243" w:lineRule="auto"/>
        <w:tabs>
          <w:tab w:leader="none" w:pos="160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Electronic Delivery and Acceptance</w:t>
      </w:r>
      <w:r>
        <w:rPr>
          <w:rFonts w:ascii="Times New Roman" w:cs="Times New Roman" w:eastAsia="Times New Roman" w:hAnsi="Times New Roman"/>
          <w:sz w:val="19"/>
          <w:szCs w:val="19"/>
          <w:color w:val="auto"/>
        </w:rPr>
        <w:t>. The Company may, in its sole discretion, decide to deliver any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related to current or future participation in the Plan by electronic means.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1050505</w:t>
      </w:r>
    </w:p>
    <w:p>
      <w:pPr>
        <w:sectPr>
          <w:pgSz w:w="11900" w:h="16838" w:orient="portrait"/>
          <w:cols w:equalWidth="0" w:num="1">
            <w:col w:w="11240"/>
          </w:cols>
          <w:pgMar w:left="320" w:top="1408" w:right="339" w:bottom="1440" w:gutter="0" w:footer="0" w:header="0"/>
        </w:sectPr>
      </w:pPr>
    </w:p>
    <w:bookmarkStart w:id="45" w:name="page46"/>
    <w:bookmarkEnd w:id="45"/>
    <w:p>
      <w:pPr>
        <w:jc w:val="both"/>
        <w:spacing w:after="0" w:line="242" w:lineRule="auto"/>
        <w:rPr>
          <w:sz w:val="20"/>
          <w:szCs w:val="20"/>
          <w:color w:val="auto"/>
        </w:rPr>
      </w:pPr>
      <w:r>
        <w:rPr>
          <w:rFonts w:ascii="Times New Roman" w:cs="Times New Roman" w:eastAsia="Times New Roman" w:hAnsi="Times New Roman"/>
          <w:sz w:val="20"/>
          <w:szCs w:val="20"/>
          <w:color w:val="auto"/>
        </w:rPr>
        <w:t>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 w:cs="Times New Roman" w:eastAsia="Times New Roman" w:hAnsi="Times New Roman"/>
          <w:sz w:val="21"/>
          <w:szCs w:val="21"/>
          <w:u w:val="single" w:color="auto"/>
          <w:color w:val="auto"/>
        </w:rPr>
        <w:t>Restricted Stock Unit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Governing Documents</w:t>
      </w:r>
      <w:r>
        <w:rPr>
          <w:rFonts w:ascii="Times New Roman" w:cs="Times New Roman" w:eastAsia="Times New Roman" w:hAnsi="Times New Roman"/>
          <w:sz w:val="19"/>
          <w:szCs w:val="19"/>
          <w:color w:val="auto"/>
        </w:rPr>
        <w:t>”), the Restricted Stock Unit Governing Documents shall control.</w:t>
      </w:r>
    </w:p>
    <w:p>
      <w:pPr>
        <w:spacing w:after="0" w:line="199" w:lineRule="exact"/>
        <w:rPr>
          <w:sz w:val="20"/>
          <w:szCs w:val="20"/>
          <w:color w:val="auto"/>
        </w:rPr>
      </w:pPr>
    </w:p>
    <w:p>
      <w:pPr>
        <w:jc w:val="both"/>
        <w:ind w:firstLine="1304"/>
        <w:spacing w:after="0" w:line="258" w:lineRule="auto"/>
        <w:tabs>
          <w:tab w:leader="none" w:pos="16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19"/>
          <w:szCs w:val="19"/>
          <w:color w:val="auto"/>
        </w:rPr>
        <w:t>. The Restricted Stock Unit Governing Documents constitute the entire agreement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hereto 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1050505</w:t>
      </w:r>
    </w:p>
    <w:p>
      <w:pPr>
        <w:sectPr>
          <w:pgSz w:w="11900" w:h="16838" w:orient="portrait"/>
          <w:cols w:equalWidth="0" w:num="1">
            <w:col w:w="11240"/>
          </w:cols>
          <w:pgMar w:left="320" w:top="141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OPTION GRANT NOTICE</w:t>
      </w:r>
    </w:p>
    <w:p>
      <w:pPr>
        <w:ind w:left="5040"/>
        <w:spacing w:after="0" w:line="225"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rPr>
          <w:sz w:val="20"/>
          <w:szCs w:val="20"/>
          <w:color w:val="auto"/>
        </w:rPr>
      </w:pPr>
      <w:r>
        <w:rPr>
          <w:rFonts w:ascii="Times New Roman" w:cs="Times New Roman" w:eastAsia="Times New Roman" w:hAnsi="Times New Roman"/>
          <w:sz w:val="20"/>
          <w:szCs w:val="20"/>
          <w:b w:val="1"/>
          <w:bCs w:val="1"/>
          <w:color w:val="auto"/>
        </w:rPr>
        <w:t>ACADEMY SPORTS AND OUTDOORS,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20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0"/>
          <w:szCs w:val="20"/>
          <w:color w:val="auto"/>
        </w:rPr>
        <w:t>Academy Sports and Outdoors,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0"/>
          <w:szCs w:val="20"/>
          <w:color w:val="auto"/>
        </w:rPr>
        <w:t>”) hereby grants to the Participant set forth below the number of Options set forth below at an Exercise Price per share as set forth below pursuant to its 2020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0"/>
          <w:szCs w:val="20"/>
          <w:color w:val="auto"/>
        </w:rPr>
        <w:t>”). The Options are subject to all of the terms and conditions as set forth herein, in the Option Agreement attached hereto, and in the Plan, all of which are incorporated herein in their entirety. Capitalized terms not otherwise defined herein shall have the meanings set forth in the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First Name</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Last Name</w:t>
      </w:r>
      <w:r>
        <w:rPr>
          <w:rFonts w:ascii="Times New Roman" w:cs="Times New Roman" w:eastAsia="Times New Roman" w:hAnsi="Times New Roman"/>
          <w:sz w:val="20"/>
          <w:szCs w:val="20"/>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Date of Grant</w:t>
      </w:r>
      <w:r>
        <w:rPr>
          <w:rFonts w:ascii="Times New Roman" w:cs="Times New Roman" w:eastAsia="Times New Roman" w:hAnsi="Times New Roman"/>
          <w:sz w:val="20"/>
          <w:szCs w:val="20"/>
          <w:color w:val="auto"/>
        </w:rPr>
        <w: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 Options</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Number of Options Granted</w:t>
      </w:r>
      <w:r>
        <w:rPr>
          <w:rFonts w:ascii="Times New Roman" w:cs="Times New Roman" w:eastAsia="Times New Roman" w:hAnsi="Times New Roman"/>
          <w:sz w:val="20"/>
          <w:szCs w:val="20"/>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Price per Share</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i w:val="1"/>
          <w:iCs w:val="1"/>
          <w:color w:val="auto"/>
        </w:rPr>
        <w:t>Closing stock price on date of grant</w:t>
      </w:r>
      <w:r>
        <w:rPr>
          <w:rFonts w:ascii="Times New Roman" w:cs="Times New Roman" w:eastAsia="Times New Roman" w:hAnsi="Times New Roman"/>
          <w:sz w:val="20"/>
          <w:szCs w:val="20"/>
          <w:color w:val="auto"/>
        </w:rPr>
        <w: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Option Period Expiration Date</w:t>
      </w:r>
      <w:r>
        <w:rPr>
          <w:rFonts w:ascii="Times New Roman" w:cs="Times New Roman" w:eastAsia="Times New Roman" w:hAnsi="Times New Roman"/>
          <w:sz w:val="20"/>
          <w:szCs w:val="20"/>
          <w:color w:val="auto"/>
        </w:rPr>
        <w:t>: 10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anniversary of Date of Grant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Type of Option</w:t>
      </w:r>
      <w:r>
        <w:rPr>
          <w:rFonts w:ascii="Times New Roman" w:cs="Times New Roman" w:eastAsia="Times New Roman" w:hAnsi="Times New Roman"/>
          <w:sz w:val="20"/>
          <w:szCs w:val="20"/>
          <w:color w:val="auto"/>
        </w:rPr>
        <w:t>: Nonqualified Stock Option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hereto.</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IN CONNECTION WITH THIS GRANT, AND IN ADDITION TO THIS GRANT NOTICE, PARTICIPANT HAS RECEIVED A COPY OF THE PLAN AND THE OPTION AGREEMENT. PARTICIPANT MAY REJECT THIS AWARD OF OPTIONS BY NOTIFYING THE COMPANY NO LATER THAN THE FIFTH BUSINESS DAY FOLLOWING RECEIPT OF THIS AWARD DOCUMENT. FAILURE TO REJECT THIS AWARD OF OPTIONS WITHIN SUCH 5-DAY PERIOD SHALL BE DEEMED ACCEPTANCE OF THIS AWARD OF OPTIONS AND THE TERMS AND CONDITIONS OF THIS AWARD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09" w:right="339" w:bottom="144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1050521.5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1052190</w:t>
      </w:r>
    </w:p>
    <w:p>
      <w:pPr>
        <w:sectPr>
          <w:pgSz w:w="11900" w:h="16838" w:orient="portrait"/>
          <w:cols w:equalWidth="0" w:num="1">
            <w:col w:w="11240"/>
          </w:cols>
          <w:pgMar w:left="320" w:top="1409" w:right="33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OPTION AGREEMENT UNDER THE ACADEMY SPORTS AND OUTDOORS, INC. 2020 OMNIBUS INCENTIVE PLAN</w:t>
      </w:r>
    </w:p>
    <w:p>
      <w:pPr>
        <w:spacing w:after="0" w:line="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Pursuant to the Option Grant Notice (the “</w:t>
      </w:r>
      <w:r>
        <w:rPr>
          <w:rFonts w:ascii="Times New Roman" w:cs="Times New Roman" w:eastAsia="Times New Roman" w:hAnsi="Times New Roman"/>
          <w:sz w:val="21"/>
          <w:szCs w:val="21"/>
          <w:u w:val="single" w:color="auto"/>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Option Agreement (this “</w:t>
      </w:r>
      <w:r>
        <w:rPr>
          <w:rFonts w:ascii="Times New Roman" w:cs="Times New Roman" w:eastAsia="Times New Roman" w:hAnsi="Times New Roman"/>
          <w:sz w:val="21"/>
          <w:szCs w:val="21"/>
          <w:u w:val="single" w:color="auto"/>
          <w:color w:val="auto"/>
        </w:rPr>
        <w:t>Option Agreement</w:t>
      </w:r>
      <w:r>
        <w:rPr>
          <w:rFonts w:ascii="Times New Roman" w:cs="Times New Roman" w:eastAsia="Times New Roman" w:hAnsi="Times New Roman"/>
          <w:sz w:val="20"/>
          <w:szCs w:val="20"/>
          <w:color w:val="auto"/>
        </w:rPr>
        <w:t>”) and the Academy Sports and Outdoors, Inc. 2020 Omnibus Incentive Plan, as it may be amended and restated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0"/>
          <w:szCs w:val="20"/>
          <w:color w:val="auto"/>
        </w:rPr>
        <w:t>”), Academy Sports and Outdoors,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97" w:lineRule="exact"/>
        <w:rPr>
          <w:sz w:val="20"/>
          <w:szCs w:val="20"/>
          <w:color w:val="auto"/>
        </w:rPr>
      </w:pPr>
    </w:p>
    <w:p>
      <w:pPr>
        <w:jc w:val="both"/>
        <w:ind w:firstLine="1304"/>
        <w:spacing w:after="0" w:line="262" w:lineRule="auto"/>
        <w:tabs>
          <w:tab w:leader="none" w:pos="1507"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Grant of Option</w:t>
      </w:r>
      <w:r>
        <w:rPr>
          <w:rFonts w:ascii="Times New Roman" w:cs="Times New Roman" w:eastAsia="Times New Roman" w:hAnsi="Times New Roman"/>
          <w:sz w:val="19"/>
          <w:szCs w:val="19"/>
          <w:color w:val="auto"/>
        </w:rPr>
        <w:t>. Each Option granted to the Participant pursuant to the Grant Notice represents the right to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one share of Common Stock at an Exercise Price per share as provided in the Grant Notice. The Company may make one or more additional grants of Options to the Participant under this Option Agreement by providing the Participant with a new Grant Notice, which may also include any terms and conditions differing from this Option Agreement to the extent provided therein. The Company reserves all rights with respect to the granting of additional Options hereunder and makes no implied promise to grant additional Options.</w:t>
      </w:r>
    </w:p>
    <w:p>
      <w:pPr>
        <w:spacing w:after="0" w:line="187" w:lineRule="exact"/>
        <w:rPr>
          <w:rFonts w:ascii="Times New Roman" w:cs="Times New Roman" w:eastAsia="Times New Roman" w:hAnsi="Times New Roman"/>
          <w:sz w:val="20"/>
          <w:szCs w:val="20"/>
          <w:color w:val="auto"/>
        </w:rPr>
      </w:pPr>
    </w:p>
    <w:p>
      <w:pPr>
        <w:ind w:left="1500" w:hanging="196"/>
        <w:spacing w:after="0"/>
        <w:tabs>
          <w:tab w:leader="none" w:pos="150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19"/>
          <w:szCs w:val="19"/>
          <w:color w:val="auto"/>
        </w:rPr>
        <w:t>. Subject to the conditions contained herein and in the Plan, the Options shall vest as provided in the Grant Notice.</w:t>
      </w:r>
    </w:p>
    <w:p>
      <w:pPr>
        <w:spacing w:after="0" w:line="233" w:lineRule="exact"/>
        <w:rPr>
          <w:rFonts w:ascii="Times New Roman" w:cs="Times New Roman" w:eastAsia="Times New Roman" w:hAnsi="Times New Roman"/>
          <w:sz w:val="20"/>
          <w:szCs w:val="20"/>
          <w:color w:val="auto"/>
        </w:rPr>
      </w:pPr>
    </w:p>
    <w:p>
      <w:pPr>
        <w:jc w:val="both"/>
        <w:ind w:firstLine="1304"/>
        <w:spacing w:after="0" w:line="244" w:lineRule="auto"/>
        <w:tabs>
          <w:tab w:leader="none" w:pos="149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Exercise of Options Following Termination</w:t>
      </w:r>
      <w:r>
        <w:rPr>
          <w:rFonts w:ascii="Times New Roman" w:cs="Times New Roman" w:eastAsia="Times New Roman" w:hAnsi="Times New Roman"/>
          <w:sz w:val="19"/>
          <w:szCs w:val="19"/>
          <w:color w:val="auto"/>
        </w:rPr>
        <w:t>. Except as otherwise provided in the Grant Notice or as otherwise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be provided by the Committee,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(1) year thereafter (but in no event beyond the expiration of the Option Period); (C) a Participant’s Termination without Good Reason, each outstanding unvested Option granted to such Participant shall immediately terminate and expire, and each outstanding vested Option shall remain exercisable for thirty (30) days thereafter (but in no event beyond the expiration of the Option Period); (D) a Participant’s Termination by reason of Retirement, each outstanding Option shall remain outstanding and exercisable until one</w:t>
      </w:r>
    </w:p>
    <w:p>
      <w:pPr>
        <w:ind w:left="320" w:hanging="312"/>
        <w:spacing w:after="0"/>
        <w:tabs>
          <w:tab w:leader="none" w:pos="3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 after the final vesting date applicable to such Option (but in no event beyond the expiration of the Option Period); and (E) a</w:t>
      </w:r>
    </w:p>
    <w:p>
      <w:pPr>
        <w:jc w:val="both"/>
        <w:spacing w:after="0" w:line="234" w:lineRule="auto"/>
        <w:rPr>
          <w:sz w:val="20"/>
          <w:szCs w:val="20"/>
          <w:color w:val="auto"/>
        </w:rPr>
      </w:pPr>
      <w:r>
        <w:rPr>
          <w:rFonts w:ascii="Times New Roman" w:cs="Times New Roman" w:eastAsia="Times New Roman" w:hAnsi="Times New Roman"/>
          <w:sz w:val="20"/>
          <w:szCs w:val="20"/>
          <w:color w:val="auto"/>
        </w:rPr>
        <w:t>Participant’s Termination for any other reason (including, for the avoidance of doubt, termination by the Service Recipient without Cause or by the Participant for Good Reason), each outstanding unvested Option granted to such Participant shall immediately terminate and expire, and each outstanding vested Option shall remain exercisable for one hundred eighty (180) days thereafter (but in no event beyond the expiration of the Option Period).</w:t>
      </w:r>
    </w:p>
    <w:p>
      <w:pPr>
        <w:spacing w:after="0" w:line="193" w:lineRule="exact"/>
        <w:rPr>
          <w:sz w:val="20"/>
          <w:szCs w:val="20"/>
          <w:color w:val="auto"/>
        </w:rPr>
      </w:pPr>
    </w:p>
    <w:p>
      <w:pPr>
        <w:jc w:val="both"/>
        <w:ind w:firstLine="1304"/>
        <w:spacing w:after="0" w:line="255" w:lineRule="auto"/>
        <w:tabs>
          <w:tab w:leader="none" w:pos="149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Method of Exercising Options</w:t>
      </w:r>
      <w:r>
        <w:rPr>
          <w:rFonts w:ascii="Times New Roman" w:cs="Times New Roman" w:eastAsia="Times New Roman" w:hAnsi="Times New Roman"/>
          <w:sz w:val="19"/>
          <w:szCs w:val="19"/>
          <w:color w:val="auto"/>
        </w:rPr>
        <w:t>. The Options may be exercised by the delivery of notice of the number of Options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are being exercised accompanied by payment in full of the Exercise Price applicable to the Options so exercised. Such notice shall be delivered either (a) in writing to the Company at its principal office or at such other address as may be established by the Committee, to the attention of the Company’s Compensation Department or its designee; or (b) to a third-party plan administrator as may be arranged for by the Company or the Committee from time to time for purposes of the administration of outstanding Options under the Plan, in the case of either</w:t>
      </w:r>
    </w:p>
    <w:p>
      <w:pPr>
        <w:spacing w:after="0" w:line="1" w:lineRule="exact"/>
        <w:rPr>
          <w:rFonts w:ascii="Times New Roman" w:cs="Times New Roman" w:eastAsia="Times New Roman" w:hAnsi="Times New Roman"/>
          <w:sz w:val="20"/>
          <w:szCs w:val="20"/>
          <w:color w:val="auto"/>
        </w:rPr>
      </w:pPr>
    </w:p>
    <w:p>
      <w:pPr>
        <w:jc w:val="both"/>
        <w:ind w:firstLine="8"/>
        <w:spacing w:after="0"/>
        <w:tabs>
          <w:tab w:leader="none" w:pos="28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or (b), as communicated to the Participant by the Company from time to time. Payment of the aggregate Exercise Price may be made using any of the methods described in Section 7(d)(i) or (ii) of the Plan;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0"/>
          <w:szCs w:val="20"/>
          <w:color w:val="auto"/>
        </w:rPr>
        <w:t>, that the Participant shall obtain written consent from the Committee prior to the use of the method described in Section 7(d)(ii)(A) of the Plan.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1050521</w:t>
      </w:r>
    </w:p>
    <w:p>
      <w:pPr>
        <w:sectPr>
          <w:pgSz w:w="11900" w:h="16838" w:orient="portrait"/>
          <w:cols w:equalWidth="0" w:num="1">
            <w:col w:w="11240"/>
          </w:cols>
          <w:pgMar w:left="320" w:top="1409" w:right="339" w:bottom="1440" w:gutter="0" w:footer="0" w:header="0"/>
        </w:sectPr>
      </w:pPr>
    </w:p>
    <w:bookmarkStart w:id="48" w:name="page49"/>
    <w:bookmarkEnd w:id="48"/>
    <w:p>
      <w:pPr>
        <w:jc w:val="both"/>
        <w:ind w:firstLine="1304"/>
        <w:spacing w:after="0" w:line="238" w:lineRule="exact"/>
        <w:tabs>
          <w:tab w:leader="none" w:pos="149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Issuance of Shares of Common Stock</w:t>
      </w:r>
      <w:r>
        <w:rPr>
          <w:rFonts w:ascii="Times New Roman" w:cs="Times New Roman" w:eastAsia="Times New Roman" w:hAnsi="Times New Roman"/>
          <w:sz w:val="19"/>
          <w:szCs w:val="19"/>
          <w:color w:val="auto"/>
        </w:rPr>
        <w:t>. Following the exercise of an Option hereunder, as promptly as practical 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receipt of such notification and full payment of such Exercise Price and any required income or other tax withholding amount (as provided in Section 10 hereof), the Company shall issue or transfer, or cause such issue or transfer, to the Participant the number of shares of Common Stock with respect to which the Options have been so exercised, and shall either (a) deliver, or cause to be delivered, to the Participant a certificate or certificates therefor, registered in the Participant’s name or (b) cause such shares of Common Stock to be credited to the Participant’s account at the third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party plan administrator.</w:t>
      </w:r>
    </w:p>
    <w:p>
      <w:pPr>
        <w:spacing w:after="0" w:line="167" w:lineRule="exact"/>
        <w:rPr>
          <w:rFonts w:ascii="Times New Roman" w:cs="Times New Roman" w:eastAsia="Times New Roman" w:hAnsi="Times New Roman"/>
          <w:sz w:val="20"/>
          <w:szCs w:val="20"/>
          <w:color w:val="auto"/>
        </w:rPr>
      </w:pPr>
    </w:p>
    <w:p>
      <w:pPr>
        <w:jc w:val="both"/>
        <w:ind w:firstLine="1304"/>
        <w:spacing w:after="0" w:line="241" w:lineRule="auto"/>
        <w:tabs>
          <w:tab w:leader="none" w:pos="152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Conditions to Issuance of Common Stock</w:t>
      </w:r>
      <w:r>
        <w:rPr>
          <w:rFonts w:ascii="Times New Roman" w:cs="Times New Roman" w:eastAsia="Times New Roman" w:hAnsi="Times New Roman"/>
          <w:sz w:val="19"/>
          <w:szCs w:val="19"/>
          <w:color w:val="auto"/>
        </w:rPr>
        <w:t>. The Company shall not be required to record the ownership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Participant of shares of Common Stock purchased upon the exercise of the Options or portion therefore prior to fulfillment of all of the following conditions: (a) the obtaining of approval or other clearance from any federal, state, local or non-U.S. governmental agency which the Committee shall, in its reasonable and good faith discretion, determine to be necessary; (b) the lapse of such reasonable period of time following the exercise of the Option as may otherwise be required by applicable law; and (c) the execution and delivery to the Company, to the extent not so previously executed and delivered, of such other documents and instruments as may be reasonably required by the Committee.</w:t>
      </w:r>
    </w:p>
    <w:p>
      <w:pPr>
        <w:spacing w:after="0" w:line="200" w:lineRule="exact"/>
        <w:rPr>
          <w:rFonts w:ascii="Times New Roman" w:cs="Times New Roman" w:eastAsia="Times New Roman" w:hAnsi="Times New Roman"/>
          <w:sz w:val="20"/>
          <w:szCs w:val="20"/>
          <w:color w:val="auto"/>
        </w:rPr>
      </w:pPr>
    </w:p>
    <w:p>
      <w:pPr>
        <w:spacing w:after="0" w:line="223" w:lineRule="exact"/>
        <w:rPr>
          <w:rFonts w:ascii="Times New Roman" w:cs="Times New Roman" w:eastAsia="Times New Roman" w:hAnsi="Times New Roman"/>
          <w:sz w:val="20"/>
          <w:szCs w:val="20"/>
          <w:color w:val="auto"/>
        </w:rPr>
      </w:pPr>
    </w:p>
    <w:p>
      <w:pPr>
        <w:jc w:val="both"/>
        <w:ind w:firstLine="1304"/>
        <w:spacing w:after="0" w:line="265" w:lineRule="auto"/>
        <w:tabs>
          <w:tab w:leader="none" w:pos="150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19"/>
          <w:szCs w:val="19"/>
          <w:color w:val="auto"/>
        </w:rPr>
        <w:t>. Whenever the word “Participant” is used in any provision of this Option Agreement under circumstances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where the provision should logically be construed to apply to the executors, the administrators, or the person or persons to whom the Options may be transferred in accordance with Section 14(b) of the Plan, the word “Participant” shall be deemed to include such person or persons.</w:t>
      </w:r>
    </w:p>
    <w:p>
      <w:pPr>
        <w:spacing w:after="0" w:line="16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52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Non-Transferability</w:t>
      </w:r>
      <w:r>
        <w:rPr>
          <w:rFonts w:ascii="Times New Roman" w:cs="Times New Roman" w:eastAsia="Times New Roman" w:hAnsi="Times New Roman"/>
          <w:sz w:val="19"/>
          <w:szCs w:val="19"/>
          <w:color w:val="auto"/>
        </w:rPr>
        <w:t>. The Options are not transferable by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19"/>
          <w:szCs w:val="19"/>
          <w:color w:val="auto"/>
        </w:rPr>
        <w:t>, to the extent permitted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Committee in accordance with Section 14(b) of the Plan, vested Options may be transferred to Permitted Transferees. Except as otherwise provided herein, no assignment or transfer of the Options, or of the rights represented thereby, whether voluntary or involuntary, by operation of law or otherwise, shall vest in the assignee or transferee any interest or right herein whatsoever, but immediately upon such assignment or transfer the Options shall terminate and become of no further effect.</w:t>
      </w:r>
    </w:p>
    <w:p>
      <w:pPr>
        <w:spacing w:after="0" w:line="185" w:lineRule="exact"/>
        <w:rPr>
          <w:rFonts w:ascii="Times New Roman" w:cs="Times New Roman" w:eastAsia="Times New Roman" w:hAnsi="Times New Roman"/>
          <w:sz w:val="20"/>
          <w:szCs w:val="20"/>
          <w:color w:val="auto"/>
        </w:rPr>
      </w:pPr>
    </w:p>
    <w:p>
      <w:pPr>
        <w:jc w:val="both"/>
        <w:ind w:firstLine="1304"/>
        <w:spacing w:after="0" w:line="256" w:lineRule="auto"/>
        <w:tabs>
          <w:tab w:leader="none" w:pos="150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Rights as Shareholder</w:t>
      </w:r>
      <w:r>
        <w:rPr>
          <w:rFonts w:ascii="Times New Roman" w:cs="Times New Roman" w:eastAsia="Times New Roman" w:hAnsi="Times New Roman"/>
          <w:sz w:val="19"/>
          <w:szCs w:val="19"/>
          <w:color w:val="auto"/>
        </w:rPr>
        <w:t>. The Participant shall have no rights as a shareholder with respect to any share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Stock covered by an Option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78" w:lineRule="exact"/>
        <w:rPr>
          <w:rFonts w:ascii="Times New Roman" w:cs="Times New Roman" w:eastAsia="Times New Roman" w:hAnsi="Times New Roman"/>
          <w:sz w:val="20"/>
          <w:szCs w:val="20"/>
          <w:color w:val="auto"/>
        </w:rPr>
      </w:pPr>
    </w:p>
    <w:p>
      <w:pPr>
        <w:jc w:val="both"/>
        <w:ind w:firstLine="1304"/>
        <w:spacing w:after="0" w:line="246" w:lineRule="auto"/>
        <w:tabs>
          <w:tab w:leader="none" w:pos="15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19"/>
          <w:szCs w:val="19"/>
          <w:color w:val="auto"/>
        </w:rPr>
        <w:t>. Concurrently with the exercise of an Option, the Participant must pay to the Company any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that the Company determines it is required to withhold under applicable federal, state or local or foreign tax laws in respect of the exercise or the transfer of the shares of Common Stock in connection therewith (“</w:t>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19"/>
          <w:szCs w:val="19"/>
          <w:color w:val="auto"/>
        </w:rPr>
        <w:t xml:space="preserve">”). The Company, in its sole and absolute discretion, may require the Participant to make payment: (i) in cash or by check or wire transfer (or any combination thereof), (ii) to the extent permitted by applicable law, by delivery of a notice that the Participant has placed a market sell order with a broker with respect to shares of Common Stock then issuable upon exercise of the Options being so exercised, and that the broker has been directed to pay a sufficient portion of the net proceeds of the sale to the Company in satisfaction of the Withholding Taxes;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that payment of such proceeds is then made to the Company upon settlement of such sale, or (iii) through withholding a number of shares of Common Stock issuable upon exercise of the Option; and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1050521</w:t>
      </w:r>
    </w:p>
    <w:p>
      <w:pPr>
        <w:sectPr>
          <w:pgSz w:w="11900" w:h="16838" w:orient="portrait"/>
          <w:cols w:equalWidth="0" w:num="1">
            <w:col w:w="11240"/>
          </w:cols>
          <w:pgMar w:left="320" w:top="140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19"/>
          <w:szCs w:val="19"/>
          <w:color w:val="auto"/>
        </w:rPr>
        <w:t>, that the Committee may, in its sole discretion, direct that such withholding obligation be satisfied by any other method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described in Section 14 of the Plan.</w:t>
      </w:r>
    </w:p>
    <w:p>
      <w:pPr>
        <w:spacing w:after="0" w:line="192" w:lineRule="exact"/>
        <w:rPr>
          <w:sz w:val="20"/>
          <w:szCs w:val="20"/>
          <w:color w:val="auto"/>
        </w:rPr>
      </w:pPr>
    </w:p>
    <w:p>
      <w:pPr>
        <w:jc w:val="both"/>
        <w:ind w:firstLine="1304"/>
        <w:spacing w:after="0" w:line="250" w:lineRule="auto"/>
        <w:tabs>
          <w:tab w:leader="none" w:pos="162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19"/>
          <w:szCs w:val="19"/>
          <w:color w:val="auto"/>
        </w:rPr>
        <w:t>. Every notice or other communication relating to this Option Agreement between the Company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200" w:lineRule="exact"/>
        <w:rPr>
          <w:rFonts w:ascii="Times New Roman" w:cs="Times New Roman" w:eastAsia="Times New Roman" w:hAnsi="Times New Roman"/>
          <w:sz w:val="20"/>
          <w:szCs w:val="20"/>
          <w:color w:val="auto"/>
        </w:rPr>
      </w:pPr>
    </w:p>
    <w:p>
      <w:pPr>
        <w:ind w:firstLine="1304"/>
        <w:spacing w:after="0" w:line="267" w:lineRule="auto"/>
        <w:tabs>
          <w:tab w:leader="none" w:pos="15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No Right to Continued Service</w:t>
      </w:r>
      <w:r>
        <w:rPr>
          <w:rFonts w:ascii="Times New Roman" w:cs="Times New Roman" w:eastAsia="Times New Roman" w:hAnsi="Times New Roman"/>
          <w:sz w:val="19"/>
          <w:szCs w:val="19"/>
          <w:color w:val="auto"/>
        </w:rPr>
        <w:t>. This Option Agreement does not confer upon the Participant any right to continue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 employee or service provider to the Company or any of its Subsidiaries.</w:t>
      </w:r>
    </w:p>
    <w:p>
      <w:pPr>
        <w:spacing w:after="0" w:line="177"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19"/>
          <w:szCs w:val="19"/>
          <w:color w:val="auto"/>
        </w:rPr>
        <w:t>. This Option Agreement shall be binding upon the heirs, executors, administrators and successors of the</w:t>
      </w:r>
    </w:p>
    <w:p>
      <w:pPr>
        <w:spacing w:after="0" w:line="2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parties hereto.</w:t>
      </w:r>
    </w:p>
    <w:p>
      <w:pPr>
        <w:spacing w:after="0" w:line="198" w:lineRule="exact"/>
        <w:rPr>
          <w:rFonts w:ascii="Times New Roman" w:cs="Times New Roman" w:eastAsia="Times New Roman" w:hAnsi="Times New Roman"/>
          <w:sz w:val="20"/>
          <w:szCs w:val="20"/>
          <w:color w:val="auto"/>
        </w:rPr>
      </w:pPr>
    </w:p>
    <w:p>
      <w:pPr>
        <w:jc w:val="both"/>
        <w:ind w:firstLine="1304"/>
        <w:spacing w:after="0" w:line="246" w:lineRule="auto"/>
        <w:tabs>
          <w:tab w:leader="none" w:pos="159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Waiver and Amendments</w:t>
      </w:r>
      <w:r>
        <w:rPr>
          <w:rFonts w:ascii="Times New Roman" w:cs="Times New Roman" w:eastAsia="Times New Roman" w:hAnsi="Times New Roman"/>
          <w:sz w:val="19"/>
          <w:szCs w:val="19"/>
          <w:color w:val="auto"/>
        </w:rPr>
        <w:t>. Except as otherwise set forth in Section 13 of the Plan, any waiver, alteration,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 xml:space="preserve">or modification of any of the terms of this Option Agreement shall be valid only if made in writing and signed by the parties 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19"/>
          <w:szCs w:val="19"/>
          <w:color w:val="auto"/>
        </w:rPr>
        <w:t>, that any such waiver, alteration, amendment or modification is consented to on the Company’s behalf by the Committee. No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88"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Clawback; Forfeiture</w:t>
      </w:r>
      <w:r>
        <w:rPr>
          <w:rFonts w:ascii="Times New Roman" w:cs="Times New Roman" w:eastAsia="Times New Roman" w:hAnsi="Times New Roman"/>
          <w:sz w:val="19"/>
          <w:szCs w:val="19"/>
          <w:color w:val="auto"/>
        </w:rPr>
        <w:t>.</w:t>
      </w:r>
    </w:p>
    <w:p>
      <w:pPr>
        <w:spacing w:after="0" w:line="255" w:lineRule="exact"/>
        <w:rPr>
          <w:sz w:val="20"/>
          <w:szCs w:val="20"/>
          <w:color w:val="auto"/>
        </w:rPr>
      </w:pPr>
    </w:p>
    <w:p>
      <w:pPr>
        <w:jc w:val="both"/>
        <w:ind w:firstLine="1304"/>
        <w:spacing w:after="0" w:line="238" w:lineRule="auto"/>
        <w:tabs>
          <w:tab w:leader="none" w:pos="157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in the Plan, if the Participant has engaged in or engages in any Detrimental Activity, then the Committee may, in its sole discretion, take actions permitted under the Plan, including: (i) canceling the Options, or (ii) requiring that the Participant forfeit any gain realized on the exercise of the Options or the disposition of any shares of Common Stock received upon exercise of the Options, and repay such gain to the Company. “</w:t>
      </w:r>
      <w:r>
        <w:rPr>
          <w:rFonts w:ascii="Times New Roman" w:cs="Times New Roman" w:eastAsia="Times New Roman" w:hAnsi="Times New Roman"/>
          <w:sz w:val="21"/>
          <w:szCs w:val="21"/>
          <w:u w:val="single" w:color="auto"/>
          <w:color w:val="auto"/>
        </w:rPr>
        <w:t>Detrimental Activity</w:t>
      </w:r>
      <w:r>
        <w:rPr>
          <w:rFonts w:ascii="Times New Roman" w:cs="Times New Roman" w:eastAsia="Times New Roman" w:hAnsi="Times New Roman"/>
          <w:sz w:val="20"/>
          <w:szCs w:val="20"/>
          <w:color w:val="auto"/>
        </w:rPr>
        <w:t>” 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217" w:lineRule="exact"/>
        <w:rPr>
          <w:rFonts w:ascii="Times New Roman" w:cs="Times New Roman" w:eastAsia="Times New Roman" w:hAnsi="Times New Roman"/>
          <w:sz w:val="20"/>
          <w:szCs w:val="20"/>
          <w:color w:val="auto"/>
        </w:rPr>
      </w:pPr>
    </w:p>
    <w:p>
      <w:pPr>
        <w:jc w:val="both"/>
        <w:ind w:firstLine="1304"/>
        <w:spacing w:after="0" w:line="249" w:lineRule="auto"/>
        <w:tabs>
          <w:tab w:leader="none" w:pos="158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if the Participant receives any amount in excess of what the Participant should have received under the terms of this Option Agreement for any reason (including without limitation by reason of a financial restatement, mistake in calculations or other administrative error), then the Participant shall be required to repay any such excess amount to the Company. Without limiting the foregoing, all Options shall be subject to reduction, cancellation, forfeiture, offset or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1050521</w:t>
      </w:r>
    </w:p>
    <w:p>
      <w:pPr>
        <w:sectPr>
          <w:pgSz w:w="11900" w:h="16838" w:orient="portrait"/>
          <w:cols w:equalWidth="0" w:num="1">
            <w:col w:w="11240"/>
          </w:cols>
          <w:pgMar w:left="320" w:top="1408" w:right="339" w:bottom="1440" w:gutter="0" w:footer="0" w:header="0"/>
        </w:sectPr>
      </w:pPr>
    </w:p>
    <w:bookmarkStart w:id="50" w:name="page51"/>
    <w:bookmarkEnd w:id="50"/>
    <w:p>
      <w:pPr>
        <w:spacing w:after="0" w:line="255" w:lineRule="auto"/>
        <w:rPr>
          <w:sz w:val="20"/>
          <w:szCs w:val="20"/>
          <w:color w:val="auto"/>
        </w:rPr>
      </w:pPr>
      <w:r>
        <w:rPr>
          <w:rFonts w:ascii="Times New Roman" w:cs="Times New Roman" w:eastAsia="Times New Roman" w:hAnsi="Times New Roman"/>
          <w:sz w:val="20"/>
          <w:szCs w:val="20"/>
          <w:color w:val="auto"/>
        </w:rPr>
        <w:t>recoupment to the extent necessary to comply with applicable law and any clawback policy adopted by the Company from time to time, including the Company’s Incentive Compensation Clawback Policy.</w:t>
      </w:r>
    </w:p>
    <w:p>
      <w:pPr>
        <w:spacing w:after="0" w:line="213" w:lineRule="exact"/>
        <w:rPr>
          <w:sz w:val="20"/>
          <w:szCs w:val="20"/>
          <w:color w:val="auto"/>
        </w:rPr>
      </w:pPr>
    </w:p>
    <w:p>
      <w:pPr>
        <w:jc w:val="both"/>
        <w:ind w:firstLine="1304"/>
        <w:spacing w:after="0" w:line="239" w:lineRule="auto"/>
        <w:tabs>
          <w:tab w:leader="none" w:pos="159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foregoing, the Participant expressly and explicitly authorizes (x) the Company and any Service Recipient to issue instructions, on the Participant’s behalf, to any brokerage firm and/or third party administrator engaged by the Company or such Service Recipient to hold shares of the Company’s common stock granted to the Participant and other amounts acquired by the Participant under the Plan or any other incentive compensation plan, program or arrangement of the Company to re-convey, transfer or otherwise return such shares and/or other amounts to the Company or the applicable Service Recipient and (y) the Company’s or Service Recipient’s recovery of any covered compensation through any method of recovery that the Company deems appropriate, including without limitation by reducing any amount that is or may become payable to the Participant. The Participant further agrees to comply with any request or demand for repayment by the Company or any Service Recipient in order to comply with such policies or applicable law. To the extent that the terms of this Option Agreement and any recoupment policy of the Company conflict, the terms of the recoupment policy shall prevail.</w:t>
      </w:r>
    </w:p>
    <w:p>
      <w:pPr>
        <w:spacing w:after="0" w:line="212" w:lineRule="exact"/>
        <w:rPr>
          <w:sz w:val="20"/>
          <w:szCs w:val="20"/>
          <w:color w:val="auto"/>
        </w:rPr>
      </w:pPr>
    </w:p>
    <w:p>
      <w:pPr>
        <w:jc w:val="both"/>
        <w:ind w:firstLine="1304"/>
        <w:spacing w:after="0" w:line="241" w:lineRule="auto"/>
        <w:tabs>
          <w:tab w:leader="none" w:pos="15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Governing Law; Venue</w:t>
      </w:r>
      <w:r>
        <w:rPr>
          <w:rFonts w:ascii="Times New Roman" w:cs="Times New Roman" w:eastAsia="Times New Roman" w:hAnsi="Times New Roman"/>
          <w:sz w:val="19"/>
          <w:szCs w:val="19"/>
          <w:color w:val="auto"/>
        </w:rPr>
        <w:t>. This Option Agreement shall be construed and interpreted in accordance with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State of Delaware, without regard to the principles of conflicts of law thereof. Notwithstanding anything contained in this Option Agreement, the Grant Notice or the Plan to the contrary, if any suit or claim is instituted by the Participant or the Company relating to this Option Agreement, the Grant Notice or the Plan, the Participant hereby submits to the exclusive jurisdiction of and venue in the courts of Houston, Texas.</w:t>
      </w:r>
    </w:p>
    <w:p>
      <w:pPr>
        <w:spacing w:after="0" w:line="200" w:lineRule="exact"/>
        <w:rPr>
          <w:rFonts w:ascii="Times New Roman" w:cs="Times New Roman" w:eastAsia="Times New Roman" w:hAnsi="Times New Roman"/>
          <w:sz w:val="20"/>
          <w:szCs w:val="20"/>
          <w:color w:val="auto"/>
        </w:rPr>
      </w:pPr>
    </w:p>
    <w:p>
      <w:pPr>
        <w:spacing w:after="0" w:line="243" w:lineRule="exact"/>
        <w:rPr>
          <w:rFonts w:ascii="Times New Roman" w:cs="Times New Roman" w:eastAsia="Times New Roman" w:hAnsi="Times New Roman"/>
          <w:sz w:val="20"/>
          <w:szCs w:val="20"/>
          <w:color w:val="auto"/>
        </w:rPr>
      </w:pPr>
    </w:p>
    <w:p>
      <w:pPr>
        <w:jc w:val="both"/>
        <w:ind w:firstLine="1304"/>
        <w:spacing w:after="0" w:line="249" w:lineRule="auto"/>
        <w:tabs>
          <w:tab w:leader="none" w:pos="160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Award Subject to Plan</w:t>
      </w:r>
      <w:r>
        <w:rPr>
          <w:rFonts w:ascii="Times New Roman" w:cs="Times New Roman" w:eastAsia="Times New Roman" w:hAnsi="Times New Roman"/>
          <w:sz w:val="19"/>
          <w:szCs w:val="19"/>
          <w:color w:val="auto"/>
        </w:rPr>
        <w:t>. The Options granted hereunder, and the shares of Common Stock issued to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upon exercise of the Options, are subject to the Plan and the terms of the Plan are hereby incorporated into this Option Agreement. By accepting the Options, the Participant acknowledges that the Participant has received and read the Plan and agrees to be bound by the terms, conditions, and restrictions set forth in the Plan, this Option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Option Agreement shall survive the termination of this Award to the extent consistent with, or necessary to carry out, the purposes thereof.</w:t>
      </w:r>
    </w:p>
    <w:p>
      <w:pPr>
        <w:spacing w:after="0" w:line="186" w:lineRule="exact"/>
        <w:rPr>
          <w:rFonts w:ascii="Times New Roman" w:cs="Times New Roman" w:eastAsia="Times New Roman" w:hAnsi="Times New Roman"/>
          <w:sz w:val="20"/>
          <w:szCs w:val="20"/>
          <w:color w:val="auto"/>
        </w:rPr>
      </w:pPr>
    </w:p>
    <w:p>
      <w:pPr>
        <w:jc w:val="both"/>
        <w:ind w:firstLine="1304"/>
        <w:spacing w:after="0" w:line="256" w:lineRule="auto"/>
        <w:tabs>
          <w:tab w:leader="none" w:pos="164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Imposition of Other Requirements</w:t>
      </w:r>
      <w:r>
        <w:rPr>
          <w:rFonts w:ascii="Times New Roman" w:cs="Times New Roman" w:eastAsia="Times New Roman" w:hAnsi="Times New Roman"/>
          <w:sz w:val="19"/>
          <w:szCs w:val="19"/>
          <w:color w:val="auto"/>
        </w:rPr>
        <w:t>. The Company reserves the right to impose other requirements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Participant’s participation in the Plan, on the Options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78" w:lineRule="exact"/>
        <w:rPr>
          <w:rFonts w:ascii="Times New Roman" w:cs="Times New Roman" w:eastAsia="Times New Roman" w:hAnsi="Times New Roman"/>
          <w:sz w:val="20"/>
          <w:szCs w:val="20"/>
          <w:color w:val="auto"/>
        </w:rPr>
      </w:pPr>
    </w:p>
    <w:p>
      <w:pPr>
        <w:jc w:val="both"/>
        <w:ind w:firstLine="1304"/>
        <w:spacing w:after="0" w:line="244" w:lineRule="auto"/>
        <w:tabs>
          <w:tab w:leader="none" w:pos="162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Transmission Acknowledgement</w:t>
      </w:r>
      <w:r>
        <w:rPr>
          <w:rFonts w:ascii="Times New Roman" w:cs="Times New Roman" w:eastAsia="Times New Roman" w:hAnsi="Times New Roman"/>
          <w:sz w:val="19"/>
          <w:szCs w:val="19"/>
          <w:color w:val="auto"/>
        </w:rPr>
        <w:t>. To the extent necessary, the Participant authorizes, agrees and unambiguously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18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60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Electronic Delivery and Acceptance</w:t>
      </w:r>
      <w:r>
        <w:rPr>
          <w:rFonts w:ascii="Times New Roman" w:cs="Times New Roman" w:eastAsia="Times New Roman" w:hAnsi="Times New Roman"/>
          <w:sz w:val="19"/>
          <w:szCs w:val="19"/>
          <w:color w:val="auto"/>
        </w:rPr>
        <w:t>. The Company may, in its sole discretion, decide to deliver any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1050521</w:t>
      </w:r>
    </w:p>
    <w:p>
      <w:pPr>
        <w:sectPr>
          <w:pgSz w:w="11900" w:h="16838" w:orient="portrait"/>
          <w:cols w:equalWidth="0" w:num="1">
            <w:col w:w="11240"/>
          </w:cols>
          <w:pgMar w:left="320" w:top="1413" w:right="339" w:bottom="1440" w:gutter="0" w:footer="0" w:header="0"/>
        </w:sectPr>
      </w:pPr>
    </w:p>
    <w:bookmarkStart w:id="51" w:name="page52"/>
    <w:bookmarkEnd w:id="51"/>
    <w:p>
      <w:pPr>
        <w:jc w:val="both"/>
        <w:spacing w:after="0" w:line="248" w:lineRule="auto"/>
        <w:rPr>
          <w:sz w:val="20"/>
          <w:szCs w:val="20"/>
          <w:color w:val="auto"/>
        </w:rPr>
      </w:pPr>
      <w:r>
        <w:rPr>
          <w:rFonts w:ascii="Times New Roman" w:cs="Times New Roman" w:eastAsia="Times New Roman" w:hAnsi="Times New Roman"/>
          <w:sz w:val="20"/>
          <w:szCs w:val="20"/>
          <w:color w:val="auto"/>
        </w:rPr>
        <w:t>Options provided to the Participant through the third-party stock plan administrator’s web portal or otherwise conflicts with any of the terms and conditions of this Option Agreement or the Plan (collectively, the “</w:t>
      </w:r>
      <w:r>
        <w:rPr>
          <w:rFonts w:ascii="Times New Roman" w:cs="Times New Roman" w:eastAsia="Times New Roman" w:hAnsi="Times New Roman"/>
          <w:sz w:val="21"/>
          <w:szCs w:val="21"/>
          <w:u w:val="single" w:color="auto"/>
          <w:color w:val="auto"/>
        </w:rPr>
        <w:t>Option Governing Documents</w:t>
      </w:r>
      <w:r>
        <w:rPr>
          <w:rFonts w:ascii="Times New Roman" w:cs="Times New Roman" w:eastAsia="Times New Roman" w:hAnsi="Times New Roman"/>
          <w:sz w:val="20"/>
          <w:szCs w:val="20"/>
          <w:color w:val="auto"/>
        </w:rPr>
        <w:t>”), the Option Governing Documents shall control.</w:t>
      </w:r>
    </w:p>
    <w:p>
      <w:pPr>
        <w:spacing w:after="0" w:line="198" w:lineRule="exact"/>
        <w:rPr>
          <w:sz w:val="20"/>
          <w:szCs w:val="20"/>
          <w:color w:val="auto"/>
        </w:rPr>
      </w:pPr>
    </w:p>
    <w:p>
      <w:pPr>
        <w:jc w:val="both"/>
        <w:ind w:firstLine="1304"/>
        <w:spacing w:after="0" w:line="258" w:lineRule="auto"/>
        <w:tabs>
          <w:tab w:leader="none" w:pos="159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19"/>
          <w:szCs w:val="19"/>
          <w:color w:val="auto"/>
        </w:rPr>
        <w:t>. The Option Governing Documents constitute the entire agreement of the parties hereto in respect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1050521</w:t>
      </w:r>
    </w:p>
    <w:p>
      <w:pPr>
        <w:sectPr>
          <w:pgSz w:w="11900" w:h="16838" w:orient="portrait"/>
          <w:cols w:equalWidth="0" w:num="1">
            <w:col w:w="11240"/>
          </w:cols>
          <w:pgMar w:left="320" w:top="141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Lawrence, certify that:</w:t>
      </w:r>
    </w:p>
    <w:p>
      <w:pPr>
        <w:spacing w:after="0" w:line="117" w:lineRule="exact"/>
        <w:rPr>
          <w:sz w:val="20"/>
          <w:szCs w:val="20"/>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May 3, 2025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584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7"/>
              </w:rPr>
              <w:t>Date: June 10, 2025</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584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584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584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Earl Carlton Ford, IV, certify that:</w:t>
      </w:r>
    </w:p>
    <w:p>
      <w:pPr>
        <w:spacing w:after="0" w:line="117" w:lineRule="exact"/>
        <w:rPr>
          <w:sz w:val="20"/>
          <w:szCs w:val="20"/>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May 3, 2025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584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7"/>
              </w:rPr>
              <w:t>Date: June 10, 2025</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584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584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584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May 3, 2025, as filed with the Securities and Exchange Commission on the date hereof (the “Report”), I, Steven Lawrence,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290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7"/>
              </w:rPr>
              <w:t>Date: June 10, 2025</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2900" w:type="dxa"/>
            <w:vAlign w:val="bottom"/>
          </w:tcPr>
          <w:p>
            <w:pPr>
              <w:spacing w:after="0"/>
              <w:rPr>
                <w:sz w:val="18"/>
                <w:szCs w:val="18"/>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90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90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May 3, 2025, as filed with the Securities and Exchange Commission on the date hereof (the “Report”), I, Earl Carlton Ford, IV, Executive Vice President and Chief Financial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290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7"/>
              </w:rPr>
              <w:t>Date: June 10, 2025</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2900" w:type="dxa"/>
            <w:vAlign w:val="bottom"/>
          </w:tcPr>
          <w:p>
            <w:pPr>
              <w:spacing w:after="0"/>
              <w:rPr>
                <w:sz w:val="18"/>
                <w:szCs w:val="18"/>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90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9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90"/>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lowerLetter"/>
      <w:start w:val="2"/>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6"/>
    </w:lvl>
  </w:abstractNum>
  <w:abstractNum w:abstractNumId="26">
    <w:nsid w:val="5C482A97"/>
    <w:multiLevelType w:val="hybridMultilevel"/>
    <w:lvl w:ilvl="0">
      <w:lvlJc w:val="left"/>
      <w:lvlText w:val="%1."/>
      <w:numFmt w:val="decimal"/>
      <w:start w:val="1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decimal"/>
      <w:start w:val="15"/>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6"/>
    </w:lvl>
  </w:abstractNum>
  <w:abstractNum w:abstractNumId="31">
    <w:nsid w:val="580BD78F"/>
    <w:multiLevelType w:val="hybridMultilevel"/>
    <w:lvl w:ilvl="0">
      <w:lvlJc w:val="left"/>
      <w:lvlText w:val="%1."/>
      <w:numFmt w:val="decimal"/>
      <w:start w:val="11"/>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decimal"/>
      <w:start w:val="15"/>
    </w:lvl>
  </w:abstractNum>
  <w:abstractNum w:abstractNumId="34">
    <w:nsid w:val="70A64E2A"/>
    <w:multiLevelType w:val="hybridMultilevel"/>
    <w:lvl w:ilvl="0">
      <w:lvlJc w:val="left"/>
      <w:lvlText w:val="%1."/>
      <w:numFmt w:val="decimal"/>
      <w:start w:val="21"/>
    </w:lvl>
  </w:abstractNum>
  <w:abstractNum w:abstractNumId="35">
    <w:nsid w:val="6A2342EC"/>
    <w:multiLevelType w:val="hybridMultilevel"/>
    <w:lvl w:ilvl="0">
      <w:lvlJc w:val="left"/>
      <w:lvlText w:val="%1"/>
      <w:numFmt w:val="decimal"/>
      <w:start w:val="1"/>
    </w:lvl>
    <w:lvl w:ilvl="1">
      <w:lvlJc w:val="left"/>
      <w:lvlText w:val="%2."/>
      <w:numFmt w:val="decimal"/>
      <w:start w:val="1"/>
    </w:lvl>
  </w:abstractNum>
  <w:abstractNum w:abstractNumId="36">
    <w:nsid w:val="2A487CB0"/>
    <w:multiLevelType w:val="hybridMultilevel"/>
    <w:lvl w:ilvl="0">
      <w:lvlJc w:val="left"/>
      <w:lvlText w:val="(%1)"/>
      <w:numFmt w:val="decimal"/>
      <w:start w:val="1"/>
    </w:lvl>
    <w:lvl w:ilvl="1">
      <w:lvlJc w:val="left"/>
      <w:lvlText w:val="%2"/>
      <w:numFmt w:val="decimal"/>
      <w:start w:val="1"/>
    </w:lvl>
  </w:abstractNum>
  <w:abstractNum w:abstractNumId="37">
    <w:nsid w:val="1D4ED43B"/>
    <w:multiLevelType w:val="hybridMultilevel"/>
    <w:lvl w:ilvl="0">
      <w:lvlJc w:val="left"/>
      <w:lvlText w:val="%1"/>
      <w:numFmt w:val="lowerLetter"/>
      <w:start w:val="1"/>
    </w:lvl>
    <w:lvl w:ilvl="1">
      <w:lvlJc w:val="left"/>
      <w:lvlText w:val="%2."/>
      <w:numFmt w:val="decimal"/>
      <w:start w:val="4"/>
    </w:lvl>
  </w:abstractNum>
  <w:abstractNum w:abstractNumId="38">
    <w:nsid w:val="725A06FB"/>
    <w:multiLevelType w:val="hybridMultilevel"/>
    <w:lvl w:ilvl="0">
      <w:lvlJc w:val="left"/>
      <w:lvlText w:val="(%1)"/>
      <w:numFmt w:val="lowerLetter"/>
      <w:start w:val="1"/>
    </w:lvl>
    <w:lvl w:ilvl="1">
      <w:lvlJc w:val="left"/>
      <w:lvlText w:val="%2"/>
      <w:numFmt w:val="decimal"/>
      <w:start w:val="1"/>
    </w:lvl>
  </w:abstractNum>
  <w:abstractNum w:abstractNumId="39">
    <w:nsid w:val="2CD89A32"/>
    <w:multiLevelType w:val="hybridMultilevel"/>
    <w:lvl w:ilvl="0">
      <w:lvlJc w:val="left"/>
      <w:lvlText w:val="%1."/>
      <w:numFmt w:val="decimal"/>
      <w:start w:val="5"/>
    </w:lvl>
  </w:abstractNum>
  <w:abstractNum w:abstractNumId="40">
    <w:nsid w:val="57E4CCAF"/>
    <w:multiLevelType w:val="hybridMultilevel"/>
    <w:lvl w:ilvl="0">
      <w:lvlJc w:val="left"/>
      <w:lvlText w:val="%1."/>
      <w:numFmt w:val="decimal"/>
      <w:start w:val="1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3"/>
    </w:lvl>
  </w:abstractNum>
  <w:abstractNum w:abstractNumId="43">
    <w:nsid w:val="542289EC"/>
    <w:multiLevelType w:val="hybridMultilevel"/>
    <w:lvl w:ilvl="0">
      <w:lvlJc w:val="left"/>
      <w:lvlText w:val="%1."/>
      <w:numFmt w:val="decimal"/>
      <w:start w:val="16"/>
    </w:lvl>
  </w:abstractNum>
  <w:abstractNum w:abstractNumId="44">
    <w:nsid w:val="6DE91B18"/>
    <w:multiLevelType w:val="hybridMultilevel"/>
    <w:lvl w:ilvl="0">
      <w:lvlJc w:val="left"/>
      <w:lvlText w:val="%1."/>
      <w:numFmt w:val="decimal"/>
      <w:start w:val="2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4" Type="http://schemas.openxmlformats.org/officeDocument/2006/relationships/hyperlink" Target="https://www.sec.gov/Archives/edgar/data/1817358/000181735825000102/exhibit32.htm" TargetMode="External"/><Relationship Id="rId45" Type="http://schemas.openxmlformats.org/officeDocument/2006/relationships/hyperlink" Target="https://www.sec.gov/Archives/edgar/data/1817358/000181735825000015/ex31aso-revcleanamendeda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2025-06-10T15:09:01Z</dcterms:created>
  <dcterms:modified xsi:type="dcterms:W3CDTF">2025-06-10T15:09:01Z</dcterms:modified>
</cp:coreProperties>
</file>