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49530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3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3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jc w:val="center"/>
        <w:ind w:left="3760" w:right="1400" w:hanging="2567"/>
        <w:spacing w:after="0" w:line="280" w:lineRule="auto"/>
        <w:tabs>
          <w:tab w:leader="none" w:pos="138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August 2, 2025</w:t>
      </w: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380" w:hanging="193"/>
        <w:spacing w:after="0"/>
        <w:tabs>
          <w:tab w:leader="none" w:pos="1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w:t>
      </w:r>
      <w:r>
        <w:rPr>
          <w:rFonts w:ascii="Times New Roman" w:cs="Times New Roman" w:eastAsia="Times New Roman" w:hAnsi="Times New Roman"/>
          <w:sz w:val="16"/>
          <w:szCs w:val="16"/>
          <w:color w:val="auto"/>
        </w:rPr>
        <w:t>.</w:t>
      </w:r>
    </w:p>
    <w:p>
      <w:pPr>
        <w:spacing w:after="0" w:line="1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1356995</wp:posOffset>
            </wp:positionH>
            <wp:positionV relativeFrom="paragraph">
              <wp:posOffset>81915</wp:posOffset>
            </wp:positionV>
            <wp:extent cx="4140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236220</wp:posOffset>
            </wp:positionV>
            <wp:extent cx="137160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5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8" w:lineRule="exact"/>
        <w:rPr>
          <w:sz w:val="24"/>
          <w:szCs w:val="24"/>
          <w:color w:val="auto"/>
        </w:rPr>
      </w:pPr>
    </w:p>
    <w:p>
      <w:pPr>
        <w:ind w:left="1820"/>
        <w:spacing w:after="0"/>
        <w:tabs>
          <w:tab w:leader="none" w:pos="82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85-1800912</w:t>
      </w:r>
    </w:p>
    <w:p>
      <w:pPr>
        <w:spacing w:after="0" w:line="127" w:lineRule="exact"/>
        <w:rPr>
          <w:sz w:val="24"/>
          <w:szCs w:val="24"/>
          <w:color w:val="auto"/>
        </w:rPr>
      </w:pPr>
    </w:p>
    <w:p>
      <w:pPr>
        <w:ind w:left="12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auto"/>
        </w:rPr>
        <w:t>(State or other jurisdiction of</w:t>
      </w:r>
      <w:r>
        <w:rPr>
          <w:sz w:val="20"/>
          <w:szCs w:val="20"/>
          <w:color w:val="auto"/>
        </w:rPr>
        <w:tab/>
      </w:r>
      <w:r>
        <w:rPr>
          <w:rFonts w:ascii="Times New Roman" w:cs="Times New Roman" w:eastAsia="Times New Roman" w:hAnsi="Times New Roman"/>
          <w:sz w:val="16"/>
          <w:szCs w:val="16"/>
          <w:i w:val="1"/>
          <w:iCs w:val="1"/>
          <w:color w:val="auto"/>
        </w:rPr>
        <w:t>(I.R.S. Employer</w:t>
      </w:r>
    </w:p>
    <w:p>
      <w:pPr>
        <w:spacing w:after="0" w:line="86" w:lineRule="exact"/>
        <w:rPr>
          <w:sz w:val="24"/>
          <w:szCs w:val="24"/>
          <w:color w:val="auto"/>
        </w:rPr>
      </w:pPr>
    </w:p>
    <w:p>
      <w:pPr>
        <w:ind w:left="1140"/>
        <w:spacing w:after="0"/>
        <w:tabs>
          <w:tab w:leader="none" w:pos="8040" w:val="left"/>
        </w:tabs>
        <w:rPr>
          <w:sz w:val="20"/>
          <w:szCs w:val="20"/>
          <w:color w:val="auto"/>
        </w:rPr>
      </w:pPr>
      <w:r>
        <w:rPr>
          <w:rFonts w:ascii="Times New Roman" w:cs="Times New Roman" w:eastAsia="Times New Roman" w:hAnsi="Times New Roman"/>
          <w:sz w:val="16"/>
          <w:szCs w:val="16"/>
          <w:i w:val="1"/>
          <w:iCs w:val="1"/>
          <w:color w:val="auto"/>
        </w:rPr>
        <w:t>incorporation or organization)</w:t>
      </w:r>
      <w:r>
        <w:rPr>
          <w:sz w:val="20"/>
          <w:szCs w:val="20"/>
          <w:color w:val="auto"/>
        </w:rPr>
        <w:tab/>
      </w:r>
      <w:r>
        <w:rPr>
          <w:rFonts w:ascii="Times New Roman" w:cs="Times New Roman" w:eastAsia="Times New Roman" w:hAnsi="Times New Roman"/>
          <w:sz w:val="15"/>
          <w:szCs w:val="15"/>
          <w:i w:val="1"/>
          <w:iCs w:val="1"/>
          <w:color w:val="auto"/>
        </w:rPr>
        <w:t>Identification No.)</w:t>
      </w:r>
    </w:p>
    <w:p>
      <w:pPr>
        <w:spacing w:after="0" w:line="11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46"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3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3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12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3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1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780" w:type="dxa"/>
        <w:tblCellMar>
          <w:top w:w="0" w:type="dxa"/>
          <w:left w:w="0" w:type="dxa"/>
          <w:bottom w:w="0" w:type="dxa"/>
          <w:right w:w="0" w:type="dxa"/>
        </w:tblCellMar>
      </w:tblPr>
      <w:tr>
        <w:trPr>
          <w:trHeight w:val="184"/>
        </w:trPr>
        <w:tc>
          <w:tcPr>
            <w:tcW w:w="760" w:type="dxa"/>
            <w:vAlign w:val="bottom"/>
          </w:tcPr>
          <w:p>
            <w:pPr>
              <w:spacing w:after="0"/>
              <w:rPr>
                <w:sz w:val="16"/>
                <w:szCs w:val="16"/>
                <w:color w:val="auto"/>
              </w:rPr>
            </w:pPr>
          </w:p>
        </w:tc>
        <w:tc>
          <w:tcPr>
            <w:tcW w:w="3240" w:type="dxa"/>
            <w:vAlign w:val="bottom"/>
            <w:gridSpan w:val="2"/>
          </w:tcPr>
          <w:p>
            <w:pPr>
              <w:jc w:val="center"/>
              <w:ind w:right="2040"/>
              <w:spacing w:after="0"/>
              <w:rPr>
                <w:sz w:val="20"/>
                <w:szCs w:val="20"/>
                <w:color w:val="auto"/>
              </w:rPr>
            </w:pPr>
            <w:r>
              <w:rPr>
                <w:rFonts w:ascii="Times New Roman" w:cs="Times New Roman" w:eastAsia="Times New Roman" w:hAnsi="Times New Roman"/>
                <w:sz w:val="16"/>
                <w:szCs w:val="16"/>
                <w:b w:val="1"/>
                <w:bCs w:val="1"/>
                <w:i w:val="1"/>
                <w:iCs w:val="1"/>
                <w:color w:val="auto"/>
              </w:rPr>
              <w:t>Title of each class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Trading Symbol(s)</w:t>
            </w:r>
          </w:p>
        </w:tc>
        <w:tc>
          <w:tcPr>
            <w:tcW w:w="1160" w:type="dxa"/>
            <w:vAlign w:val="bottom"/>
          </w:tcPr>
          <w:p>
            <w:pPr>
              <w:spacing w:after="0"/>
              <w:rPr>
                <w:sz w:val="16"/>
                <w:szCs w:val="16"/>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Name of each exchange on which registered</w:t>
            </w:r>
          </w:p>
        </w:tc>
      </w:tr>
      <w:tr>
        <w:trPr>
          <w:trHeight w:val="20"/>
        </w:trPr>
        <w:tc>
          <w:tcPr>
            <w:tcW w:w="7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30"/>
        </w:trPr>
        <w:tc>
          <w:tcPr>
            <w:tcW w:w="4000" w:type="dxa"/>
            <w:vAlign w:val="bottom"/>
            <w:gridSpan w:val="3"/>
          </w:tcPr>
          <w:p>
            <w:pPr>
              <w:jc w:val="center"/>
              <w:ind w:right="128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ASO</w:t>
            </w:r>
          </w:p>
        </w:tc>
        <w:tc>
          <w:tcPr>
            <w:tcW w:w="1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1" w:lineRule="exact"/>
        <w:rPr>
          <w:sz w:val="24"/>
          <w:szCs w:val="24"/>
          <w:color w:val="auto"/>
        </w:rPr>
      </w:pPr>
    </w:p>
    <w:p>
      <w:pPr>
        <w:ind w:right="220"/>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ind w:right="10160" w:firstLine="2"/>
        <w:spacing w:after="0" w:line="217" w:lineRule="exact"/>
        <w:tabs>
          <w:tab w:leader="none" w:pos="20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1" w:lineRule="exact"/>
        <w:rPr>
          <w:sz w:val="24"/>
          <w:szCs w:val="24"/>
          <w:color w:val="auto"/>
        </w:rPr>
      </w:pPr>
    </w:p>
    <w:p>
      <w:pPr>
        <w:ind w:right="400"/>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ind w:right="2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2140"/>
        <w:spacing w:after="0" w:line="184" w:lineRule="exact"/>
        <w:tabs>
          <w:tab w:leader="none" w:pos="64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ind w:left="65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2" w:lineRule="exact"/>
        <w:rPr>
          <w:sz w:val="24"/>
          <w:szCs w:val="24"/>
          <w:color w:val="auto"/>
        </w:rPr>
      </w:pPr>
    </w:p>
    <w:p>
      <w:pPr>
        <w:jc w:val="both"/>
        <w:ind w:right="220"/>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August 26, 2025, Academy Sports and Outdoors, Inc. had 66,625,431 shares of common stock, par value $0.01 per share, outstanding.</w:t>
      </w:r>
    </w:p>
    <w:p>
      <w:pPr>
        <w:sectPr>
          <w:pgSz w:w="11900" w:h="16838" w:orient="portrait"/>
          <w:cols w:equalWidth="0" w:num="1">
            <w:col w:w="11020"/>
          </w:cols>
          <w:pgMar w:left="540" w:top="581" w:right="33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ind w:left="109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40" w:top="58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1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520" w:type="dxa"/>
            <w:vAlign w:val="bottom"/>
            <w:tcBorders>
              <w:right w:val="single" w:sz="8" w:color="CCEEFF"/>
            </w:tcBorders>
            <w:gridSpan w:val="2"/>
            <w:shd w:val="clear" w:color="auto" w:fill="CCEEFF"/>
          </w:tcPr>
          <w:p>
            <w:pPr>
              <w:jc w:val="center"/>
              <w:ind w:left="230"/>
              <w:spacing w:after="0" w:line="156"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10"/>
          </w:tcPr>
          <w:p>
            <w:pPr>
              <w:spacing w:after="0" w:line="183" w:lineRule="exact"/>
              <w:rPr>
                <w:sz w:val="20"/>
                <w:szCs w:val="20"/>
                <w:color w:val="auto"/>
              </w:rPr>
            </w:pPr>
            <w:r>
              <w:rPr>
                <w:rFonts w:ascii="Times New Roman" w:cs="Times New Roman" w:eastAsia="Times New Roman" w:hAnsi="Times New Roman"/>
                <w:sz w:val="18"/>
                <w:szCs w:val="18"/>
                <w:color w:val="0000FF"/>
              </w:rPr>
              <w:t>Item 1. Financial Statements</w:t>
            </w:r>
          </w:p>
        </w:tc>
        <w:tc>
          <w:tcPr>
            <w:tcW w:w="7500" w:type="dxa"/>
            <w:vAlign w:val="bottom"/>
            <w:gridSpan w:val="5"/>
          </w:tcPr>
          <w:p>
            <w:pPr>
              <w:spacing w:after="0"/>
              <w:rPr>
                <w:sz w:val="15"/>
                <w:szCs w:val="15"/>
                <w:color w:val="auto"/>
              </w:rPr>
            </w:pPr>
          </w:p>
        </w:tc>
        <w:tc>
          <w:tcPr>
            <w:tcW w:w="520" w:type="dxa"/>
            <w:vAlign w:val="bottom"/>
            <w:gridSpan w:val="2"/>
          </w:tcPr>
          <w:p>
            <w:pPr>
              <w:jc w:val="center"/>
              <w:ind w:left="230"/>
              <w:spacing w:after="0" w:line="183" w:lineRule="exact"/>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1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160" w:type="dxa"/>
            <w:vAlign w:val="bottom"/>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PART II. OTHER INFORMATION</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 Legal Proceedings</w:t>
            </w:r>
          </w:p>
        </w:tc>
        <w:tc>
          <w:tcPr>
            <w:tcW w:w="8260" w:type="dxa"/>
            <w:vAlign w:val="bottom"/>
            <w:gridSpan w:val="9"/>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1A. Risk Factors</w:t>
            </w:r>
          </w:p>
        </w:tc>
        <w:tc>
          <w:tcPr>
            <w:tcW w:w="8260" w:type="dxa"/>
            <w:vAlign w:val="bottom"/>
            <w:gridSpan w:val="9"/>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16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4360" w:type="dxa"/>
            <w:vAlign w:val="bottom"/>
            <w:gridSpan w:val="1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60" w:type="dxa"/>
            <w:vAlign w:val="bottom"/>
            <w:gridSpan w:val="3"/>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620" w:type="dxa"/>
            <w:vAlign w:val="bottom"/>
            <w:gridSpan w:val="1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178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840" w:type="dxa"/>
            <w:vAlign w:val="bottom"/>
            <w:gridSpan w:val="7"/>
          </w:tcPr>
          <w:p>
            <w:pPr>
              <w:spacing w:after="0"/>
              <w:rPr>
                <w:sz w:val="16"/>
                <w:szCs w:val="16"/>
                <w:color w:val="auto"/>
              </w:rPr>
            </w:pP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9000" w:type="dxa"/>
            <w:vAlign w:val="bottom"/>
            <w:gridSpan w:val="12"/>
            <w:shd w:val="clear" w:color="auto" w:fill="CCEEFF"/>
          </w:tcPr>
          <w:p>
            <w:pPr>
              <w:spacing w:after="0"/>
              <w:rPr>
                <w:sz w:val="16"/>
                <w:szCs w:val="16"/>
                <w:color w:val="auto"/>
              </w:rPr>
            </w:pPr>
          </w:p>
        </w:tc>
        <w:tc>
          <w:tcPr>
            <w:tcW w:w="8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August 2, 2025</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February 1, 2025</w:t>
            </w:r>
          </w:p>
        </w:tc>
        <w:tc>
          <w:tcPr>
            <w:tcW w:w="200" w:type="dxa"/>
            <w:vAlign w:val="bottom"/>
          </w:tcPr>
          <w:p>
            <w:pPr>
              <w:spacing w:after="0"/>
              <w:rPr>
                <w:sz w:val="20"/>
                <w:szCs w:val="20"/>
                <w:color w:val="auto"/>
              </w:rPr>
            </w:pPr>
          </w:p>
        </w:tc>
        <w:tc>
          <w:tcPr>
            <w:tcW w:w="14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August 3, 2024</w:t>
            </w:r>
          </w:p>
        </w:tc>
        <w:tc>
          <w:tcPr>
            <w:tcW w:w="0" w:type="dxa"/>
            <w:vAlign w:val="bottom"/>
          </w:tcPr>
          <w:p>
            <w:pPr>
              <w:spacing w:after="0"/>
              <w:rPr>
                <w:sz w:val="1"/>
                <w:szCs w:val="1"/>
                <w:color w:val="auto"/>
              </w:rPr>
            </w:pPr>
          </w:p>
        </w:tc>
      </w:tr>
      <w:tr>
        <w:trPr>
          <w:trHeight w:val="216"/>
        </w:trPr>
        <w:tc>
          <w:tcPr>
            <w:tcW w:w="6180" w:type="dxa"/>
            <w:vAlign w:val="bottom"/>
            <w:tcBorders>
              <w:top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300,860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288,929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324,568</w:t>
            </w: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Accounts receivable - less allowance for doubtful accounts of $1,874, $2,752 and</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19,181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16,759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12,812</w:t>
            </w:r>
          </w:p>
        </w:tc>
        <w:tc>
          <w:tcPr>
            <w:tcW w:w="0" w:type="dxa"/>
            <w:vAlign w:val="bottom"/>
          </w:tcPr>
          <w:p>
            <w:pPr>
              <w:spacing w:after="0"/>
              <w:rPr>
                <w:sz w:val="1"/>
                <w:szCs w:val="1"/>
                <w:color w:val="auto"/>
              </w:rPr>
            </w:pPr>
          </w:p>
        </w:tc>
      </w:tr>
      <w:tr>
        <w:trPr>
          <w:trHeight w:val="223"/>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$2,080, respectively</w:t>
            </w: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Merchandise inventories, net</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1,587,624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1,308,840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1,366,616</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78,257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95,621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108,392</w:t>
            </w:r>
          </w:p>
        </w:tc>
        <w:tc>
          <w:tcPr>
            <w:tcW w:w="0" w:type="dxa"/>
            <w:vAlign w:val="bottom"/>
          </w:tcPr>
          <w:p>
            <w:pPr>
              <w:spacing w:after="0"/>
              <w:rPr>
                <w:sz w:val="1"/>
                <w:szCs w:val="1"/>
                <w:color w:val="auto"/>
              </w:rPr>
            </w:pPr>
          </w:p>
        </w:tc>
      </w:tr>
      <w:tr>
        <w:trPr>
          <w:trHeight w:val="225"/>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1,985,922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1,710,149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1,812,388</w:t>
            </w:r>
          </w:p>
        </w:tc>
        <w:tc>
          <w:tcPr>
            <w:tcW w:w="0" w:type="dxa"/>
            <w:vAlign w:val="bottom"/>
          </w:tcPr>
          <w:p>
            <w:pPr>
              <w:spacing w:after="0"/>
              <w:rPr>
                <w:sz w:val="1"/>
                <w:szCs w:val="1"/>
                <w:color w:val="auto"/>
              </w:rPr>
            </w:pPr>
          </w:p>
        </w:tc>
      </w:tr>
      <w:tr>
        <w:trPr>
          <w:trHeight w:val="94"/>
        </w:trPr>
        <w:tc>
          <w:tcPr>
            <w:tcW w:w="6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584,045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470,752</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RIGHT-OF-USE ASSETS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1,206,207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1,173,075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1,103,242</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TRADE NAME</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579,330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579,007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578,550</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GOODWILL</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861,920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861,920</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58,559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51,676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47,506</w:t>
            </w:r>
          </w:p>
        </w:tc>
        <w:tc>
          <w:tcPr>
            <w:tcW w:w="0" w:type="dxa"/>
            <w:vAlign w:val="bottom"/>
          </w:tcPr>
          <w:p>
            <w:pPr>
              <w:spacing w:after="0"/>
              <w:rPr>
                <w:sz w:val="1"/>
                <w:szCs w:val="1"/>
                <w:color w:val="auto"/>
              </w:rPr>
            </w:pPr>
          </w:p>
        </w:tc>
      </w:tr>
      <w:tr>
        <w:trPr>
          <w:trHeight w:val="225"/>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5,275,983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4,900,963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4,874,358</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61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12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803,309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612,424</w:t>
            </w:r>
          </w:p>
        </w:tc>
        <w:tc>
          <w:tcPr>
            <w:tcW w:w="8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704,578</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266,021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230,323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259,069</w:t>
            </w:r>
          </w:p>
        </w:tc>
        <w:tc>
          <w:tcPr>
            <w:tcW w:w="0" w:type="dxa"/>
            <w:vAlign w:val="bottom"/>
          </w:tcPr>
          <w:p>
            <w:pPr>
              <w:spacing w:after="0"/>
              <w:rPr>
                <w:sz w:val="1"/>
                <w:szCs w:val="1"/>
                <w:color w:val="auto"/>
              </w:rPr>
            </w:pPr>
          </w:p>
        </w:tc>
      </w:tr>
      <w:tr>
        <w:trPr>
          <w:trHeight w:val="228"/>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Current lease liabilities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139,678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124,628</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3,000</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221"/>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1,212,008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960,881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1,091,275</w:t>
            </w: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DEBT,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481,738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482,679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483,617</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LEASE LIABILITIES</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1,217,217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1,185,741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1,083,390</w:t>
            </w: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 NET</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270,502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252,919</w:t>
            </w:r>
          </w:p>
        </w:tc>
        <w:tc>
          <w:tcPr>
            <w:tcW w:w="0" w:type="dxa"/>
            <w:vAlign w:val="bottom"/>
          </w:tcPr>
          <w:p>
            <w:pPr>
              <w:spacing w:after="0"/>
              <w:rPr>
                <w:sz w:val="1"/>
                <w:szCs w:val="1"/>
                <w:color w:val="auto"/>
              </w:rPr>
            </w:pPr>
          </w:p>
        </w:tc>
      </w:tr>
      <w:tr>
        <w:trPr>
          <w:trHeight w:val="231"/>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LONG-TERM LIABILITIES</w:t>
            </w: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19,368</w:t>
            </w:r>
          </w:p>
        </w:tc>
        <w:tc>
          <w:tcPr>
            <w:tcW w:w="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10,812</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10,763</w:t>
            </w:r>
          </w:p>
        </w:tc>
        <w:tc>
          <w:tcPr>
            <w:tcW w:w="0" w:type="dxa"/>
            <w:vAlign w:val="bottom"/>
          </w:tcPr>
          <w:p>
            <w:pPr>
              <w:spacing w:after="0"/>
              <w:rPr>
                <w:sz w:val="1"/>
                <w:szCs w:val="1"/>
                <w:color w:val="auto"/>
              </w:rPr>
            </w:pPr>
          </w:p>
        </w:tc>
      </w:tr>
      <w:tr>
        <w:trPr>
          <w:trHeight w:val="221"/>
        </w:trPr>
        <w:tc>
          <w:tcPr>
            <w:tcW w:w="6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3,200,833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2,896,928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2,921,964</w:t>
            </w:r>
          </w:p>
        </w:tc>
        <w:tc>
          <w:tcPr>
            <w:tcW w:w="0" w:type="dxa"/>
            <w:vAlign w:val="bottom"/>
          </w:tcPr>
          <w:p>
            <w:pPr>
              <w:spacing w:after="0"/>
              <w:rPr>
                <w:sz w:val="1"/>
                <w:szCs w:val="1"/>
                <w:color w:val="auto"/>
              </w:rPr>
            </w:pPr>
          </w:p>
        </w:tc>
      </w:tr>
      <w:tr>
        <w:trPr>
          <w:trHeight w:val="76"/>
        </w:trPr>
        <w:tc>
          <w:tcPr>
            <w:tcW w:w="61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61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6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180" w:type="dxa"/>
            <w:vAlign w:val="bottom"/>
            <w:shd w:val="clear" w:color="auto" w:fill="CCEEFF"/>
          </w:tcPr>
          <w:p>
            <w:pPr>
              <w:ind w:left="240"/>
              <w:spacing w:after="0" w:line="169" w:lineRule="exact"/>
              <w:rPr>
                <w:sz w:val="20"/>
                <w:szCs w:val="20"/>
                <w:color w:val="auto"/>
              </w:rPr>
            </w:pPr>
            <w:r>
              <w:rPr>
                <w:rFonts w:ascii="Times New Roman" w:cs="Times New Roman" w:eastAsia="Times New Roman" w:hAnsi="Times New Roman"/>
                <w:sz w:val="17"/>
                <w:szCs w:val="17"/>
                <w:color w:val="auto"/>
              </w:rPr>
              <w:t>Preferred stock, $0.01 par value, authorized 50,000,000 shares; none issued and</w:t>
            </w:r>
          </w:p>
        </w:tc>
        <w:tc>
          <w:tcPr>
            <w:tcW w:w="20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EEFF"/>
          </w:tcPr>
          <w:p>
            <w:pPr>
              <w:spacing w:after="0"/>
              <w:rPr>
                <w:sz w:val="14"/>
                <w:szCs w:val="14"/>
                <w:color w:val="auto"/>
              </w:rPr>
            </w:pPr>
          </w:p>
        </w:tc>
        <w:tc>
          <w:tcPr>
            <w:tcW w:w="1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4"/>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outstanding</w:t>
            </w:r>
          </w:p>
        </w:tc>
        <w:tc>
          <w:tcPr>
            <w:tcW w:w="200" w:type="dxa"/>
            <w:vAlign w:val="bottom"/>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180" w:type="dxa"/>
            <w:vAlign w:val="bottom"/>
          </w:tcPr>
          <w:p>
            <w:pPr>
              <w:ind w:left="240"/>
              <w:spacing w:after="0" w:line="167" w:lineRule="exact"/>
              <w:rPr>
                <w:sz w:val="20"/>
                <w:szCs w:val="20"/>
                <w:color w:val="auto"/>
              </w:rPr>
            </w:pPr>
            <w:r>
              <w:rPr>
                <w:rFonts w:ascii="Times New Roman" w:cs="Times New Roman" w:eastAsia="Times New Roman" w:hAnsi="Times New Roman"/>
                <w:sz w:val="17"/>
                <w:szCs w:val="17"/>
                <w:color w:val="auto"/>
              </w:rPr>
              <w:t>Common stock, $0.01 par value, authorized 300,000,000 shares; 66,625,266;</w:t>
            </w: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80" w:type="dxa"/>
            <w:vAlign w:val="bottom"/>
          </w:tcPr>
          <w:p>
            <w:pPr>
              <w:ind w:left="240"/>
              <w:spacing w:after="0" w:line="171" w:lineRule="exact"/>
              <w:rPr>
                <w:sz w:val="20"/>
                <w:szCs w:val="20"/>
                <w:color w:val="auto"/>
              </w:rPr>
            </w:pPr>
            <w:r>
              <w:rPr>
                <w:rFonts w:ascii="Times New Roman" w:cs="Times New Roman" w:eastAsia="Times New Roman" w:hAnsi="Times New Roman"/>
                <w:sz w:val="17"/>
                <w:szCs w:val="17"/>
                <w:color w:val="auto"/>
              </w:rPr>
              <w:t>68,332,961 and 70,915,916 issued and outstanding as of August 2, 2025, February 1,</w:t>
            </w: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666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683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0" w:type="dxa"/>
            <w:vAlign w:val="bottom"/>
          </w:tcPr>
          <w:p>
            <w:pPr>
              <w:spacing w:after="0"/>
              <w:rPr>
                <w:sz w:val="1"/>
                <w:szCs w:val="1"/>
                <w:color w:val="auto"/>
              </w:rPr>
            </w:pPr>
          </w:p>
        </w:tc>
      </w:tr>
      <w:tr>
        <w:trPr>
          <w:trHeight w:val="226"/>
        </w:trPr>
        <w:tc>
          <w:tcPr>
            <w:tcW w:w="61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2025 and August 3, 2024, respectively.</w:t>
            </w: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255,517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247,094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244,584</w:t>
            </w:r>
          </w:p>
        </w:tc>
        <w:tc>
          <w:tcPr>
            <w:tcW w:w="0" w:type="dxa"/>
            <w:vAlign w:val="bottom"/>
          </w:tcPr>
          <w:p>
            <w:pPr>
              <w:spacing w:after="0"/>
              <w:rPr>
                <w:sz w:val="1"/>
                <w:szCs w:val="1"/>
                <w:color w:val="auto"/>
              </w:rPr>
            </w:pPr>
          </w:p>
        </w:tc>
      </w:tr>
      <w:tr>
        <w:trPr>
          <w:trHeight w:val="228"/>
        </w:trPr>
        <w:tc>
          <w:tcPr>
            <w:tcW w:w="6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1,818,967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1,756,258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1,707,101</w:t>
            </w:r>
          </w:p>
        </w:tc>
        <w:tc>
          <w:tcPr>
            <w:tcW w:w="0" w:type="dxa"/>
            <w:vAlign w:val="bottom"/>
          </w:tcPr>
          <w:p>
            <w:pPr>
              <w:spacing w:after="0"/>
              <w:rPr>
                <w:sz w:val="1"/>
                <w:szCs w:val="1"/>
                <w:color w:val="auto"/>
              </w:rPr>
            </w:pPr>
          </w:p>
        </w:tc>
      </w:tr>
      <w:tr>
        <w:trPr>
          <w:trHeight w:val="223"/>
        </w:trPr>
        <w:tc>
          <w:tcPr>
            <w:tcW w:w="6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2,075,150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2,004,035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1,952,394</w:t>
            </w:r>
          </w:p>
        </w:tc>
        <w:tc>
          <w:tcPr>
            <w:tcW w:w="0" w:type="dxa"/>
            <w:vAlign w:val="bottom"/>
          </w:tcPr>
          <w:p>
            <w:pPr>
              <w:spacing w:after="0"/>
              <w:rPr>
                <w:sz w:val="1"/>
                <w:szCs w:val="1"/>
                <w:color w:val="auto"/>
              </w:rPr>
            </w:pPr>
          </w:p>
        </w:tc>
      </w:tr>
      <w:tr>
        <w:trPr>
          <w:trHeight w:val="225"/>
        </w:trPr>
        <w:tc>
          <w:tcPr>
            <w:tcW w:w="61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5,275,983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4,900,963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4,874,358</w:t>
            </w: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1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0" w:type="dxa"/>
            <w:vAlign w:val="bottom"/>
          </w:tcPr>
          <w:p>
            <w:pPr>
              <w:spacing w:after="0"/>
              <w:rPr>
                <w:sz w:val="1"/>
                <w:szCs w:val="1"/>
                <w:color w:val="auto"/>
              </w:rPr>
            </w:pPr>
          </w:p>
        </w:tc>
      </w:tr>
      <w:tr>
        <w:trPr>
          <w:trHeight w:val="223"/>
        </w:trPr>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1,599,838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1,548,980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2,951,247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2,913,200</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1,023,105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990,255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1,915,645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1,898,681</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1,014,519</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793,956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368,639</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722,050</w:t>
            </w:r>
          </w:p>
        </w:tc>
        <w:tc>
          <w:tcPr>
            <w:tcW w:w="0" w:type="dxa"/>
            <w:vAlign w:val="bottom"/>
          </w:tcPr>
          <w:p>
            <w:pPr>
              <w:spacing w:after="0"/>
              <w:rPr>
                <w:sz w:val="1"/>
                <w:szCs w:val="1"/>
                <w:color w:val="auto"/>
              </w:rPr>
            </w:pPr>
          </w:p>
        </w:tc>
      </w:tr>
      <w:tr>
        <w:trPr>
          <w:trHeight w:val="223"/>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172,381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241,646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292,469</w:t>
            </w:r>
          </w:p>
        </w:tc>
        <w:tc>
          <w:tcPr>
            <w:tcW w:w="0" w:type="dxa"/>
            <w:vAlign w:val="bottom"/>
          </w:tcPr>
          <w:p>
            <w:pPr>
              <w:spacing w:after="0"/>
              <w:rPr>
                <w:sz w:val="1"/>
                <w:szCs w:val="1"/>
                <w:color w:val="auto"/>
              </w:rPr>
            </w:pPr>
          </w:p>
        </w:tc>
      </w:tr>
      <w:tr>
        <w:trPr>
          <w:trHeight w:val="270"/>
        </w:trPr>
        <w:tc>
          <w:tcPr>
            <w:tcW w:w="4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18,557</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164,833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186,546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227,861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284,198</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65,145</w:t>
            </w:r>
          </w:p>
        </w:tc>
        <w:tc>
          <w:tcPr>
            <w:tcW w:w="0" w:type="dxa"/>
            <w:vAlign w:val="bottom"/>
          </w:tcPr>
          <w:p>
            <w:pPr>
              <w:spacing w:after="0"/>
              <w:rPr>
                <w:sz w:val="1"/>
                <w:szCs w:val="1"/>
                <w:color w:val="auto"/>
              </w:rPr>
            </w:pPr>
          </w:p>
        </w:tc>
      </w:tr>
      <w:tr>
        <w:trPr>
          <w:trHeight w:val="223"/>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125,434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171,518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219,053</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75"/>
        </w:trPr>
        <w:tc>
          <w:tcPr>
            <w:tcW w:w="4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66,831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72,911</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1, 2025</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68,333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247,094</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$ 1,756,258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2,004,035</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46,084</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7,542</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(2,081)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(8,436)</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(91,444)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(99,900)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(3,300)</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(3,301)</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1,488</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1,488</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(8,716)</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3,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66,466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244,388</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$ 1,702,182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1,947,232</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125,434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125,434</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7,602</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7,602</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2,779</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1,169</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$0.13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(8,649)</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August 2,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66,625</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255,517</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$ 1,818,967</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2,075,150</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1980" w:type="dxa"/>
            <w:vAlign w:val="bottom"/>
            <w:gridSpan w:val="4"/>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7"/>
                <w:szCs w:val="17"/>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7"/>
                <w:szCs w:val="17"/>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62"/>
        </w:trPr>
        <w:tc>
          <w:tcPr>
            <w:tcW w:w="6080" w:type="dxa"/>
            <w:vAlign w:val="bottom"/>
          </w:tcPr>
          <w:p>
            <w:pPr>
              <w:spacing w:after="0"/>
              <w:rPr>
                <w:sz w:val="13"/>
                <w:szCs w:val="13"/>
                <w:color w:val="auto"/>
              </w:rPr>
            </w:pPr>
          </w:p>
        </w:tc>
        <w:tc>
          <w:tcPr>
            <w:tcW w:w="19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Paid-In</w:t>
            </w:r>
          </w:p>
        </w:tc>
        <w:tc>
          <w:tcPr>
            <w:tcW w:w="1040" w:type="dxa"/>
            <w:vAlign w:val="bottom"/>
            <w:gridSpan w:val="2"/>
            <w:vMerge w:val="continue"/>
          </w:tcPr>
          <w:p>
            <w:pPr>
              <w:spacing w:after="0"/>
              <w:rPr>
                <w:sz w:val="13"/>
                <w:szCs w:val="13"/>
                <w:color w:val="auto"/>
              </w:rPr>
            </w:pPr>
          </w:p>
        </w:tc>
        <w:tc>
          <w:tcPr>
            <w:tcW w:w="110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608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February 3,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242,098</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$ 1,711,809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1,954,650</w:t>
            </w:r>
          </w:p>
        </w:tc>
        <w:tc>
          <w:tcPr>
            <w:tcW w:w="0" w:type="dxa"/>
            <w:vAlign w:val="bottom"/>
          </w:tcPr>
          <w:p>
            <w:pPr>
              <w:spacing w:after="0"/>
              <w:rPr>
                <w:sz w:val="1"/>
                <w:szCs w:val="1"/>
                <w:color w:val="auto"/>
              </w:rPr>
            </w:pPr>
          </w:p>
        </w:tc>
      </w:tr>
      <w:tr>
        <w:trPr>
          <w:trHeight w:val="223"/>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76,465</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(115,856)</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(123,500)</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May 4,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240,559</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$ 1,664,236</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1,905,521</w:t>
            </w:r>
          </w:p>
        </w:tc>
        <w:tc>
          <w:tcPr>
            <w:tcW w:w="0" w:type="dxa"/>
            <w:vAlign w:val="bottom"/>
          </w:tcPr>
          <w:p>
            <w:pPr>
              <w:spacing w:after="0"/>
              <w:rPr>
                <w:sz w:val="1"/>
                <w:szCs w:val="1"/>
                <w:color w:val="auto"/>
              </w:rPr>
            </w:pPr>
          </w:p>
        </w:tc>
      </w:tr>
      <w:tr>
        <w:trPr>
          <w:trHeight w:val="223"/>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(1,810)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(98,781)</w:t>
            </w:r>
          </w:p>
        </w:tc>
        <w:tc>
          <w:tcPr>
            <w:tcW w:w="0" w:type="dxa"/>
            <w:vAlign w:val="bottom"/>
          </w:tcPr>
          <w:p>
            <w:pPr>
              <w:spacing w:after="0"/>
              <w:rPr>
                <w:sz w:val="1"/>
                <w:szCs w:val="1"/>
                <w:color w:val="auto"/>
              </w:rPr>
            </w:pPr>
          </w:p>
        </w:tc>
      </w:tr>
      <w:tr>
        <w:trPr>
          <w:trHeight w:val="230"/>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Settlement of vested Restricted Stock Units,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29"/>
        </w:trPr>
        <w:tc>
          <w:tcPr>
            <w:tcW w:w="6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option exercises, net of shares withheld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dividends declared, $0.11 per share</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0" w:type="dxa"/>
            <w:vAlign w:val="bottom"/>
          </w:tcPr>
          <w:p>
            <w:pPr>
              <w:spacing w:after="0"/>
              <w:rPr>
                <w:sz w:val="1"/>
                <w:szCs w:val="1"/>
                <w:color w:val="auto"/>
              </w:rPr>
            </w:pP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August 3, 2024</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244,584</w:t>
            </w:r>
          </w:p>
        </w:tc>
        <w:tc>
          <w:tcPr>
            <w:tcW w:w="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$ 1,707,101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1,952,394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50"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6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ACADEMY SPORTS AND OUTDOORS,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7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0" w:type="dxa"/>
            <w:vAlign w:val="bottom"/>
          </w:tcPr>
          <w:p>
            <w:pPr>
              <w:spacing w:after="0"/>
              <w:rPr>
                <w:sz w:val="19"/>
                <w:szCs w:val="19"/>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09"/>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171,518</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219,053</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57,771</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compensation</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14,093</w:t>
            </w:r>
          </w:p>
        </w:tc>
      </w:tr>
      <w:tr>
        <w:trPr>
          <w:trHeight w:val="230"/>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deferred loan and other costs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29"/>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29"/>
        </w:trPr>
        <w:tc>
          <w:tcPr>
            <w:tcW w:w="76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7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Merchandise inventories, net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(278,784)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(172,457)</w:t>
            </w: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(24,943)</w:t>
            </w: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r>
      <w:tr>
        <w:trPr>
          <w:trHeight w:val="230"/>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178,381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153,613</w:t>
            </w:r>
          </w:p>
        </w:tc>
      </w:tr>
      <w:tr>
        <w:trPr>
          <w:trHeight w:val="229"/>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19,073</w:t>
            </w: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w:t>
            </w:r>
          </w:p>
        </w:tc>
      </w:tr>
      <w:tr>
        <w:trPr>
          <w:trHeight w:val="230"/>
        </w:trPr>
        <w:tc>
          <w:tcPr>
            <w:tcW w:w="7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23"/>
        </w:trPr>
        <w:tc>
          <w:tcPr>
            <w:tcW w:w="76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236,047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291,023</w:t>
            </w:r>
          </w:p>
        </w:tc>
      </w:tr>
      <w:tr>
        <w:trPr>
          <w:trHeight w:val="34"/>
        </w:trPr>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(73,425)</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62"/>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(107,899)</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(73,739)</w:t>
            </w:r>
          </w:p>
        </w:tc>
      </w:tr>
      <w:tr>
        <w:trPr>
          <w:trHeight w:val="230"/>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Revolving Credit Facilities</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 of Revolving Credit Facilities</w:t>
            </w:r>
          </w:p>
        </w:tc>
        <w:tc>
          <w:tcPr>
            <w:tcW w:w="2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Term Loan</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issuance fees</w:t>
            </w:r>
          </w:p>
        </w:tc>
        <w:tc>
          <w:tcPr>
            <w:tcW w:w="2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program</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common stock for retirement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(99,031)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(220,325)</w:t>
            </w:r>
          </w:p>
        </w:tc>
      </w:tr>
      <w:tr>
        <w:trPr>
          <w:trHeight w:val="23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(17,365)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w:t>
            </w:r>
          </w:p>
        </w:tc>
      </w:tr>
      <w:tr>
        <w:trPr>
          <w:trHeight w:val="262"/>
        </w:trPr>
        <w:tc>
          <w:tcPr>
            <w:tcW w:w="76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(116,217)</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(240,636)</w:t>
            </w:r>
          </w:p>
        </w:tc>
      </w:tr>
      <w:tr>
        <w:trPr>
          <w:trHeight w:val="229"/>
        </w:trPr>
        <w:tc>
          <w:tcPr>
            <w:tcW w:w="76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11,931</w:t>
            </w: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(23,352)</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288,929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347,920</w:t>
            </w:r>
          </w:p>
        </w:tc>
      </w:tr>
      <w:tr>
        <w:trPr>
          <w:trHeight w:val="196"/>
        </w:trPr>
        <w:tc>
          <w:tcPr>
            <w:tcW w:w="76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300,860</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324,568</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24"/>
        </w:trPr>
        <w:tc>
          <w:tcPr>
            <w:tcW w:w="7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17,564</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33,969</w:t>
            </w: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45,788</w:t>
            </w:r>
          </w:p>
        </w:tc>
      </w:tr>
      <w:tr>
        <w:trPr>
          <w:trHeight w:val="256"/>
        </w:trPr>
        <w:tc>
          <w:tcPr>
            <w:tcW w:w="7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capital expenditures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w:t>
            </w:r>
          </w:p>
        </w:tc>
      </w:tr>
      <w:tr>
        <w:trPr>
          <w:trHeight w:val="238"/>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123,628</w:t>
            </w:r>
          </w:p>
        </w:tc>
        <w:tc>
          <w:tcPr>
            <w:tcW w:w="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56,185</w:t>
            </w: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Condensed Notes to Consolidated Financial Statements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jc w:val="center"/>
        <w:ind w:right="80"/>
        <w:spacing w:after="0" w:line="278" w:lineRule="auto"/>
        <w:rPr>
          <w:sz w:val="20"/>
          <w:szCs w:val="20"/>
          <w:color w:val="auto"/>
        </w:rPr>
      </w:pPr>
      <w:r>
        <w:rPr>
          <w:rFonts w:ascii="Times New Roman" w:cs="Times New Roman" w:eastAsia="Times New Roman" w:hAnsi="Times New Roman"/>
          <w:sz w:val="18"/>
          <w:szCs w:val="18"/>
          <w:b w:val="1"/>
          <w:bCs w:val="1"/>
          <w:color w:val="auto"/>
        </w:rPr>
        <w:t>ACADEMY SPORTS AND OUTDOORS, INC. CONDENSED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All references to “we,” “us,” “our” or the “Company” in the financial statements refer to Academy Sports and Outdoors, Inc., a Delaware corporation (“ASO, Inc.”) and the current parent holding company of our operations, and its consolidated subsidiaries. We conduct our operations primarily through our indirect subsidiary, Academy, Ltd., a Texas limited partnership doing business as “Academy Sports + Outdoors”, or Academy, Ltd. All of the Company's sales and business operations occur at Academy, Ltd., and Academy, Ltd. is also the borrower and/or issuer of the Company's long-term debt and the lessee of the Company's facilities. Our fiscal year represents the 52 or 53 weeks ending on the Saturday closest to January 31.</w:t>
      </w:r>
    </w:p>
    <w:p>
      <w:pPr>
        <w:spacing w:after="0" w:line="133"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leading full-line sporting goods and outdoor recreational products retailer in the United States in terms of net sales. As of August 2, 2025, we operated 306 “Academy Sports + Outdoors” retail locations in 21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Times New Roman" w:cs="Times New Roman" w:eastAsia="Times New Roman" w:hAnsi="Times New Roman"/>
          <w:sz w:val="18"/>
          <w:szCs w:val="18"/>
          <w:i w:val="1"/>
          <w:iCs w:val="1"/>
          <w:color w:val="auto"/>
        </w:rPr>
        <w:t>academy.com</w:t>
      </w:r>
      <w:r>
        <w:rPr>
          <w:rFonts w:ascii="Times New Roman" w:cs="Times New Roman" w:eastAsia="Times New Roman" w:hAnsi="Times New Roman"/>
          <w:sz w:val="18"/>
          <w:szCs w:val="18"/>
          <w:color w:val="auto"/>
        </w:rPr>
        <w:t xml:space="preserve"> website and our mobile app.</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5" w:lineRule="exact"/>
        <w:rPr>
          <w:sz w:val="20"/>
          <w:szCs w:val="20"/>
          <w:color w:val="auto"/>
        </w:rPr>
      </w:pPr>
    </w:p>
    <w:p>
      <w:pPr>
        <w:jc w:val="both"/>
        <w:ind w:left="260"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included in the Company's Annual Report on Form 10-K for the fiscal year ended February 1, 2025, as filed with the Securities and Exchange Commission (the “SEC”) on March 20, 2025 (the “Annual Report”). The information furnished herein reflects all normal recurring adjustments which are, in the opinion of management, necessary for a fair presentation of the results for the interim periods presented. The results of operations for the thirteen and twenty-six weeks ended August 2, 2025 are not necessarily indicative of the results that will be realized for the fiscal year ending January 31, 2026 or any other period. The balance sheet as of February 1, 2025 has been derived from our audited financial statements as of that date. For further information, refer to our audited financial statements and notes thereto included in the Annual Report.</w:t>
      </w:r>
    </w:p>
    <w:p>
      <w:pPr>
        <w:spacing w:after="0" w:line="2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ASO, Inc. and its subsidiaries, New Academy Holding Company, LLC (“NAHC”), Academy Managing Co., L.L.C., Associated Investors, L.L.C., Academy, Ltd., the Company's operating company, Academy International Limited, Mason Creek Insurance Co., LLC, and Academy Procurement Co., LLC. NAHC, Academy Managing Co., LLC, and Associated Investors, LLC are intermediate holding companies. All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8" w:name="page9"/>
    <w:bookmarkEnd w:id="8"/>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Within the merchandise division sales table presented in Note 3, certain products and categories were recategorized in the current fiscal year amongst various categories and divisions, respectively, to better align with our current merchandising strategy and view of the business. As a result, we have reclassified sales between divisions in the thirteen and twenty-six weeks ended August 3, 2024 for comparability purposes. This reclassification is in divisional presentation only and did not impact the overall net sales balances previously disclosed.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firstLine="401"/>
        <w:spacing w:after="0" w:line="254" w:lineRule="auto"/>
        <w:rPr>
          <w:sz w:val="20"/>
          <w:szCs w:val="20"/>
          <w:color w:val="auto"/>
        </w:rPr>
      </w:pPr>
      <w:r>
        <w:rPr>
          <w:rFonts w:ascii="Times New Roman" w:cs="Times New Roman" w:eastAsia="Times New Roman" w:hAnsi="Times New Roman"/>
          <w:sz w:val="18"/>
          <w:szCs w:val="18"/>
          <w:color w:val="auto"/>
        </w:rPr>
        <w:t>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replaces the previously approved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depend on a variety of factors, including legal requirements, price, economic and market conditions. The 2024 Share Repurchase Program does not obligate the Company to acquire any particular number of common shares, and the program may be suspended, extended, modified or discontinued at any time.</w:t>
      </w:r>
    </w:p>
    <w:p>
      <w:pPr>
        <w:spacing w:after="0" w:line="1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40" w:type="dxa"/>
            <w:vAlign w:val="bottom"/>
          </w:tcPr>
          <w:p>
            <w:pPr>
              <w:spacing w:after="0"/>
              <w:rPr>
                <w:sz w:val="20"/>
                <w:szCs w:val="20"/>
                <w:color w:val="auto"/>
              </w:rPr>
            </w:pPr>
          </w:p>
        </w:tc>
        <w:tc>
          <w:tcPr>
            <w:tcW w:w="29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4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6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1,809,856</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2,080,772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3,793,823</w:t>
            </w:r>
          </w:p>
        </w:tc>
      </w:tr>
      <w:tr>
        <w:trPr>
          <w:trHeight w:val="30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Aggregate amount paid (amounts in millions) </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r>
    </w:tbl>
    <w:p>
      <w:pPr>
        <w:spacing w:after="0" w:line="224" w:lineRule="exact"/>
        <w:rPr>
          <w:sz w:val="20"/>
          <w:szCs w:val="20"/>
          <w:color w:val="auto"/>
        </w:rPr>
      </w:pPr>
    </w:p>
    <w:p>
      <w:pPr>
        <w:ind w:left="20" w:right="620" w:hanging="10"/>
        <w:spacing w:after="0" w:line="261" w:lineRule="auto"/>
        <w:tabs>
          <w:tab w:leader="none" w:pos="224"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estimated excise tax fees of $0.0 million and $0.9 million for the thirteen and twenty-six weeks ended August 2, 2025, respectively, and $0.9 million and $2.0 million for the thirteen and twenty-six weeks ended August 3, 2024, respectively.</w:t>
      </w:r>
    </w:p>
    <w:p>
      <w:pPr>
        <w:spacing w:after="0" w:line="181" w:lineRule="exact"/>
        <w:rPr>
          <w:sz w:val="20"/>
          <w:szCs w:val="20"/>
          <w:color w:val="auto"/>
        </w:rPr>
      </w:pPr>
    </w:p>
    <w:p>
      <w:pPr>
        <w:jc w:val="both"/>
        <w:ind w:firstLine="401"/>
        <w:spacing w:after="0" w:line="261" w:lineRule="auto"/>
        <w:rPr>
          <w:sz w:val="20"/>
          <w:szCs w:val="20"/>
          <w:color w:val="auto"/>
        </w:rPr>
      </w:pPr>
      <w:r>
        <w:rPr>
          <w:rFonts w:ascii="Times New Roman" w:cs="Times New Roman" w:eastAsia="Times New Roman" w:hAnsi="Times New Roman"/>
          <w:sz w:val="18"/>
          <w:szCs w:val="18"/>
          <w:color w:val="auto"/>
        </w:rPr>
        <w:t>The Company allocates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 As of August 2, 2025, we had $536.5 million available for share repurchases pursuant to the 2024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previously entered into a supply chain financing arrangement with a third-party financial institution, whereby certain suppliers have the ability to settle outstanding payment obligations earlier than the due date required by our original supplier terms. Subsequently, we settle invoices with the financial institution within 45 days, which approximates our original supplier terms. The Company does not have an economic interest in suppliers’ voluntary participation, does not provide any guarantees or pledge assets under these arrangements, and our rights and obligations to our suppliers, including amounts due, are not impacted. Our liability associated with these arrangements, which is presented within accounts payable on the Condensed Consolidated Balance Sheets, was $2.1 million, $3.8 million and $5.1 million as of August 2, 2025, February 1, 2025 and August 3,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Income Tax Regulations</w:t>
      </w:r>
    </w:p>
    <w:p>
      <w:pPr>
        <w:spacing w:after="0" w:line="17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July 4, 2025, an Act to provide for reconciliation pursuant to title II of H. Con. Res. 14, commonly referred to as the One Big Beautiful Bill Act (“OBBBA”), was enacted into law in the United States. The OBBBA introduces significant changes to U.S. tax law, including full deductibility of qualified capital expenditures, full deductibility of domestic research and development expenditures, changes to the business interest limitation, and modifications to the international tax framework. For the fiscal year ending January 31, 2026, the Company anticipates a material decrease to the current tax expense and corresponding increase to deferred tax expense that results in no net impact to the effective tax rate.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Adopted</w:t>
      </w:r>
    </w:p>
    <w:p>
      <w:pPr>
        <w:spacing w:after="0" w:line="30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which is intended to enhance the disclosures on reportable segments. Under this pronouncement, all public entities (including those with a single reporting segment) are required to include incremental disclosures related to a public entity's reportable segments, including disclosure of disaggregated expense information that is regularly provided to the chief operating decision maker and included within each reported measure of segment profit or loss. The new guidance is effective for fiscal years beginning after December 15, 2023, and interim periods within fiscal years beginning after December 15, 2024, and should be adopted retrospectively. The Company adopted ASU 2023-07 retrospectively, effective February 1, 2025. The adoption of this standard did not have a material impact on the Company's consolidated financial statement disclosures.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5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pronouncement is intended to enhance the transparency and decision usefulness of income tax disclosures and establishes new income tax disclosure requirements, including requiring disaggregation of a reporting entity’s effective tax rate reconciliation and disaggregation of the income taxes paid based on the applicable tax jurisdiction. The new guidance is effective for the annual periods for fiscal years beginning after December 15, 2024 and should be applied on a prospective basis with the option to apply the standard retrospectively. The Company is currently evaluating the impact that the adoption of this accounting standard will have on its annual financial disclosures.</w:t>
      </w:r>
    </w:p>
    <w:p>
      <w:pPr>
        <w:spacing w:after="0" w:line="20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 (DISE</w:t>
      </w:r>
      <w:r>
        <w:rPr>
          <w:rFonts w:ascii="Times New Roman" w:cs="Times New Roman" w:eastAsia="Times New Roman" w:hAnsi="Times New Roman"/>
          <w:sz w:val="18"/>
          <w:szCs w:val="18"/>
          <w:color w:val="auto"/>
        </w:rPr>
        <w:t>), which requires disclosures about specific types of expenses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captions presented on the face of the income statement as well as disclosures about selling expenses. The new guidance is effective for annual reporting periods beginning after December 15, 2026, and interim reporting periods beginning after December 15, 2027. The requirements will be applied prospectively with the option for retrospective application. The Company is evaluating the impact of adopting ASU 2024-03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Net Sales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1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the approximate amount of sales by merchandise divisions for the periods presented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2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00" w:type="dxa"/>
            <w:vAlign w:val="bottom"/>
          </w:tcPr>
          <w:p>
            <w:pPr>
              <w:spacing w:after="0"/>
              <w:rPr>
                <w:sz w:val="20"/>
                <w:szCs w:val="20"/>
                <w:color w:val="auto"/>
              </w:rPr>
            </w:pPr>
          </w:p>
        </w:tc>
        <w:tc>
          <w:tcPr>
            <w:tcW w:w="326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38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09"/>
        </w:trPr>
        <w:tc>
          <w:tcPr>
            <w:tcW w:w="3860" w:type="dxa"/>
            <w:vAlign w:val="bottom"/>
            <w:tcBorders>
              <w:top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color w:val="auto"/>
              </w:rPr>
              <w:t xml:space="preserve">Merchandise division sales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Outdoors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448,937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438,105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831,488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826,262</w:t>
            </w: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Sports and recreation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704,837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695,743</w:t>
            </w:r>
          </w:p>
        </w:tc>
      </w:tr>
      <w:tr>
        <w:trPr>
          <w:trHeight w:val="229"/>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Apparel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783,802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769,409</w:t>
            </w:r>
          </w:p>
        </w:tc>
      </w:tr>
      <w:tr>
        <w:trPr>
          <w:trHeight w:val="23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Footwear</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323,243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312,120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615,918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604,553</w:t>
            </w:r>
          </w:p>
        </w:tc>
      </w:tr>
      <w:tr>
        <w:trPr>
          <w:trHeight w:val="223"/>
        </w:trPr>
        <w:tc>
          <w:tcPr>
            <w:tcW w:w="386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 xml:space="preserve">Total merchandise sales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1,593,092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1,542,411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2,936,045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2,895,967</w:t>
            </w: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sales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17,233</w:t>
            </w:r>
          </w:p>
        </w:tc>
      </w:tr>
      <w:tr>
        <w:trPr>
          <w:trHeight w:val="223"/>
        </w:trPr>
        <w:tc>
          <w:tcPr>
            <w:tcW w:w="38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1,599,838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1,548,980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2,951,247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2,913,200</w:t>
            </w:r>
          </w:p>
        </w:tc>
      </w:tr>
      <w:tr>
        <w:trPr>
          <w:trHeight w:val="21"/>
        </w:trPr>
        <w:tc>
          <w:tcPr>
            <w:tcW w:w="3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500" w:hanging="248"/>
        <w:spacing w:after="0" w:line="261" w:lineRule="auto"/>
        <w:tabs>
          <w:tab w:leader="none" w:pos="47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products and categories were recategorized in the current fiscal year amongst various categories and divisions, respectively, to better align with our current merchandising strategy and view of the business. As a result, we have reclassified sales between divisions in the thirteen and twenty-six weeks ended August 3, 2024, for comparability purposes. This reclassification is in divisional presentation only and did not impact the overall net sales balances previously disclosed.</w:t>
      </w:r>
    </w:p>
    <w:p>
      <w:pPr>
        <w:ind w:left="500" w:hanging="248"/>
        <w:spacing w:after="0" w:line="261" w:lineRule="auto"/>
        <w:tabs>
          <w:tab w:leader="none" w:pos="46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E-commerce sales consisted of 10.9% and 10.5% of merchandise sales for the thirteen and twenty-six weeks ended August 2, 2025, respectively, and 9.7% and 9.4% for the thirteen and twenty-six weeks ended August 3, 2024, respectively.</w:t>
      </w:r>
    </w:p>
    <w:p>
      <w:pPr>
        <w:ind w:left="460" w:hanging="208"/>
        <w:spacing w:after="0"/>
        <w:tabs>
          <w:tab w:leader="none" w:pos="4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sales consisted primarily of the gift card breakage income, credit card bounties and royalties, shipping income, sales return allowance and other items.</w:t>
      </w:r>
    </w:p>
    <w:p>
      <w:pPr>
        <w:spacing w:after="0" w:line="15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We sell gift cards in stores, online and in third-party retail locations. The gift cards we sell have no expiration dates. A liability for gift cards, which is recorded in accrued expenses and other liabilities on our Consolidated Balance Sheets, is established at the time of sale and revenues are recognized as the gift cards are redeemed in stores or on our website. Based on historical gift card redemption patterns, we believe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16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3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beginning balance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94,155</w:t>
            </w:r>
          </w:p>
        </w:tc>
      </w:tr>
      <w:tr>
        <w:trPr>
          <w:trHeight w:val="223"/>
        </w:trPr>
        <w:tc>
          <w:tcPr>
            <w:tcW w:w="3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43,797</w:t>
            </w:r>
          </w:p>
        </w:tc>
      </w:tr>
      <w:tr>
        <w:trPr>
          <w:trHeight w:val="230"/>
        </w:trPr>
        <w:tc>
          <w:tcPr>
            <w:tcW w:w="3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Redeemed</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(56,564)</w:t>
            </w:r>
          </w:p>
        </w:tc>
      </w:tr>
      <w:tr>
        <w:trPr>
          <w:trHeight w:val="230"/>
        </w:trPr>
        <w:tc>
          <w:tcPr>
            <w:tcW w:w="3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as breakage income</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r>
      <w:tr>
        <w:trPr>
          <w:trHeight w:val="248"/>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Gift card liability, 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78,768</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59"/>
        </w:trPr>
        <w:tc>
          <w:tcPr>
            <w:tcW w:w="260" w:type="dxa"/>
            <w:vAlign w:val="bottom"/>
          </w:tcPr>
          <w:p>
            <w:pPr>
              <w:spacing w:after="0"/>
              <w:rPr>
                <w:sz w:val="24"/>
                <w:szCs w:val="24"/>
                <w:color w:val="auto"/>
              </w:rPr>
            </w:pPr>
          </w:p>
        </w:tc>
        <w:tc>
          <w:tcPr>
            <w:tcW w:w="5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Our debt consisted of the following (amounts in thousands) as of:</w:t>
            </w: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57"/>
        </w:trPr>
        <w:tc>
          <w:tcPr>
            <w:tcW w:w="26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60" w:type="dxa"/>
            <w:vAlign w:val="bottom"/>
          </w:tcPr>
          <w:p>
            <w:pPr>
              <w:spacing w:after="0"/>
              <w:rPr>
                <w:sz w:val="22"/>
                <w:szCs w:val="22"/>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00" w:type="dxa"/>
            <w:vAlign w:val="bottom"/>
          </w:tcPr>
          <w:p>
            <w:pPr>
              <w:spacing w:after="0"/>
              <w:rPr>
                <w:sz w:val="22"/>
                <w:szCs w:val="22"/>
                <w:color w:val="auto"/>
              </w:rPr>
            </w:pP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260" w:type="dxa"/>
            <w:vAlign w:val="bottom"/>
          </w:tcPr>
          <w:p>
            <w:pPr>
              <w:spacing w:after="0"/>
              <w:rPr>
                <w:sz w:val="19"/>
                <w:szCs w:val="19"/>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ABL Facility, due March 2029</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due November 2027</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90,250</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6.00% Notes, due November 2027</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490,250</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6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on Term Loan</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260" w:type="dxa"/>
            <w:vAlign w:val="bottom"/>
          </w:tcPr>
          <w:p>
            <w:pPr>
              <w:spacing w:after="0"/>
              <w:rPr>
                <w:sz w:val="19"/>
                <w:szCs w:val="19"/>
                <w:color w:val="auto"/>
              </w:rPr>
            </w:pPr>
          </w:p>
        </w:tc>
        <w:tc>
          <w:tcPr>
            <w:tcW w:w="5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deferred loan costs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r>
      <w:tr>
        <w:trPr>
          <w:trHeight w:val="223"/>
        </w:trPr>
        <w:tc>
          <w:tcPr>
            <w:tcW w:w="260" w:type="dxa"/>
            <w:vAlign w:val="bottom"/>
          </w:tcPr>
          <w:p>
            <w:pPr>
              <w:spacing w:after="0"/>
              <w:rPr>
                <w:sz w:val="19"/>
                <w:szCs w:val="19"/>
                <w:color w:val="auto"/>
              </w:rPr>
            </w:pPr>
          </w:p>
        </w:tc>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481,738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482,679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483,617</w:t>
            </w:r>
          </w:p>
        </w:tc>
      </w:tr>
      <w:tr>
        <w:trPr>
          <w:trHeight w:val="20"/>
        </w:trPr>
        <w:tc>
          <w:tcPr>
            <w:tcW w:w="2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 Deferred loan costs are related to the Term Loan and Notes.</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ABL Facility</w:t>
      </w:r>
    </w:p>
    <w:p>
      <w:pPr>
        <w:spacing w:after="0" w:line="175" w:lineRule="exact"/>
        <w:rPr>
          <w:sz w:val="20"/>
          <w:szCs w:val="20"/>
          <w:color w:val="auto"/>
        </w:rPr>
      </w:pPr>
    </w:p>
    <w:p>
      <w:pPr>
        <w:jc w:val="both"/>
        <w:ind w:left="260" w:firstLine="324"/>
        <w:spacing w:after="0" w:line="254" w:lineRule="auto"/>
        <w:rPr>
          <w:sz w:val="20"/>
          <w:szCs w:val="20"/>
          <w:color w:val="auto"/>
        </w:rPr>
      </w:pPr>
      <w:r>
        <w:rPr>
          <w:rFonts w:ascii="Times New Roman" w:cs="Times New Roman" w:eastAsia="Times New Roman" w:hAnsi="Times New Roman"/>
          <w:sz w:val="18"/>
          <w:szCs w:val="18"/>
          <w:color w:val="auto"/>
        </w:rPr>
        <w:t>Academy Ltd., as borrower, and certain wholly-owned subsidiaries, as guarantors, entered into an asset-based revolving credit facility, dated March 8, 2024 with JPMorgan Chase Bank, N.A., as the administrative agent and collateral agent and other lenders party thereto (as amended to date, the “ABL Facility”). Borrowings under the ABL Facility bear interest, at our election, at either (1) adjusted term secured overnight financing rate (“Adjusted Term SOFR”) plus a margin of 1.25% to 1.75%, or (2) a base rate equal to the highest of (a) the federal funds rate plus 0.50%, (b) JPMorgan Chase Bank, N.A.'s “prime rate”, or (c) the one-month Adjusted Term SOFR rate plus 1.00%, plus a margin of 0.25% to 0.75%. The ABL Facility also provides a fee applicable to the unused commitments of 0.375%. The terms and conditions of the ABL Facility also require that we prepay outstanding loans under the ABL Facility under certain circumstances. As of August 2, 2025, no future prepayments of outstanding loans have been triggered under the terms and conditions of the ABL Facility.</w:t>
      </w:r>
    </w:p>
    <w:p>
      <w:pPr>
        <w:spacing w:after="0" w:line="138"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August 2, 2025, we had outstanding letters of credit of approximately $9.1 million, all of which were issued under the ABL Facility, and we had no borrowings outstanding, leaving an available borrowing capacity under the ABL Facility of $990.9 million.</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Term Loan</w:t>
      </w:r>
    </w:p>
    <w:p>
      <w:pPr>
        <w:spacing w:after="0" w:line="256" w:lineRule="exact"/>
        <w:rPr>
          <w:sz w:val="20"/>
          <w:szCs w:val="20"/>
          <w:color w:val="auto"/>
        </w:rPr>
      </w:pPr>
    </w:p>
    <w:p>
      <w:pPr>
        <w:jc w:val="both"/>
        <w:ind w:left="260" w:firstLine="324"/>
        <w:spacing w:after="0" w:line="255" w:lineRule="auto"/>
        <w:rPr>
          <w:sz w:val="20"/>
          <w:szCs w:val="20"/>
          <w:color w:val="auto"/>
        </w:rPr>
      </w:pPr>
      <w:r>
        <w:rPr>
          <w:rFonts w:ascii="Times New Roman" w:cs="Times New Roman" w:eastAsia="Times New Roman" w:hAnsi="Times New Roman"/>
          <w:sz w:val="18"/>
          <w:szCs w:val="18"/>
          <w:color w:val="auto"/>
        </w:rPr>
        <w:t>Academy, Ltd., as borrower, and certain wholly-owned subsidiaries, as guarantors, entered into a seven-year $400.0 million senior secured term loan with Credit Suisse AG, Cayman Island Branch, as the administrative agent and collateral agent and the several other lenders and parties named therein on November 6, 2020 (as amended to date, the “Term Loan”). Borrowings under the Term Loan bear interest, at our election, at either (1) Adjusted Term SOFR with a floor of 0.75% rate plus a margin of 3.75% or (2) a base rate equal to the highest of (a) the federal funds rate plus 0.50%,</w:t>
      </w:r>
    </w:p>
    <w:p>
      <w:pPr>
        <w:spacing w:after="0" w:line="3" w:lineRule="exact"/>
        <w:rPr>
          <w:sz w:val="20"/>
          <w:szCs w:val="20"/>
          <w:color w:val="auto"/>
        </w:rPr>
      </w:pPr>
    </w:p>
    <w:p>
      <w:pPr>
        <w:jc w:val="both"/>
        <w:ind w:left="260" w:hanging="8"/>
        <w:spacing w:after="0" w:line="253" w:lineRule="auto"/>
        <w:tabs>
          <w:tab w:leader="none" w:pos="52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“prime rate” announced by the administrative agent, or (c) the one-month Adjusted Term SOFR with a floor of 0.75% rate, plus a margin of 3.75%. As of August 2, 2025, the weighted average interest rate was 8.19%, with interest payable monthly. Quarterly principal payments of $750.0 thousand are required through September 30, 2027 and borrowings mature on November 6, 2027. As of August 2, 2025, no prepayment was due under the terms and conditions of the Term Loan.</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Notes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On November 6, 2020, Academy, Ltd. issued $400.0 million of 6.00% senior secured notes which are due November 15, 2027 (the “Notes”), pursuant to an indenture, dated as of November 6, 2020, with the subsidiary guarantors named therein and The Bank of New York Mellon Trust Company, N.A., as trustee and collateral agent. The Notes require cash interest payments semi-annually in arrears on May 15 and November 15 of each year at a rate of 6.00% per year, which commenced on May 15, 2021.</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2" w:name="page13"/>
    <w:bookmarkEnd w:id="12"/>
    <w:p>
      <w:pPr>
        <w:jc w:val="both"/>
        <w:ind w:left="2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Covenants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ABL Facility, Term Loan and Notes agreements contain covenants, including, among other things, covenants that may restrict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August 2, 2025.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fair value measurements are classified as either:</w:t>
      </w:r>
    </w:p>
    <w:p>
      <w:pPr>
        <w:spacing w:after="0" w:line="171" w:lineRule="exact"/>
        <w:rPr>
          <w:sz w:val="20"/>
          <w:szCs w:val="20"/>
          <w:color w:val="auto"/>
        </w:rPr>
      </w:pPr>
    </w:p>
    <w:p>
      <w:pPr>
        <w:ind w:left="900" w:hanging="324"/>
        <w:spacing w:after="0" w:line="281"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Times New Roman" w:cs="Times New Roman" w:eastAsia="Times New Roman" w:hAnsi="Times New Roman"/>
          <w:sz w:val="18"/>
          <w:szCs w:val="18"/>
          <w:color w:val="auto"/>
        </w:rPr>
      </w:pPr>
    </w:p>
    <w:p>
      <w:pPr>
        <w:jc w:val="both"/>
        <w:ind w:left="900" w:hanging="324"/>
        <w:spacing w:after="0" w:line="266"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3" w:lineRule="exact"/>
        <w:rPr>
          <w:rFonts w:ascii="Times New Roman" w:cs="Times New Roman" w:eastAsia="Times New Roman" w:hAnsi="Times New Roman"/>
          <w:sz w:val="18"/>
          <w:szCs w:val="18"/>
          <w:color w:val="auto"/>
        </w:rPr>
      </w:pPr>
    </w:p>
    <w:p>
      <w:pPr>
        <w:ind w:left="900" w:hanging="324"/>
        <w:spacing w:after="0" w:line="282"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08"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Periodically we make cash investments in money market funds comprised of U.S. Government treasury bills and securities, which are classified as cash and are redeemable on demand. As of August 2, 2025, February 1, 2025 and August 3, 2024, we held $250.2 million, $256.9 million and $254.7 million in money market funds, respectively.</w:t>
      </w:r>
    </w:p>
    <w:p>
      <w:pPr>
        <w:spacing w:after="0" w:line="122" w:lineRule="exact"/>
        <w:rPr>
          <w:sz w:val="20"/>
          <w:szCs w:val="20"/>
          <w:color w:val="auto"/>
        </w:rPr>
      </w:pPr>
    </w:p>
    <w:p>
      <w:pPr>
        <w:jc w:val="both"/>
        <w:ind w:left="260" w:firstLine="324"/>
        <w:spacing w:after="0" w:line="261" w:lineRule="auto"/>
        <w:rPr>
          <w:sz w:val="20"/>
          <w:szCs w:val="20"/>
          <w:color w:val="auto"/>
        </w:rPr>
      </w:pPr>
      <w:r>
        <w:rPr>
          <w:rFonts w:ascii="Times New Roman" w:cs="Times New Roman" w:eastAsia="Times New Roman" w:hAnsi="Times New Roman"/>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August 2, 2025, February 1, 2025, and August 3, 2024, the estimated fair value of the Term Loan and Notes was $0.5 billion, $0.5 billion and $0.5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5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78"/>
        </w:trPr>
        <w:tc>
          <w:tcPr>
            <w:tcW w:w="260" w:type="dxa"/>
            <w:vAlign w:val="bottom"/>
          </w:tcPr>
          <w:p>
            <w:pPr>
              <w:spacing w:after="0"/>
              <w:rPr>
                <w:sz w:val="24"/>
                <w:szCs w:val="24"/>
                <w:color w:val="auto"/>
              </w:rPr>
            </w:pPr>
          </w:p>
        </w:tc>
        <w:tc>
          <w:tcPr>
            <w:tcW w:w="69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 (amounts in thousands) as of:</w:t>
            </w: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18"/>
        </w:trPr>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4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00" w:type="dxa"/>
            <w:vAlign w:val="bottom"/>
          </w:tcPr>
          <w:p>
            <w:pPr>
              <w:spacing w:after="0"/>
              <w:rPr>
                <w:sz w:val="24"/>
                <w:szCs w:val="24"/>
                <w:color w:val="auto"/>
              </w:rPr>
            </w:pP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260" w:type="dxa"/>
            <w:vAlign w:val="bottom"/>
          </w:tcPr>
          <w:p>
            <w:pPr>
              <w:spacing w:after="0"/>
              <w:rPr>
                <w:sz w:val="19"/>
                <w:szCs w:val="19"/>
                <w:color w:val="auto"/>
              </w:rPr>
            </w:pPr>
          </w:p>
        </w:tc>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709,739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663,869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605,746</w:t>
            </w:r>
          </w:p>
        </w:tc>
      </w:tr>
      <w:tr>
        <w:trPr>
          <w:trHeight w:val="229"/>
        </w:trPr>
        <w:tc>
          <w:tcPr>
            <w:tcW w:w="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754,848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733,939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713,400</w:t>
            </w:r>
          </w:p>
        </w:tc>
      </w:tr>
      <w:tr>
        <w:trPr>
          <w:trHeight w:val="230"/>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407,371</w:t>
            </w:r>
          </w:p>
        </w:tc>
      </w:tr>
      <w:tr>
        <w:trPr>
          <w:trHeight w:val="229"/>
        </w:trPr>
        <w:tc>
          <w:tcPr>
            <w:tcW w:w="260" w:type="dxa"/>
            <w:vAlign w:val="bottom"/>
          </w:tcPr>
          <w:p>
            <w:pPr>
              <w:spacing w:after="0"/>
              <w:rPr>
                <w:sz w:val="19"/>
                <w:szCs w:val="19"/>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53,326</w:t>
            </w:r>
          </w:p>
        </w:tc>
      </w:tr>
      <w:tr>
        <w:trPr>
          <w:trHeight w:val="229"/>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Land</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w:t>
            </w:r>
          </w:p>
        </w:tc>
      </w:tr>
      <w:tr>
        <w:trPr>
          <w:trHeight w:val="223"/>
        </w:trPr>
        <w:tc>
          <w:tcPr>
            <w:tcW w:w="2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2,014,576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1,794,764</w:t>
            </w:r>
          </w:p>
        </w:tc>
      </w:tr>
      <w:tr>
        <w:trPr>
          <w:trHeight w:val="229"/>
        </w:trPr>
        <w:tc>
          <w:tcPr>
            <w:tcW w:w="260" w:type="dxa"/>
            <w:vAlign w:val="bottom"/>
          </w:tcPr>
          <w:p>
            <w:pPr>
              <w:spacing w:after="0"/>
              <w:rPr>
                <w:sz w:val="19"/>
                <w:szCs w:val="19"/>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(1,430,531)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(1,324,012)</w:t>
            </w:r>
          </w:p>
        </w:tc>
      </w:tr>
      <w:tr>
        <w:trPr>
          <w:trHeight w:val="223"/>
        </w:trPr>
        <w:tc>
          <w:tcPr>
            <w:tcW w:w="260" w:type="dxa"/>
            <w:vAlign w:val="bottom"/>
          </w:tcPr>
          <w:p>
            <w:pPr>
              <w:spacing w:after="0"/>
              <w:rPr>
                <w:sz w:val="19"/>
                <w:szCs w:val="19"/>
                <w:color w:val="auto"/>
              </w:rPr>
            </w:pPr>
          </w:p>
        </w:tc>
        <w:tc>
          <w:tcPr>
            <w:tcW w:w="5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584,045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525,136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470,752</w:t>
            </w:r>
          </w:p>
        </w:tc>
      </w:tr>
      <w:tr>
        <w:trPr>
          <w:trHeight w:val="20"/>
        </w:trPr>
        <w:tc>
          <w:tcPr>
            <w:tcW w:w="2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$31.0 million and $61.2 million in the thirteen and twenty-six weeks ended August 2, 2025, respectively, and $28.9 million and $57.8 million in the thirteen and twenty-six weeks ended August 3, 2024, respectively.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(amounts in thousands) as of:</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4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22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40,807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34,472</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17,979</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self-insurance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15,953</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gift cards and other</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82,619</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29,114</w:t>
            </w: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36,425</w:t>
            </w: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return allowance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27,863</w:t>
            </w:r>
          </w:p>
        </w:tc>
      </w:tr>
      <w:tr>
        <w:trPr>
          <w:trHeight w:val="248"/>
        </w:trPr>
        <w:tc>
          <w:tcPr>
            <w:tcW w:w="4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259,069</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Share-Based Compensation</w:t>
      </w:r>
    </w:p>
    <w:p>
      <w:pPr>
        <w:spacing w:after="0" w:line="175" w:lineRule="exact"/>
        <w:rPr>
          <w:sz w:val="20"/>
          <w:szCs w:val="20"/>
          <w:color w:val="auto"/>
        </w:rPr>
      </w:pPr>
    </w:p>
    <w:p>
      <w:pPr>
        <w:jc w:val="both"/>
        <w:ind w:left="260" w:firstLine="324"/>
        <w:spacing w:after="0" w:line="258"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On June 1, 2023, our stockholders approved the First Amendment to the 2020 Omnibus Incentive Plan, which, among other changes, increased the number of shares available for issuance thereunder by 2,600,000 shares. As of August 2, 2025, there were 3,556,643 shares that were authorized and available for future issuance under the 2020 Omnibus Incentive Plan.</w:t>
      </w:r>
    </w:p>
    <w:p>
      <w:pPr>
        <w:spacing w:after="0" w:line="129"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2020, the ASO, Inc. Board of Directors adopted the 2020 Employee Stock Purchase Plan (the “ESPP”), which became effective on October 1, 2020. We have reserved a total of 2,000,000 shares and as of August 2, 2025, there were 1,402,072 shares authorized and available for future issuance under the ESPP.</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332" w:right="339" w:bottom="1440" w:gutter="0" w:footer="0" w:header="0"/>
        </w:sectPr>
      </w:pPr>
    </w:p>
    <w:bookmarkStart w:id="14" w:name="page15"/>
    <w:bookmarkEnd w:id="1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Equity compensation expense was $7.6 million and $15.1 million for the thirteen and twenty-six weeks ended August 2, 2025, respectively. Equity compensation expense was $8.0 million and $14.1 million for the thirteen and twenty-six weeks ended August 3, 2024, respectively. These costs are included in selling, general and administrative expenses in the Consolidated Statements of Income. For all Awards granted in 2023, 2024, and 2025, for team members that meet the age and service requirement for retirement eligibility (as defined in the award agreement), such Awards do not require the continued employment of the team member for vesting eligibility. In such cases, expensing of Awards is accelerated through the retirement eligibility date.</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Award grants during the twenty-six weeks ended August 2,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r>
      <w:tr>
        <w:trPr>
          <w:trHeight w:val="241"/>
        </w:trPr>
        <w:tc>
          <w:tcPr>
            <w:tcW w:w="6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0"/>
                <w:szCs w:val="20"/>
                <w:color w:val="auto"/>
              </w:rPr>
            </w:pPr>
          </w:p>
        </w:tc>
        <w:tc>
          <w:tcPr>
            <w:tcW w:w="2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Stock Units</w:t>
            </w:r>
          </w:p>
        </w:tc>
      </w:tr>
      <w:tr>
        <w:trPr>
          <w:trHeight w:val="225"/>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44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154,907</w:t>
            </w: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Award</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per Award</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3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unrecognized compensation cost as of August 2, 2025:</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Service Options</w:t>
            </w: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Service Restricted Stock</w:t>
            </w:r>
          </w:p>
        </w:tc>
        <w:tc>
          <w:tcPr>
            <w:tcW w:w="120" w:type="dxa"/>
            <w:vAlign w:val="bottom"/>
          </w:tcPr>
          <w:p>
            <w:pPr>
              <w:spacing w:after="0"/>
              <w:rPr>
                <w:sz w:val="17"/>
                <w:szCs w:val="17"/>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Performance Restricted</w:t>
            </w: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20" w:type="dxa"/>
            <w:vAlign w:val="bottom"/>
          </w:tcPr>
          <w:p>
            <w:pPr>
              <w:spacing w:after="0"/>
              <w:rPr>
                <w:sz w:val="21"/>
                <w:szCs w:val="21"/>
                <w:color w:val="auto"/>
              </w:rPr>
            </w:pPr>
          </w:p>
        </w:tc>
        <w:tc>
          <w:tcPr>
            <w:tcW w:w="2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Stock Units</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1,607,496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36,274,166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10,226,635</w:t>
            </w:r>
          </w:p>
        </w:tc>
        <w:tc>
          <w:tcPr>
            <w:tcW w:w="0" w:type="dxa"/>
            <w:vAlign w:val="bottom"/>
          </w:tcPr>
          <w:p>
            <w:pPr>
              <w:spacing w:after="0"/>
              <w:rPr>
                <w:sz w:val="1"/>
                <w:szCs w:val="1"/>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life remaining in years</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5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9. Earnings per Common Share</w:t>
      </w:r>
    </w:p>
    <w:p>
      <w:pPr>
        <w:spacing w:after="0" w:line="175" w:lineRule="exact"/>
        <w:rPr>
          <w:sz w:val="20"/>
          <w:szCs w:val="20"/>
          <w:color w:val="auto"/>
        </w:rPr>
      </w:pPr>
    </w:p>
    <w:p>
      <w:pPr>
        <w:jc w:val="both"/>
        <w:ind w:left="260"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3"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weighted average common shares outstanding and basic and diluted earnings per common share are calculated as follows (amounts in thousands except per share amounts):</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18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0" w:type="dxa"/>
            <w:vAlign w:val="bottom"/>
          </w:tcPr>
          <w:p>
            <w:pPr>
              <w:spacing w:after="0"/>
              <w:rPr>
                <w:sz w:val="1"/>
                <w:szCs w:val="1"/>
                <w:color w:val="auto"/>
              </w:rPr>
            </w:pPr>
          </w:p>
        </w:tc>
      </w:tr>
      <w:tr>
        <w:trPr>
          <w:trHeight w:val="22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125,434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219,053</w:t>
            </w:r>
          </w:p>
        </w:tc>
        <w:tc>
          <w:tcPr>
            <w:tcW w:w="0" w:type="dxa"/>
            <w:vAlign w:val="bottom"/>
          </w:tcPr>
          <w:p>
            <w:pPr>
              <w:spacing w:after="0"/>
              <w:rPr>
                <w:sz w:val="1"/>
                <w:szCs w:val="1"/>
                <w:color w:val="auto"/>
              </w:rPr>
            </w:pPr>
          </w:p>
        </w:tc>
      </w:tr>
      <w:tr>
        <w:trPr>
          <w:trHeight w:val="88"/>
        </w:trPr>
        <w:tc>
          <w:tcPr>
            <w:tcW w:w="3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66,539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72,911</w:t>
            </w:r>
          </w:p>
        </w:tc>
        <w:tc>
          <w:tcPr>
            <w:tcW w:w="0" w:type="dxa"/>
            <w:vAlign w:val="bottom"/>
          </w:tcPr>
          <w:p>
            <w:pPr>
              <w:spacing w:after="0"/>
              <w:rPr>
                <w:sz w:val="1"/>
                <w:szCs w:val="1"/>
                <w:color w:val="auto"/>
              </w:rPr>
            </w:pPr>
          </w:p>
        </w:tc>
      </w:tr>
      <w:tr>
        <w:trPr>
          <w:trHeight w:val="176"/>
        </w:trPr>
        <w:tc>
          <w:tcPr>
            <w:tcW w:w="37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Service Restricted Units and</w:t>
            </w:r>
          </w:p>
        </w:tc>
        <w:tc>
          <w:tcPr>
            <w:tcW w:w="1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Restricted Stock Units</w:t>
            </w:r>
          </w:p>
        </w:tc>
        <w:tc>
          <w:tcPr>
            <w:tcW w:w="1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Dilutive effect of Performance Restricted Stock</w:t>
            </w: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Units and Liquidity Event Restricted Units</w:t>
            </w:r>
          </w:p>
        </w:tc>
        <w:tc>
          <w:tcPr>
            <w:tcW w:w="18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Dilutive effect of Service Options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Dilutive effect of Performance Unit Options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Dilutive effect of ESPP Shares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55"/>
        </w:trPr>
        <w:tc>
          <w:tcPr>
            <w:tcW w:w="37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18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67,689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68,043</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74,651</w:t>
            </w:r>
          </w:p>
        </w:tc>
        <w:tc>
          <w:tcPr>
            <w:tcW w:w="0" w:type="dxa"/>
            <w:vAlign w:val="bottom"/>
          </w:tcPr>
          <w:p>
            <w:pPr>
              <w:spacing w:after="0"/>
              <w:rPr>
                <w:sz w:val="1"/>
                <w:szCs w:val="1"/>
                <w:color w:val="auto"/>
              </w:rPr>
            </w:pPr>
          </w:p>
        </w:tc>
      </w:tr>
      <w:tr>
        <w:trPr>
          <w:trHeight w:val="236"/>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3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108"/>
        </w:trPr>
        <w:tc>
          <w:tcPr>
            <w:tcW w:w="37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3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stock-based awards excluded from</w:t>
            </w:r>
          </w:p>
        </w:tc>
        <w:tc>
          <w:tcPr>
            <w:tcW w:w="1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calculation</w:t>
            </w:r>
          </w:p>
        </w:tc>
        <w:tc>
          <w:tcPr>
            <w:tcW w:w="1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Technology Related and Other Commitments</w:t>
      </w:r>
    </w:p>
    <w:p>
      <w:pPr>
        <w:spacing w:after="0" w:line="175" w:lineRule="exact"/>
        <w:rPr>
          <w:sz w:val="20"/>
          <w:szCs w:val="20"/>
          <w:color w:val="auto"/>
        </w:rPr>
      </w:pPr>
    </w:p>
    <w:p>
      <w:pPr>
        <w:jc w:val="both"/>
        <w:ind w:left="260" w:firstLine="324"/>
        <w:spacing w:after="0" w:line="282" w:lineRule="auto"/>
        <w:rPr>
          <w:sz w:val="20"/>
          <w:szCs w:val="20"/>
          <w:color w:val="auto"/>
        </w:rPr>
      </w:pPr>
      <w:r>
        <w:rPr>
          <w:rFonts w:ascii="Times New Roman" w:cs="Times New Roman" w:eastAsia="Times New Roman" w:hAnsi="Times New Roman"/>
          <w:sz w:val="18"/>
          <w:szCs w:val="18"/>
          <w:color w:val="auto"/>
        </w:rPr>
        <w:t>As of August 2, 2025, we have obligations under technology-related, construction and other contractual commitments in the amount of $121.5 million. Of such commitments, approximately $63.3 million is payable in the next 12 months.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175" w:lineRule="exact"/>
        <w:rPr>
          <w:sz w:val="20"/>
          <w:szCs w:val="20"/>
          <w:color w:val="auto"/>
        </w:rPr>
      </w:pPr>
    </w:p>
    <w:p>
      <w:pPr>
        <w:jc w:val="both"/>
        <w:ind w:left="260" w:firstLine="324"/>
        <w:spacing w:after="0" w:line="266" w:lineRule="auto"/>
        <w:rPr>
          <w:sz w:val="20"/>
          <w:szCs w:val="20"/>
          <w:color w:val="auto"/>
        </w:rPr>
      </w:pPr>
      <w:r>
        <w:rPr>
          <w:rFonts w:ascii="Times New Roman" w:cs="Times New Roman" w:eastAsia="Times New Roman" w:hAnsi="Times New Roman"/>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9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089"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 In addition, government agencies and self-regulatory organizations have the ability to conduct periodic examinations of and administrative proceedings regarding our business.</w:t>
      </w:r>
    </w:p>
    <w:p>
      <w:pPr>
        <w:spacing w:after="0" w:line="13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August 2, 2025,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75" w:lineRule="exact"/>
        <w:rPr>
          <w:sz w:val="20"/>
          <w:szCs w:val="20"/>
          <w:color w:val="auto"/>
        </w:rPr>
      </w:pPr>
    </w:p>
    <w:p>
      <w:pPr>
        <w:jc w:val="both"/>
        <w:ind w:left="500" w:firstLine="324"/>
        <w:spacing w:after="0" w:line="256" w:lineRule="auto"/>
        <w:rPr>
          <w:sz w:val="20"/>
          <w:szCs w:val="20"/>
          <w:color w:val="auto"/>
        </w:rPr>
      </w:pPr>
      <w:r>
        <w:rPr>
          <w:rFonts w:ascii="Times New Roman" w:cs="Times New Roman" w:eastAsia="Times New Roman" w:hAnsi="Times New Roman"/>
          <w:sz w:val="18"/>
          <w:szCs w:val="18"/>
          <w:color w:val="auto"/>
        </w:rPr>
        <w:t>The Company’s retail operations represent one operating segment and one reportable segment, which derives revenues from customers by selling full-line sporting goods and outdoor recreational products. The Company’s retail stores and online selling channels sell similar products and services, use similar selling processes, and sell to similar classes of customers. See Note 1 to the consolidated financial statements for information related to the products and services offered as well as business operations. The accounting policies of the Company's single reportable segment are the same as those described in the summary of significant accounting policies in Note 2 to the consolidated financial statements. All intercompany transactions within the single reportable segment are eliminated upon consolidation.</w:t>
      </w:r>
    </w:p>
    <w:p>
      <w:pPr>
        <w:spacing w:after="0" w:line="133" w:lineRule="exact"/>
        <w:rPr>
          <w:sz w:val="20"/>
          <w:szCs w:val="20"/>
          <w:color w:val="auto"/>
        </w:rPr>
      </w:pPr>
    </w:p>
    <w:p>
      <w:pPr>
        <w:jc w:val="both"/>
        <w:ind w:left="500" w:firstLine="324"/>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(the “CODM”) is the Chief Executive Officer. The CODM allocates resources and assesses performance at a Company level using consolidated net income, which is a GAAP measure, as reported on the Consolidated Statements of Income. The CODM evaluates the Company's assets as reported on the Company's Consolidated Balance Sheets. The CODM evaluates significant segment expenses and makes decisions about the retail business based on the cost of goods we sell and the selling, general, and administrative expenses needed to sell those goods as reported on the Consolidated Statements of Income. See the Company's consolidated financial statements included in Part I Item 1 for more information.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7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Our management evaluated events or transactions that occurred after August 2, 2025 through September 2, 2025, the issuance date of the consolidated financial statements, and identified the following matter to report:</w:t>
      </w:r>
    </w:p>
    <w:p>
      <w:pPr>
        <w:spacing w:after="0" w:line="10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On August 28, 2025, the Company's Board of Directors declared a quarterly cash dividend with respect to the fiscal quarter ended August 2, 2025, of $0.13 per share of the Company's common stock, payable on October 9, 2025, to stockholders of record as of the close of business on September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Quarterly Report, including this “Management’s Discussion and Analysis of Financial Condition and Results of Operations” and in the section entitled “Risk Factors,” and relate to matters such as macroeconomic conditions,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Quarterly Report.</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that could affect overall consumer spending or our industry, including the possible effect of ongoing macroeconomic challenges, inflation and higher interest rates, trade policy changes or additional tariffs or changes in tariffs, geopolitical tensions, or changes to the financial health of our customers, many of which are beyond our control. We believe that these factors include but are not limited to those described under “Risk Factors” in the Company's Annual Report, as such risk factors may be updated from time to time in our periodic filings with the SEC, which are accessible on the SEC's website at www.sec.gov.</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speaks only as of the date of this Quarterly Report and are expressly qualified in their entirety by the cautionary statements included in this Quarterly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principal factors that make an investment in our securities speculative or risky (all of which are more fully described in the section entitled “Risk Factors” in the Annual Report, as the same may be updated by subsequent Forms 10-Q):</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6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decline in the health of the economy and consumer discretionary spending;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reliance on internationally manufactured merchandise, including in China, which exposes us to various international risks, including additional tariffs and our ability to successfully reduce our direct cost exposure to China;</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update or implement our information systems;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inventory balances;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e-commerce business;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safeguard sensitive or confidential data relating to us and our customers, team members and vendors;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sporting goods and outdoor recreation retail industries;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disruptions in our supply chain and losses of merchandise purchasing incentives;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8" w:name="page19"/>
    <w:bookmarkEnd w:id="18"/>
    <w:p>
      <w:pPr>
        <w:ind w:left="660" w:hanging="328"/>
        <w:spacing w:after="0" w:line="281" w:lineRule="auto"/>
        <w:tabs>
          <w:tab w:leader="none" w:pos="6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continue our store growth plans or manage our growth effectively, or any failure of our new stores to generate sales and/or achieve profitability;</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marketing and advertising programs;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quality team members in sufficient numbers, increases in wage and labor costs, and changes in laws and other labor issues;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against inventory shrink;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payment-related risks;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severe weather events, catastrophic health events, natural or man-made disasters, social and political conditions or civil unrest;</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concentration of our stores;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retain and train key personnel;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merchandise (including raw materials) costs and availability;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the operation of our distribution centers;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to support our existing business and future initiatives;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suppliers to supply us with merchandise that we purchase for resale;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private label brand merchandise;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our third-party vendors of outsourced business services and solutions;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seasonal fluctuations in our operating results;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pursue strategic acquisitions and integrate acquired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Regulatory Risks</w:t>
      </w:r>
    </w:p>
    <w:p>
      <w:pPr>
        <w:spacing w:after="0" w:line="67" w:lineRule="exact"/>
        <w:rPr>
          <w:sz w:val="20"/>
          <w:szCs w:val="20"/>
          <w:color w:val="auto"/>
        </w:rPr>
      </w:pPr>
    </w:p>
    <w:p>
      <w:pPr>
        <w:ind w:left="660" w:hanging="328"/>
        <w:spacing w:after="0" w:line="28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affecting our business, including those relating to the sale, manufacture and import of consumer products;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demands and lawsuits to which we are, and may in the future, be subject and the risk that our insurance or</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indemnities coverage may not be sufficient;</w:t>
      </w:r>
    </w:p>
    <w:p>
      <w:pPr>
        <w:spacing w:after="0" w:line="63" w:lineRule="exact"/>
        <w:rPr>
          <w:sz w:val="20"/>
          <w:szCs w:val="20"/>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product safety;</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climate change and other sustainability-related matters;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avoid the infringement of third-party intellectual property rights.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67" w:lineRule="exact"/>
        <w:rPr>
          <w:sz w:val="20"/>
          <w:szCs w:val="20"/>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related debt service payments and our ability to generate sufficient cash flow to satisfy all of our obligations under our indebtedness;</w:t>
      </w:r>
    </w:p>
    <w:p>
      <w:pPr>
        <w:spacing w:after="0" w:line="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variable rate indebtedness subjects us to interest rate risk;</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current and future operations imposed by the terms of our indebtedness;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the ABL Facility (as defined above);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may hinder our ability to negotiate favorable terms with our vendors.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Ownership of Our Common Stock</w:t>
      </w:r>
    </w:p>
    <w:p>
      <w:pPr>
        <w:spacing w:after="0" w:line="6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 or may decline;</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decision to pay dividends on our common stock or conduct stock repurchases;</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exclusive forum provision; and</w:t>
      </w:r>
    </w:p>
    <w:p>
      <w:pPr>
        <w:spacing w:after="0" w:line="63"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any future issuances of shares by us.</w:t>
      </w:r>
    </w:p>
    <w:p>
      <w:pPr>
        <w:spacing w:after="0" w:line="171"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These factors should not be construed as exhaustive and should be read in conjunction with the other cautionary statements that are included in this Quarterly Report. Should one or more of these risks or uncertainties materialize, or should any of our assumptions prove incorrect, our actual results may vary in material respects from those projected in these forward-looking statements.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19" w:name="page20"/>
    <w:bookmarkEnd w:id="19"/>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financial statements and related notes included elsewhere in this Quarterly Report for the thirteen and twenty-six weeks ended August 2, 2025 and our audited financial statements for the fiscal year ended February 1, 2025 and the section entitled “Management's Discussion and Analysis of Financial Condition and Results of Operations” included in the Annual Report.</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All references to “Academy,” “Academy Sports + Outdoors,” “ASO, Inc.,” “we,” “us,” “our” or the “Company” in this Quarterly Report refer to Academy Sports and Outdoors, Inc., a Delaware corporation and the current parent holding company of our operations, and its consolidated subsidiaries. We conduct our operations through our indirect subsidiary, Academy, Ltd., a Texas limited partnership doing business as “Academy Sports + Outdoors”, or Academy, Ltd. All of the Company's sales and business operations occur at Academy, Ltd., and Academy, Ltd., is also the borrower and/or issuer of the Company's long-term debt and lessee of facilities.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the “current quarter,” “2025 second quarter,” or similar reference refers to the thirteen week period ended August 2, 2025, and any reference to the “prior year quarter,” “2024 second quarter” or similar reference refers to the thirteen week period ended August 3, 2024. Unless otherwise specified, all comparisons regarding the current period of 2025 are made to the corresponding period of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We are a leading full-line sporting goods and outdoor recreation retailer in the United States. Our mission is to provide “Fun for All”, and we fulfill this mission with a localized merchandising strategy and value proposition that deeply connect with a broad range of consumers. Our product assortment focuses on key categories of outdoor, sports and recreation, apparel, and footwear (representing 28%, 23%, 28%, and 21% of our 2025 second quarter net sales, respectively) through both leading national brands and a portfolio of private label brands, which go well beyond traditional sporting goods and apparel offerings.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August 2, 2025, we operated 306 stores that range in size from approximately 40,000 to 130,000 gross square feet, with an average size of approximately 70,000 gross square feet, throughout 21 contiguous states located primarily in the southern United States. Our stores are supported by approximately 23,000 team members, three distribution centers, and our e-commerce platform, which includes our website at www.academy.com and our mobile app. Additionally, we are deepening our customer relationships, further integrating our e-commerce platform with our stores and driving operating efficiencies by developing our omnichannel capabilities, such as our mobile app, optimizing the website experience and upgrading our fulfillment capabilities.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store activity for the periods indicated:</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18"/>
        </w:trPr>
        <w:tc>
          <w:tcPr>
            <w:tcW w:w="7540" w:type="dxa"/>
            <w:vAlign w:val="bottom"/>
          </w:tcPr>
          <w:p>
            <w:pPr>
              <w:spacing w:after="0"/>
              <w:rPr>
                <w:sz w:val="24"/>
                <w:szCs w:val="24"/>
                <w:color w:val="auto"/>
              </w:rPr>
            </w:pPr>
          </w:p>
        </w:tc>
        <w:tc>
          <w:tcPr>
            <w:tcW w:w="370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7540" w:type="dxa"/>
            <w:vAlign w:val="bottom"/>
          </w:tcPr>
          <w:p>
            <w:pPr>
              <w:spacing w:after="0"/>
              <w:rPr>
                <w:sz w:val="19"/>
                <w:szCs w:val="19"/>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1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stores</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Q1 new stores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Q2 new stores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stores</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Relocated stores</w:t>
            </w: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Tariffs and Other Macroeconomic Trends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continue to monitor global macroeconomic trends and uncertainties such as inflation, existing and potential tariffs, and other shifting trade policies, which have impacted consumer spending and could adversely affect our ability to grow sales and merchandise margin. The impact of the evolving macroeconomic environment on our financial results is uncertain. We have worked diligently to mitigate the impact of tariffs on our business. We are closely monitoring the evolving environment with respect to tariffs and other trade policy developments and will continue to adjust plans as needed, including, but not limited to, inventory purchase quantities and timing, strategic pricing and promotional adjustments to maintain value for our customers, diversifying sourcing to shift country of origin, and vendor negotiations.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How We Assess the Performance of Our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1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Comparable Sales. </w:t>
      </w:r>
      <w:r>
        <w:rPr>
          <w:rFonts w:ascii="Times New Roman" w:cs="Times New Roman" w:eastAsia="Times New Roman" w:hAnsi="Times New Roman"/>
          <w:sz w:val="18"/>
          <w:szCs w:val="18"/>
          <w:color w:val="auto"/>
        </w:rPr>
        <w:t>We define comparable sales as the percentage of period-over-period net sales increase or decrease, in the aggregate, for stores open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 thirteen full fiscal months, as well as for all e-commerce sales. There may be variations in the way in which some of our competitors and other retailers calculate comparable sales. As a result, data in this Quarterly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our buy-online-pickup-in-store program (“BOPIS”). For example, all BOPIS transactions, which are originated by our website, are allocated to e-commerce sales for the purpose of comparable sales, despite the fact that our customers pick-up these purchases from a specific store.</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thirteen months.</w:t>
      </w:r>
    </w:p>
    <w:p>
      <w:pPr>
        <w:spacing w:after="0" w:line="13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and average ticket. </w:t>
      </w:r>
      <w:r>
        <w:rPr>
          <w:rFonts w:ascii="Times New Roman" w:cs="Times New Roman" w:eastAsia="Times New Roman" w:hAnsi="Times New Roman"/>
          <w:sz w:val="18"/>
          <w:szCs w:val="18"/>
          <w:color w:val="auto"/>
        </w:rPr>
        <w:t>We define transactions as the number of customer transactions for stores and e-commerce during a given period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sales basis. Transactions are influenced by customer traffic, the amount of customers that visited our stores or website, and sales conversion, the percent of those customers that made a purchase. We define average ticket as total sales divided by the number of transactions during a given period, which tells us the average amount the customer is spending on a purchase.</w:t>
      </w:r>
    </w:p>
    <w:p>
      <w:pPr>
        <w:spacing w:after="0" w:line="12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Adjusted EBIT, Adjusted Net Income, Adjusted Earnings per Share and Adjusted Free Cash Flow. </w:t>
      </w:r>
      <w:r>
        <w:rPr>
          <w:rFonts w:ascii="Times New Roman" w:cs="Times New Roman" w:eastAsia="Times New Roman" w:hAnsi="Times New Roman"/>
          <w:sz w:val="18"/>
          <w:szCs w:val="18"/>
          <w:color w:val="auto"/>
        </w:rPr>
        <w:t>Management uses Adjusted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Measures” below.</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Components of Our Results of Operations. </w:t>
      </w:r>
      <w:r>
        <w:rPr>
          <w:rFonts w:ascii="Times New Roman" w:cs="Times New Roman" w:eastAsia="Times New Roman" w:hAnsi="Times New Roman"/>
          <w:sz w:val="18"/>
          <w:szCs w:val="18"/>
          <w:color w:val="auto"/>
        </w:rPr>
        <w:t>Our profitability is primarily influenced by fluctuations in net sales, gross margin and our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leverage selling, general and administrative expenses.</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are derived from in-store and e-commerce merchandise sales, net of sales tax and an allowance for merchandise returns.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sales fluctuations can be driven by new store openings, comparable sales increases or decreases including e-commerce sales, our ability to adjust inventory based on sales fluctuations, our management of vendor relations and meeting customer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demand, allowances and logistics, seasonality, unseasonal or extreme weather, changes in consumer shopping preferences, consumer discretionary spending, and market and sales promotions.</w:t>
      </w:r>
    </w:p>
    <w:p>
      <w:pPr>
        <w:spacing w:after="0" w:line="10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over the past few years. We have coupled these tools with the data we have been able to collect from our Academy Credit Card program, our customer database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continued to add private label brand products to our assortment of products, which we generally price lower than the national brand products of comparable quality that we also offer. Furthermore, our softgoods merchandise divisions, which consist of apparel and footwear, have higher margins than our hardgoods merchandise divisions, which consist of outdoors and sports and recreation. A shift in sales mix toward softgoods would generally have a positive impact on gross margin and a shift in sales mix towards hardgoods would generally have a negative impact on gross margin.</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expansion and enhancement of our omnichannel capabilities has resulted in increased sales in recent years. We continue to invest in initiatives that will increase traffic to our stores and e-commerce platform, which includes our website and mobile app, and drive increased sales conversion. These initiatives include investments in our new customer data platform and the development of strategies that focus on customer segmentation with the intention of improving customer identification and increasing customer engagement. Additionally, we continue to implement several website features to enhance the customer online shopping experience, including a redesigned home page, additional BOPIS features, and enhanced shipping notifications. Our improved e-commerce platform supports our stores with digital marketing and our BOPIS and ship-to-store programs. These platforms allow us to connect further with our customers for marketing and product education and assists us in introducing customers to the Academy brand by reaching customers outside of our current store footprint. During the 2025 year-to-date second quarter, stores facilitated approximately 95% of our total sales, including ship-from-store, BOPIS and in-store retail sales. We expect to continue to invest in expanding and enhancing our omnichannel capabilities, including our mobile app, optimizing the web site experience and upgrading our fulfillment capabilities, which will continue to require further investments by us.</w:t>
      </w:r>
    </w:p>
    <w:p>
      <w:pPr>
        <w:spacing w:after="0" w:line="14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that new stores will be a key driver of growth in our net sales and gross margin in the future as we execute our new store opening growth plans. Our growth strategy encompasses both deepening our presence in existing markets as well as entering new markets, leveraging enhanced brand awareness and operational efficiencies. Our new store model favors off-mall locations within power centers or stand-alone buildings. We utilize comprehensive demographic and trade data to guide our real estate site selection. During the 2025 second quarter, we opened 3 new stores. Our strategic real estate approach, including the 47 stores opened since fiscal year 2021, has positioned us effectively for continued expansion.</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our net sales less cost of goods sold. Our cost of goods sold includes the direct cost of merchandise and costs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procurement, warehousing and distribution, which consist primarily of transportation, payroll and benefits and distribution center occupancy costs and are generally variable in nature relative to our sales volume.</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depends on a number of factors, such as net sales increases or decreases, our promotional activities, product mix including private label merchandise sales, and our ability to control cost of goods sold, such as inventory and logistics cost management. Our gross margin is also impacted by variables including commodity costs, freight costs, shrinkage (discussed below), inventory processing costs and e-commerce shipping costs. We track and measure gross margin as a percentage of net sales in order to evaluate our performance against profitability targets.</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refer to loss or theft of inventory as “shrinkage” or “shrink”. A prolonged period of significant increased shrink could have a material negative impact on our gross margin and results of operations.</w:t>
      </w:r>
    </w:p>
    <w:p>
      <w:pPr>
        <w:spacing w:after="0" w:line="104"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(“SG&amp;A”) expenses include store and corporate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payroll and payroll benefits, store and corporate headquarters occupancy costs, advertising, credit card processing, information technology, pre-opening costs and other store and administrative expenses. These expenses are both variable and fixed in nature. SG&amp;A expenses as a percentage of sales increased from 24.8% in the 2024 year-to-date second quarter to 26.9% in the 2025 year-to-date second quarter, primarily attributable to increased strategic investments, including the addition of 21 new stores since the end of the 2024 second quarter. We track and measure operating expenses as a percentage of</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order to evaluate our performance against profitability targets. Management of SG&amp;A expenses depends on our ability to balance a control of operating costs, such as store and corporate headcount, information technology infrastructure and marketing and advertising expenses, while efficiently and effectively servicing our customers.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Pre-opening expenses represent non-capital expenditures associated with the opening of new stores and distribution centers prior to sales generation or start of operations, which consist primarily of occupancy costs, marketing, payroll and recruiting costs, and are expensed as incurred. As we execute our new store opening growth plans, we expect our pre-opening expenses to increase and result in a negative impact to SG&amp;A as a percentage of sales. The following table summarizes our pre-opening expense activity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2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4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new stores opened</w:t>
            </w: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8"/>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pre-opening expenses incurred (in millions)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1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includes regular interest payable related to our Term Loan, Notes and ABL Facility (see Note 4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accompanying financial statements) and the amortization of our deferred loan costs and original issuance discounts associated with the acquisition of the debt.</w:t>
      </w:r>
    </w:p>
    <w:p>
      <w:pPr>
        <w:spacing w:after="0" w:line="11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ASO, Inc. is treated as a U.S. corporation for U.S. federal, state, and local income tax purposes and accordingly, a provision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taxes has been recorded for the anticipated tax consequences of our reported results of operations for federal, state and local income taxes. Recent fluctuations in income tax expense have been primarily as a result of changes in income before income taxes and changes in equity awards activity.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August 2, 2025 Compared to Thirteen Weeks Ended August 3, 2024</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1,599,838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1,548,980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1,023,105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64.0 %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990,255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32,850</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576,733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558,725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404,352</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368,639</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172,381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190,086</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164,833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186,546</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39,399</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2.5 %</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43,958</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125,434</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7.8 %</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16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increased $50.9 million, or 3.3%, in the 2025 second quarter over the prior year second quarter. The increase of 3.3% in net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driven by increased sales of 3.7% in the apparel merchandise division, 3.6% in the footwear merchandise division, 3.5% in the sports and recreation merchandise division and 2.5% in the outdoor merchandise division.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opened 21 new stores since the end of the 2024 second quarter, 3 of which opened throughout the 2025 second quarter. During the 2025 second quarter, these 21 stores generated $60.8 million of net sales, including e-commerce. Since re-launching our new store program in 2022, we have opened 47 new stores, 26 of which have been open for at least twelve months. Over the last twelve months, those 26 stores have averaged approximately $13 million in net sales per store, including e-commerce. We believe that performance of new stores in year one is partially affected by the season in which the new store opens and the brand awareness in the region the new store opens.</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Comparable sales increased 0.2% driven by higher sales across all merchandise divisions, except outdoor, as a result of a 1.5% increase in average ticket, partially offset by a decrease in comparable transactions of 1.4%.</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E-commerce net sales represented 10.9% of merchandise sales for the 2025 second quarter compared to 9.7% for the prior year second quarter.</w:t>
      </w:r>
    </w:p>
    <w:p>
      <w:pPr>
        <w:spacing w:after="0" w:line="167" w:lineRule="exact"/>
        <w:rPr>
          <w:sz w:val="20"/>
          <w:szCs w:val="20"/>
          <w:color w:val="auto"/>
        </w:rPr>
      </w:pPr>
    </w:p>
    <w:p>
      <w:pPr>
        <w:jc w:val="both"/>
        <w:ind w:right="14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increased $18.0 million, or 3.2%, to $576.7 million in the 2025 second quarter from $558.7 million in the 2024 second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quarter. As a percentage of net sales, gross margin remained relatively constant, with a decrease of 10 basis points primarily due to the effects of rounding as shown in the table above.</w:t>
      </w:r>
    </w:p>
    <w:p>
      <w:pPr>
        <w:spacing w:after="0" w:line="19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$35.7 million, or 9.7%, to $404.4 million in the 2025 second quarter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$368.6 million in the 2024 second quarter, primarily as a result of our increased strategic investments of $26.8 million in new stores and technology.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remained relatively constant in the 2025 second quarter when compared with the 2024 second quarter.</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$4.1 million in the 2025 second quarter when compared with the 2024 second quarter,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driven by decreased money market investments at lower interest rates in the 2025 second quarter when compared with the 2024 second quarter.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4" w:name="page25"/>
    <w:bookmarkEnd w:id="24"/>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$4.6 million to $39.4 million for the 2025 second quarter as compared to $44.0 million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second quarter, resulting primarily from a decrease in pre-tax income. ASO, Inc.'s effective income tax rate was 23.9% in the second quarter of 2025 compared to 23.6% in the second quarter of 2024. The increase in effective tax rate compared to the prior year quarter is due to a reduction in excess tax benefits for share based compensation.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Twenty-Six Weeks Ended August 2, 2025 Compared to Twenty-Six Weeks Ended August 3, 2024</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amounts and information derived from our unaudited statements of income for the periods indicated as follows (dollar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7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Dollars</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2,951,247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2,913,200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1,915,645</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64.9 %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1,898,681</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16,964</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1,035,602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1,014,519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793,956</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722,050</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71,906</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241,646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292,469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(50,823)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18,072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2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2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227,861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284,198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56,343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65,145</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(8,802)</w:t>
            </w: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48"/>
        </w:trPr>
        <w:tc>
          <w:tcPr>
            <w:tcW w:w="37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171,518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*Percentages in table may not sum properly due to rounding.</w:t>
      </w:r>
    </w:p>
    <w:p>
      <w:pPr>
        <w:spacing w:after="0" w:line="16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sales increased $38.0 million, or 1.3%, year-to-date 2025 compared to year-to-date 2024, which was driven by increased sales of 1.9%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footwear merchandise division, 1.9% in the apparel merchandise division, 1.3% in the sports and recreation merchandise division and 0.6% in the outdoor division.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opened 21 new stores since the end of the 2024 second quarter, 3 of which opened throughout the 2025 second quarter. During the year-to-date 2025, these 21 stores generated $103.8 million of net sales, including e-commerce. Since re-launching our new store program in 2022, we have opened 47 new stores, 26 of which have been open for at least twelve months. Over the last twelve months, those 26 stores have averaged approximately $13 million in net sales per store, including e-commerce. We believe that performance of new stores in year one is partially affected by the season in which the new store opens and the brand awareness in the region the new store opens.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Comparable sales decreased 1.7% driven by lower sales across all merchandise divisions as a result of a 3.1% decrease in comparable transactions, partially offset by an increase in average ticket of 1.5%.</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E-commerce net sales represented 10.5% of merchandise sales for the year-to-date 2025 compared to 9.4% for the year-to-date 2024.</w:t>
      </w:r>
    </w:p>
    <w:p>
      <w:pPr>
        <w:spacing w:after="0" w:line="167"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increased $21.1 million, or 2.1%, to $1,035.6 million for the year-to-date 2025 from $1,014.5 million for the year-to-date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As a percentage of net sales, gross margin increased 30 basis points from 34.8% for the year-to-date 2024 to 35.1% for the year-to-date 2025. The increase of 30 basis points in gross margin was primarily attributable to 50 basis points of favorability in merchandise margin, which was partially offset by 20 basis points of unfavorability due to increased shrink and e-commerce shipping.</w:t>
      </w:r>
    </w:p>
    <w:p>
      <w:pPr>
        <w:spacing w:after="0" w:line="12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SG&amp;A expenses increased $71.9 million, or 10.0%, to $794.0 million for the year-to-date 2025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$722.1 million for the year-to-date 2024, primarily as a result of our increased strategic investments of $60.2 million in new stores, technology, and the Jordan Brand launch.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5" w:name="page26"/>
    <w:bookmarkEnd w:id="25"/>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Write off of Deferred Loan Costs. </w:t>
      </w:r>
      <w:r>
        <w:rPr>
          <w:rFonts w:ascii="Times New Roman" w:cs="Times New Roman" w:eastAsia="Times New Roman" w:hAnsi="Times New Roman"/>
          <w:sz w:val="18"/>
          <w:szCs w:val="18"/>
          <w:color w:val="auto"/>
        </w:rPr>
        <w:t>Write off of deferred loan costs decreased by $0.4 million for the year-to-date 2025 when compared with the year-to-date 2024, in connection with the amendment in the 2024 first quarter that led to the write off of deferred loan costs on the ABL Facility for the year-to-date 2024.</w:t>
      </w:r>
    </w:p>
    <w:p>
      <w:pPr>
        <w:spacing w:after="0" w:line="11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$0.5 million, or 2.6%, for the year-to-date 2025 when compared with the year-to-date 2024 primarily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resulting from lower interest rates and a lower outstanding balance on our Term Loan.</w:t>
      </w:r>
    </w:p>
    <w:p>
      <w:pPr>
        <w:spacing w:after="0" w:line="10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decreased $6.4 million for the year-to-date 2025 when compared with the year-to-date 2024, primarily driven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decreased money market investments at lower interest rates in the year-to-date 2025 when compared with the year-to-date 2024.</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decreased $8.8 million to $56.3 million for the year-to-date 2025 as compared to $65.1 million for the year-to-date 2024, resulting primarily from a decrease in pre-tax income. ASO, Inc.'s effective tax rate was 24.7% for the year-to-date 2025 compared to 22.9% for the year-to-date 2024. The increase in the effective tax rate compared to the prior year is due to a higher number of employee equity awards vesting and exercised in 2024 at a higher share price compared with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Adjusted EBITDA, Adjusted EBIT, Adjusted Net Income, Adjusted Earnings per Share and Adjusted Free Cash Flow, as shown below, have been presented in this Quarterly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and other adjustments included in the table below. We define Adjusted EBIT as Adjusted EBITDA less depreciation and amortization. We describe these adjustments reconciling net income (loss) to Adjusted EBITDA and to Adjusted EBIT in the applicable table below. We define Adjusted Net Income as net income (loss) plus other adjustments included in the table below, less the tax effect of these adjustments. We define basic Adjusted Earnings per Share as Adjusted Net Income divided by the basic weighted average common shares outstanding during the period and diluted Adjusted Earnings per Share as Adjusted Net Income divided by the diluted weighted average common shares outstanding during the period. We describe these adjustments by reconciling net income (loss) to Adjusted Net Income and Adjusted Earnings per Share in the applicable table below. We describe Adjusted Free Cash Flow as net cash provided by (used in) operating activities less net cash used in investing activities. We describe this adjustment by reconciling net cash provided by (used in) operating activities to Adjusted Free Cash Flow in the applicable table below.</w:t>
      </w:r>
    </w:p>
    <w:p>
      <w:pPr>
        <w:spacing w:after="0" w:line="13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Adjusted EBITDA, Adjusted EBIT, Adjusted Net Income, and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and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has also historically used Adjusted EBIT as a performance target to establish and award discretionary annual incentive compensation.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6" w:name="page27"/>
    <w:bookmarkEnd w:id="26"/>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supplements GAAP results with non-GAAP financial measures to provide a more complete understanding of the factors and trends affecting the business than GAAP results alone. Adjusted EBITDA, Adjusted EBIT, Adjusted Net Income, Adjusted Earnings per Share and Adjusted Free Cash Flow are not recognized terms under GAAP and should not be considered as an alternative to net income (loss) as a measure of financial performance or net cash provided by (used in)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and Adjusted Earnings per Share should not be construed to imply that our future results will be unaffected by unusual or non-recurring items. In evaluating Adjusted EBITDA, Adjusted EBIT, Adjusted Net Income, Adjusted Earnings per Share and Adjusted Free Cash Flow, you should be aware that in the future we may incur expenses that are the same as or similar to some of the adjustments in this presentation. Our presentation of Adjusted EBITDA, Adjusted EBIT, Adjusted Net Income, Adjusted Earnings per Share and Adjusted Free Cash Flow should not be construed to imply that our future results will be unaffected by any such adjustments.</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EBITDA, Adjusted EBIT, Adjusted Net Income,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22" w:lineRule="exact"/>
        <w:rPr>
          <w:sz w:val="20"/>
          <w:szCs w:val="20"/>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costs or cash outlays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and Adjusted EBIT do not reflect period to period changes in taxes, income tax expense or the cash necessary to pay income taxes;</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EBIT, Adjusted Net Income, and Adjusted Earnings per Share do not reflect the impact of earnings or charges resulting from matters we consider not to be indicative of our ongoing operations;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these measures differently than we do, limiting their usefulness as comparative measures.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these limitations, Adjusted EBITDA, Adjusted EBIT, Adjusted Net Income,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reconciliations of net income to Adjusted EBITDA and to Adjusted EBIT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2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4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125,434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171,518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219,053</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18,072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18,557</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65,145</w:t>
            </w: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61,171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57,771</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42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212,484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232,490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322,248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375,068</w:t>
            </w:r>
          </w:p>
        </w:tc>
      </w:tr>
      <w:tr>
        <w:trPr>
          <w:trHeight w:val="223"/>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(31,021)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(61,171)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(57,771)</w:t>
            </w: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261,077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317,297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20" w:right="40" w:hanging="494"/>
        <w:spacing w:after="0" w:line="261" w:lineRule="auto"/>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Earnings per Share</w:t>
      </w:r>
    </w:p>
    <w:p>
      <w:pPr>
        <w:spacing w:after="0" w:line="17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income to Adjusted Net Income and Adjusted Earnings per Share for the periods presented (amounts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2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4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125,434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171,518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219,053</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(a)</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15,144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14,093</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deferred loan costs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effects of these adjustments (b)</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131,319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182,917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230,262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4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66,831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72,911</w:t>
            </w:r>
          </w:p>
        </w:tc>
      </w:tr>
      <w:tr>
        <w:trPr>
          <w:trHeight w:val="230"/>
        </w:trPr>
        <w:tc>
          <w:tcPr>
            <w:tcW w:w="4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74,651</w:t>
            </w:r>
          </w:p>
        </w:tc>
      </w:tr>
    </w:tbl>
    <w:p>
      <w:pPr>
        <w:spacing w:after="0" w:line="99" w:lineRule="exact"/>
        <w:rPr>
          <w:sz w:val="20"/>
          <w:szCs w:val="20"/>
          <w:color w:val="auto"/>
        </w:rPr>
      </w:pPr>
    </w:p>
    <w:p>
      <w:pPr>
        <w:ind w:left="520" w:right="40" w:hanging="494"/>
        <w:spacing w:after="0" w:line="241"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charges related to equity-based compensation, which vary from period to period depending on certain factors such as timing and valuation of awards, achievement of performance targets and equity award forfeitures.</w:t>
      </w:r>
    </w:p>
    <w:p>
      <w:pPr>
        <w:spacing w:after="0" w:line="14" w:lineRule="exact"/>
        <w:rPr>
          <w:rFonts w:ascii="Times New Roman" w:cs="Times New Roman" w:eastAsia="Times New Roman" w:hAnsi="Times New Roman"/>
          <w:sz w:val="14"/>
          <w:szCs w:val="14"/>
          <w:color w:val="auto"/>
        </w:rPr>
      </w:pPr>
    </w:p>
    <w:p>
      <w:pPr>
        <w:ind w:left="520" w:right="20" w:hanging="494"/>
        <w:spacing w:after="0" w:line="241" w:lineRule="auto"/>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thirteen and twenty-six weeks ended August 2, 2025 and August 3, 2024, this represents the estimated tax effect (by using the projected full year tax rates for the respective years) of the total adjustments made to arrive at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cash provided by operating activities to Adjusted Free Cash Flow for the periods presented (amounts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80" w:type="dxa"/>
            <w:vAlign w:val="bottom"/>
          </w:tcPr>
          <w:p>
            <w:pPr>
              <w:spacing w:after="0"/>
              <w:rPr>
                <w:sz w:val="20"/>
                <w:szCs w:val="20"/>
                <w:color w:val="auto"/>
              </w:rPr>
            </w:pPr>
          </w:p>
        </w:tc>
        <w:tc>
          <w:tcPr>
            <w:tcW w:w="326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4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August 3, 2024</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78,575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91,346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top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236,047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291,023</w:t>
            </w:r>
          </w:p>
        </w:tc>
      </w:tr>
      <w:tr>
        <w:trPr>
          <w:trHeight w:val="229"/>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7"/>
              </w:rPr>
              <w:t>(56,911)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(41,384)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(107,899)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(73,739)</w:t>
            </w: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Free Cash Flow</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21,664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49,962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128,148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217,284</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are for working capital, capital expenditures and cash used to pay our debt obligations and related interest expense. We also use cash to pay dividends and repurchase common stock. We fund these liquidity requirements through cash and cash equivalents, cash generated from operating activities, issuances of debt (such as the Notes) and borrowings under our ABL Facility. On August 2, 2025, our cash and cash equivalents totaled $300.9 million. We believe our cash and cash equivalents, as well as our availability under the ABL Facility, will be sufficient to fund our cash requirements for the next 12 months and the longer term foreseeable future.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August 2, 2025, the Company's long-term debt and interest rates consist of :</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- 6.00% fixed rate senior secured notes with $400 million in principal outstanding and full principal maturing November 15, 2027;</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- 8.19% variable rate term-loan with $87.3 million in principal outstanding maturing November 6, 2027 and requiring quarterly principal payments of $750 thousand;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 $1.0 billion commitment on a variable rate secured asset-based revolving credit facility with no principal outstanding maturing March 8, 2029.</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See Note 4 to the accompanying financial statements for further disclosure regarding our debt agreements. The following table summarizes our current debt obligations by fiscal year (amounts in thousands):</w:t>
      </w:r>
    </w:p>
    <w:p>
      <w:pPr>
        <w:spacing w:after="0" w:line="14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Term Loan and related interest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87,725</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101,575</w:t>
            </w:r>
          </w:p>
        </w:tc>
      </w:tr>
      <w:tr>
        <w:trPr>
          <w:trHeight w:val="230"/>
        </w:trPr>
        <w:tc>
          <w:tcPr>
            <w:tcW w:w="3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Notes and related interest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30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r>
      <w:tr>
        <w:trPr>
          <w:trHeight w:val="229"/>
        </w:trPr>
        <w:tc>
          <w:tcPr>
            <w:tcW w:w="3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ABL Facility and related interest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2,500</w:t>
            </w:r>
          </w:p>
        </w:tc>
        <w:tc>
          <w:tcPr>
            <w:tcW w:w="12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268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r>
    </w:tbl>
    <w:p>
      <w:pPr>
        <w:spacing w:after="0" w:line="85" w:lineRule="exact"/>
        <w:rPr>
          <w:sz w:val="20"/>
          <w:szCs w:val="20"/>
          <w:color w:val="auto"/>
        </w:rPr>
      </w:pPr>
    </w:p>
    <w:p>
      <w:pPr>
        <w:ind w:left="760" w:right="940" w:hanging="160"/>
        <w:spacing w:after="0" w:line="241" w:lineRule="auto"/>
        <w:tabs>
          <w:tab w:leader="none" w:pos="80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discount and debt issuance costs and are approximated based on projected interest rates and assume no unscheduled principal payments.</w:t>
      </w:r>
    </w:p>
    <w:p>
      <w:pPr>
        <w:spacing w:after="0" w:line="14" w:lineRule="exact"/>
        <w:rPr>
          <w:rFonts w:ascii="Times New Roman" w:cs="Times New Roman" w:eastAsia="Times New Roman" w:hAnsi="Times New Roman"/>
          <w:sz w:val="14"/>
          <w:szCs w:val="14"/>
          <w:color w:val="auto"/>
        </w:rPr>
      </w:pPr>
    </w:p>
    <w:p>
      <w:pPr>
        <w:ind w:left="800" w:hanging="200"/>
        <w:spacing w:after="0"/>
        <w:tabs>
          <w:tab w:leader="none" w:pos="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do not include amortization of debt issuance costs and assumes Notes are paid in full at maturity date.</w:t>
      </w:r>
    </w:p>
    <w:p>
      <w:pPr>
        <w:spacing w:after="0" w:line="41" w:lineRule="exact"/>
        <w:rPr>
          <w:rFonts w:ascii="Times New Roman" w:cs="Times New Roman" w:eastAsia="Times New Roman" w:hAnsi="Times New Roman"/>
          <w:sz w:val="14"/>
          <w:szCs w:val="14"/>
          <w:color w:val="auto"/>
        </w:rPr>
      </w:pPr>
    </w:p>
    <w:p>
      <w:pPr>
        <w:ind w:left="800" w:hanging="200"/>
        <w:spacing w:after="0"/>
        <w:tabs>
          <w:tab w:leader="none" w:pos="8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a minimum revolving credit commitment of $1.0 billion and assumes no balances drawn on our ABL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is as follows for the periods shown (dollar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7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20" w:type="dxa"/>
            <w:vAlign w:val="bottom"/>
          </w:tcPr>
          <w:p>
            <w:pPr>
              <w:spacing w:after="0"/>
              <w:rPr>
                <w:sz w:val="19"/>
                <w:szCs w:val="19"/>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funds drawn</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days with outstanding balance</w:t>
            </w:r>
          </w:p>
        </w:tc>
        <w:tc>
          <w:tcPr>
            <w:tcW w:w="2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daily amount outstanding</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Minimum available borrowing capacity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953,921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977,254</w:t>
            </w:r>
          </w:p>
        </w:tc>
      </w:tr>
    </w:tbl>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Liquidity information related to the ABL Facility (amounts in thousands) as of:</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499"/>
        </w:trPr>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0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borrowings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letters of credit</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borrowing capacity</w:t>
            </w: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990,742</w:t>
            </w: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predominantly lease store locations, distribution centers, office space and certain equipment under operating leases expiring between fiscal years 2024 and 2044. Operating lease obligations include future minimum lease payments under all of our non-cancelable operating leases at August 2, 2025. The following table summarizes our remaining operating lease obligations by fiscal year (amounts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After 2029</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payments </w:t>
            </w:r>
            <w:r>
              <w:rPr>
                <w:rFonts w:ascii="Times New Roman" w:cs="Times New Roman" w:eastAsia="Times New Roman" w:hAnsi="Times New Roman"/>
                <w:sz w:val="23"/>
                <w:szCs w:val="23"/>
                <w:color w:val="auto"/>
                <w:vertAlign w:val="superscript"/>
              </w:rPr>
              <w:t>(1) (2)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103,999</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251,562</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239,231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222,069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205,355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1,130,983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2,153,199</w:t>
            </w:r>
          </w:p>
        </w:tc>
      </w:tr>
    </w:tbl>
    <w:p>
      <w:pPr>
        <w:spacing w:after="0" w:line="85" w:lineRule="exact"/>
        <w:rPr>
          <w:sz w:val="20"/>
          <w:szCs w:val="20"/>
          <w:color w:val="auto"/>
        </w:rPr>
      </w:pPr>
    </w:p>
    <w:p>
      <w:pPr>
        <w:ind w:left="220" w:hanging="194"/>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Minimum lease payments have not been reduced by sublease rentals of $1.6 million due in the future under non-cancelable sub-leases.</w:t>
      </w:r>
    </w:p>
    <w:p>
      <w:pPr>
        <w:spacing w:after="0" w:line="5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balances include stores where we have an executed contract but have not taken possession of the location as of August 2, 2025.</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December 4, 2024, the Company's Board of Directors approved a new share repurchase program under which the Company is authorized to purchase up to 700 million of its outstanding shares during the three-year period ending December 4, 2027 (the “2024 Share Repurchase Program”), and which replaces the previously approved share repurchase program. Under the 2024 Share Repurchase Program, repurchases can be made using a variety of methods, which may include open market purchases, block trades, accelerated share repurchase programs, privately negotiated transactions and/or Rule 10b5-1 or other non-discretionary trading plans, all in compliance with the rules of the SEC and other applicable legal requirements. The timing, manner, price and amount of any common share repurchases under the 2024 Share Repurchase Program will be determined by the Company in its discretion and will depend on a variety of factors, including legal requirements, price and economic and market conditions. The 2024 Share Repurchase Program does not obligate the Company to acquire any particular number of common shares, and the program may be suspended, extended, modified or discontinued at any time. As of August 2, 2025, the Company had $536.5 million remaining for share repurchases under the Share Repurchase Programs. See Note 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share repurchases for the 2025 first and second quarters (dollar amounts in thousands,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220" w:type="dxa"/>
            <w:vAlign w:val="bottom"/>
          </w:tcPr>
          <w:p>
            <w:pPr>
              <w:spacing w:after="0"/>
              <w:rPr>
                <w:sz w:val="17"/>
                <w:szCs w:val="17"/>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Amount</w:t>
            </w:r>
          </w:p>
        </w:tc>
      </w:tr>
      <w:tr>
        <w:trPr>
          <w:trHeight w:val="243"/>
        </w:trPr>
        <w:tc>
          <w:tcPr>
            <w:tcW w:w="5480" w:type="dxa"/>
            <w:vAlign w:val="bottom"/>
          </w:tcPr>
          <w:p>
            <w:pPr>
              <w:spacing w:after="0"/>
              <w:rPr>
                <w:sz w:val="21"/>
                <w:szCs w:val="21"/>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60" w:type="dxa"/>
            <w:vAlign w:val="bottom"/>
          </w:tcPr>
          <w:p>
            <w:pPr>
              <w:spacing w:after="0"/>
              <w:rPr>
                <w:sz w:val="21"/>
                <w:szCs w:val="21"/>
                <w:color w:val="auto"/>
              </w:rPr>
            </w:pPr>
          </w:p>
        </w:tc>
        <w:tc>
          <w:tcPr>
            <w:tcW w:w="158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1"/>
                <w:szCs w:val="21"/>
                <w:color w:val="auto"/>
              </w:rPr>
            </w:pPr>
          </w:p>
        </w:tc>
        <w:tc>
          <w:tcPr>
            <w:tcW w:w="1640" w:type="dxa"/>
            <w:vAlign w:val="bottom"/>
          </w:tcPr>
          <w:p>
            <w:pPr>
              <w:jc w:val="right"/>
              <w:ind w:right="250"/>
              <w:spacing w:after="0" w:line="243" w:lineRule="exact"/>
              <w:rPr>
                <w:sz w:val="20"/>
                <w:szCs w:val="20"/>
                <w:color w:val="auto"/>
              </w:rPr>
            </w:pPr>
            <w:r>
              <w:rPr>
                <w:rFonts w:ascii="Times New Roman" w:cs="Times New Roman" w:eastAsia="Times New Roman" w:hAnsi="Times New Roman"/>
                <w:sz w:val="18"/>
                <w:szCs w:val="18"/>
                <w:b w:val="1"/>
                <w:bCs w:val="1"/>
                <w:color w:val="auto"/>
              </w:rPr>
              <w:t xml:space="preserve">Repurchased </w:t>
            </w:r>
            <w:r>
              <w:rPr>
                <w:rFonts w:ascii="Times New Roman" w:cs="Times New Roman" w:eastAsia="Times New Roman" w:hAnsi="Times New Roman"/>
                <w:sz w:val="23"/>
                <w:szCs w:val="23"/>
                <w:b w:val="1"/>
                <w:bCs w:val="1"/>
                <w:color w:val="auto"/>
                <w:vertAlign w:val="superscript"/>
              </w:rPr>
              <w:t>(1)</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2, 2025 to May 3, 2025)</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2,080,772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99,031</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(May 4, 2025 to August 2, 2025)</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4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Share Repurchase Activity</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99,031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Excludes the impact of unpaid excise taxes.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quarterly dividend payments in 2025 first and second quarters (amounts in thousands, except per 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20" w:type="dxa"/>
            <w:vAlign w:val="bottom"/>
          </w:tcPr>
          <w:p>
            <w:pPr>
              <w:spacing w:after="0"/>
              <w:rPr>
                <w:sz w:val="17"/>
                <w:szCs w:val="17"/>
                <w:color w:val="auto"/>
              </w:rPr>
            </w:pPr>
          </w:p>
        </w:tc>
        <w:tc>
          <w:tcPr>
            <w:tcW w:w="17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Dividends Paid</w:t>
            </w:r>
          </w:p>
        </w:tc>
        <w:tc>
          <w:tcPr>
            <w:tcW w:w="10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 Date of</w:t>
            </w:r>
          </w:p>
        </w:tc>
        <w:tc>
          <w:tcPr>
            <w:tcW w:w="0" w:type="dxa"/>
            <w:vAlign w:val="bottom"/>
          </w:tcPr>
          <w:p>
            <w:pPr>
              <w:spacing w:after="0"/>
              <w:rPr>
                <w:sz w:val="1"/>
                <w:szCs w:val="1"/>
                <w:color w:val="auto"/>
              </w:rPr>
            </w:pPr>
          </w:p>
        </w:tc>
      </w:tr>
      <w:tr>
        <w:trPr>
          <w:trHeight w:val="243"/>
        </w:trPr>
        <w:tc>
          <w:tcPr>
            <w:tcW w:w="5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 (February 2, 2025 to May 3,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25, 2025</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Second Quarter (May 4, 2025 to August 2, 2025)</w:t>
            </w:r>
          </w:p>
        </w:tc>
        <w:tc>
          <w:tcPr>
            <w:tcW w:w="14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June 19, 2025</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Dividends Paid</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17,365</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August 28, 2025, the Company's Board of Directors declared a quarterly cash dividend with respect to the fiscal quarter ended August 2, 2025, of $0.13 per share of the Company's common stock, payable on October 9, 2025, to stockholders of record as of the close of business on September 11,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capital expenditures for the twenty-six weeks ended August 2, 2025 and August 3, 2024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6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320" w:type="dxa"/>
            <w:vAlign w:val="bottom"/>
          </w:tcPr>
          <w:p>
            <w:pPr>
              <w:spacing w:after="0"/>
              <w:rPr>
                <w:sz w:val="19"/>
                <w:szCs w:val="19"/>
                <w:color w:val="auto"/>
              </w:rPr>
            </w:pPr>
          </w:p>
        </w:tc>
        <w:tc>
          <w:tcPr>
            <w:tcW w:w="18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49,368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37,504</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 distribution centers and other</w:t>
            </w:r>
          </w:p>
        </w:tc>
        <w:tc>
          <w:tcPr>
            <w:tcW w:w="3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37,686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14,806</w:t>
            </w:r>
          </w:p>
        </w:tc>
      </w:tr>
      <w:tr>
        <w:trPr>
          <w:trHeight w:val="223"/>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107,576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73,425</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8"/>
          <w:szCs w:val="18"/>
          <w:color w:val="auto"/>
        </w:rPr>
        <w:t>We expect capital expenditures for fiscal 2025 to be between $180 million and $220 million. The following table summarizes our forecasted allocation of capital expenditures for fiscal year 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40" w:type="dxa"/>
            <w:vAlign w:val="bottom"/>
            <w:tcBorders>
              <w:bottom w:val="single" w:sz="8" w:color="CCEEFF"/>
            </w:tcBorders>
          </w:tcPr>
          <w:p>
            <w:pPr>
              <w:spacing w:after="0"/>
              <w:rPr>
                <w:sz w:val="20"/>
                <w:szCs w:val="20"/>
                <w:color w:val="auto"/>
              </w:rPr>
            </w:pPr>
          </w:p>
        </w:tc>
        <w:tc>
          <w:tcPr>
            <w:tcW w:w="23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e-commerce and information technology programs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 distribution centers and other</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3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review forecasted capital expenditures throughout the year and will adjust our capital expenditures based on business conditions at that time.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Twenty-Six Weeks Ended August 2, 2025 and August 3, 2024</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59"/>
        </w:trPr>
        <w:tc>
          <w:tcPr>
            <w:tcW w:w="7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Our unaudited statements of cash flows are summarized as follows (in thousands):</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7"/>
        </w:trPr>
        <w:tc>
          <w:tcPr>
            <w:tcW w:w="7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86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Twenty-Six Weeks Ended</w:t>
            </w:r>
          </w:p>
        </w:tc>
      </w:tr>
      <w:tr>
        <w:trPr>
          <w:trHeight w:val="223"/>
        </w:trPr>
        <w:tc>
          <w:tcPr>
            <w:tcW w:w="7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August 2, 2025</w:t>
            </w:r>
          </w:p>
        </w:tc>
        <w:tc>
          <w:tcPr>
            <w:tcW w:w="280" w:type="dxa"/>
            <w:vAlign w:val="bottom"/>
          </w:tcPr>
          <w:p>
            <w:pPr>
              <w:spacing w:after="0"/>
              <w:rPr>
                <w:sz w:val="19"/>
                <w:szCs w:val="19"/>
                <w:color w:val="auto"/>
              </w:rPr>
            </w:pPr>
          </w:p>
        </w:tc>
        <w:tc>
          <w:tcPr>
            <w:tcW w:w="17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August 3, 2024</w:t>
            </w: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236,047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291,023</w:t>
            </w:r>
          </w:p>
        </w:tc>
      </w:tr>
      <w:tr>
        <w:trPr>
          <w:trHeight w:val="229"/>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(107,899)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(73,739)</w:t>
            </w:r>
          </w:p>
        </w:tc>
      </w:tr>
      <w:tr>
        <w:trPr>
          <w:trHeight w:val="23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(116,217)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(240,636)</w:t>
            </w:r>
          </w:p>
        </w:tc>
      </w:tr>
      <w:tr>
        <w:trPr>
          <w:trHeight w:val="223"/>
        </w:trPr>
        <w:tc>
          <w:tcPr>
            <w:tcW w:w="7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11,931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(23,352)</w:t>
            </w:r>
          </w:p>
        </w:tc>
      </w:tr>
      <w:tr>
        <w:trPr>
          <w:trHeight w:val="21"/>
        </w:trPr>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from operating activities are seasonal in our business. Typically, cash flows from operations are used to build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inventory in advance of peak selling seasons, with the fourth quarter pre-holiday season inventory increase being the most significant.</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provided by operating activities for the year-to-date 2025 decreased $55.0 million, compared to year-to-date 2024. This decrease is attributable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15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$47.5 million decrease in net income;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$42.3 million net decrease in cash flows provided by operating assets and liabilities; partially offset by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$34.8 million net increase in non-cash charges.</w:t>
      </w:r>
    </w:p>
    <w:p>
      <w:pPr>
        <w:spacing w:after="0" w:line="3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decrease in cash flows from operating assets and liabilities was primarily attributable to:</w:t>
      </w:r>
    </w:p>
    <w:p>
      <w:pPr>
        <w:spacing w:after="0" w:line="171" w:lineRule="exact"/>
        <w:rPr>
          <w:sz w:val="20"/>
          <w:szCs w:val="20"/>
          <w:color w:val="auto"/>
        </w:rPr>
      </w:pPr>
    </w:p>
    <w:p>
      <w:pPr>
        <w:ind w:left="660" w:hanging="328"/>
        <w:spacing w:after="0" w:line="28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$81.6 million decrease in cash flows from working capital due to pull-forward of inventory purchases at pre-tariff rates relative to the prior year period; partially offset by</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$40.3 million increase in cash flows from prepaid expenses and other current assets, largely driven by timing of construction reimbursement payments received</w:t>
      </w:r>
    </w:p>
    <w:p>
      <w:pPr>
        <w:spacing w:after="0" w:line="18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investing activities increased $34.2 million in the year-to-date 2025 compared to the year-to-date 2024. The increase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cash used in investing activities was primarily attributable to:</w:t>
      </w:r>
    </w:p>
    <w:p>
      <w:pPr>
        <w:spacing w:after="0" w:line="105" w:lineRule="exact"/>
        <w:rPr>
          <w:sz w:val="20"/>
          <w:szCs w:val="20"/>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$34.2 million increase in capital expenditures, primarily driven by increased spending related to updates for existing stores and distribution centers, as well as new stores in the year-to-date 2025 compared to the year-to-date 2024.</w:t>
      </w:r>
    </w:p>
    <w:p>
      <w:pPr>
        <w:spacing w:after="0" w:line="185"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Financing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used in financing activities decreased $124.4 million in the year-to-date 2025, compared to the year-to-date 2024.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primary driver of the decrease was:</w:t>
      </w:r>
    </w:p>
    <w:p>
      <w:pPr>
        <w:spacing w:after="0" w:line="10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$121.3 million decrease in cash outflows for repurchases of common stock in the year-to-date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upon our unaudited financial statements, which have been prepared in accordance with GAAP. 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32" w:name="page33"/>
    <w:bookmarkEnd w:id="3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used in the preparation of the Company's unaudited financial statements and related notes and believes these policies to be reasonable and appropriate. Certain of these policies involve a higher degree of judgment or complexity and are most significant to reporting our results of operations and financial position, and are, therefore, discussed as critical.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More information on all of our significant accounting policies can be found in the “Critical Accounting Policies and Estimates” section of the Annual Report entitled “Management's Discussion and Analysis of Financial Condition and Results of Operations.” There have been no material changes to our critical accounting policies as compared to the critical accounting policies described in the Annual Report.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2 to our unaudited consolidated financial statements included under Part I, Item 1 of this Quarterly Report is incorporated herein by reference.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Income Tax Regulations</w:t>
      </w:r>
    </w:p>
    <w:p>
      <w:pPr>
        <w:spacing w:after="0" w:line="1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July 4, 2025, an Act to provide for reconciliation pursuant to title II of H. Con. Res. 14, commonly referred to as the One Big Beautiful Bill Act (“OBBBA”), was enacted into law in the United States. The OBBBA introduces significant changes to U.S. tax law, including full deductibility of qualified capital expenditures, full deductibility of domestic research and development expenditures, changes to the business interest limitation, and modifications to the international tax framework. For the fiscal year ending January 31, 2026, the Company anticipates a material decrease to the current tax expense and corresponding increase to deferred tax expense that results in no net impact to the effective tax rate.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primary risk exposures or management of market risks from those disclosed in the Annual Report under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CEO and our CFO, evaluated the effectiveness of the design and operation of our disclosure controls and procedures as of the end of the period covered by this Quarterly Report. Based on such evaluation, our CEO and CFO have concluded that, as of the end of the period covered by this Quarterly Report, the design and operation of the Company's disclosure controls and procedures were effective to accomplish their objectives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(as defined in Rules 13a-15(f) and 15d-15(f) under the Exchange Act)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set forth in Note 10—Commitments to our unaudited consolidated financial statements included under Part I, Item 1 of this Quarterly Report is incorporated herein by reference.</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developments during the fiscal quarter ended August 2, 2025, with respect to any of the matters discussed under the heading “Legal Proceedings” in the Annual Report. We are not currently party to any other legal proceedings that we believe would have a material adverse effect on our financial position, results of operations or cash flows.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 factors discussed in the section of the Annual Report entitled “Risk Factors”, which could materially affect our business, financial condition or future results. The risks described in the Annual Report are not the only risks facing the Company. Additional risks and uncertainties not currently known to us or that we currently deem to be immaterial also may materially adversely affect our business, financial condition or future results. There have been no material changes to the risk factors discussed in the section of the Annual Report entitled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17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quarter ended August 2, 2025, no director or officer (as defined in Rule 16a-1(f) under the Exchange Act) of the Company adopted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Borders>
              <w:bottom w:val="single" w:sz="8" w:color="auto"/>
            </w:tcBorders>
          </w:tcPr>
          <w:p>
            <w:pPr>
              <w:ind w:left="40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83"/>
        </w:trPr>
        <w:tc>
          <w:tcPr>
            <w:tcW w:w="440" w:type="dxa"/>
            <w:vAlign w:val="bottom"/>
            <w:gridSpan w:val="3"/>
            <w:shd w:val="clear" w:color="auto" w:fill="CCEEFF"/>
          </w:tcPr>
          <w:p>
            <w:pPr>
              <w:ind w:left="20"/>
              <w:spacing w:after="0" w:line="182"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740" w:type="dxa"/>
            <w:vAlign w:val="bottom"/>
            <w:shd w:val="clear" w:color="auto" w:fill="CCEEFF"/>
          </w:tcPr>
          <w:p>
            <w:pPr>
              <w:ind w:left="80"/>
              <w:spacing w:after="0" w:line="182" w:lineRule="exact"/>
              <w:rPr>
                <w:sz w:val="20"/>
                <w:szCs w:val="20"/>
                <w:color w:val="auto"/>
              </w:rPr>
            </w:pPr>
            <w:r>
              <w:rPr>
                <w:rFonts w:ascii="Times New Roman" w:cs="Times New Roman" w:eastAsia="Times New Roman" w:hAnsi="Times New Roman"/>
                <w:sz w:val="18"/>
                <w:szCs w:val="18"/>
                <w:color w:val="auto"/>
              </w:rPr>
              <w:t>Restated Certificate of Incorporation of the Registrant (incorporated by reference to Exhibit 3.2 to the Registrant’s Current Report on</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8-K filed on June 5, 2025).</w:t>
            </w:r>
          </w:p>
        </w:tc>
      </w:tr>
      <w:tr>
        <w:trPr>
          <w:trHeight w:val="189"/>
        </w:trPr>
        <w:tc>
          <w:tcPr>
            <w:tcW w:w="4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3.1 to the Registrant's Current Report on Form</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 filed on March 7, 2025).</w:t>
            </w:r>
          </w:p>
        </w:tc>
      </w:tr>
      <w:tr>
        <w:trPr>
          <w:trHeight w:val="209"/>
        </w:trPr>
        <w:tc>
          <w:tcPr>
            <w:tcW w:w="2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Non-Employee Director Compensation Policy, effective June 5, 2025.</w:t>
            </w:r>
          </w:p>
        </w:tc>
      </w:tr>
      <w:tr>
        <w:trPr>
          <w:trHeight w:val="189"/>
        </w:trPr>
        <w:tc>
          <w:tcPr>
            <w:tcW w:w="20" w:type="dxa"/>
            <w:vAlign w:val="bottom"/>
            <w:tcBorders>
              <w:top w:val="single" w:sz="8" w:color="CCEEFF"/>
            </w:tcBorders>
          </w:tcPr>
          <w:p>
            <w:pPr>
              <w:spacing w:after="0"/>
              <w:rPr>
                <w:sz w:val="16"/>
                <w:szCs w:val="16"/>
                <w:color w:val="auto"/>
              </w:rPr>
            </w:pPr>
          </w:p>
        </w:tc>
        <w:tc>
          <w:tcPr>
            <w:tcW w:w="50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80" w:type="dxa"/>
            <w:vAlign w:val="bottom"/>
            <w:tcBorders>
              <w:top w:val="single" w:sz="8" w:color="CCEEFF"/>
            </w:tcBorders>
          </w:tcPr>
          <w:p>
            <w:pPr>
              <w:spacing w:after="0"/>
              <w:rPr>
                <w:sz w:val="16"/>
                <w:szCs w:val="16"/>
                <w:color w:val="auto"/>
              </w:rPr>
            </w:pPr>
          </w:p>
        </w:tc>
        <w:tc>
          <w:tcPr>
            <w:tcW w:w="9740" w:type="dxa"/>
            <w:vAlign w:val="bottom"/>
            <w:tcBorders>
              <w:top w:val="single" w:sz="8" w:color="CCEEFF"/>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Executive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Periodic Report by Chief Financial Officer under Section 302 of the Sarbanes-Oxley Act of 2002.</w:t>
            </w:r>
          </w:p>
        </w:tc>
      </w:tr>
      <w:tr>
        <w:trPr>
          <w:trHeight w:val="189"/>
        </w:trPr>
        <w:tc>
          <w:tcPr>
            <w:tcW w:w="15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7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80" w:type="dxa"/>
            <w:vAlign w:val="bottom"/>
          </w:tcPr>
          <w:p>
            <w:pPr>
              <w:spacing w:after="0"/>
              <w:rPr>
                <w:sz w:val="18"/>
                <w:szCs w:val="18"/>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89"/>
        </w:trPr>
        <w:tc>
          <w:tcPr>
            <w:tcW w:w="15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974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97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Oxley Act of 2002.</w:t>
            </w:r>
          </w:p>
        </w:tc>
      </w:tr>
      <w:tr>
        <w:trPr>
          <w:trHeight w:val="176"/>
        </w:trPr>
        <w:tc>
          <w:tcPr>
            <w:tcW w:w="20" w:type="dxa"/>
            <w:vAlign w:val="bottom"/>
          </w:tcPr>
          <w:p>
            <w:pPr>
              <w:spacing w:after="0"/>
              <w:rPr>
                <w:sz w:val="15"/>
                <w:szCs w:val="15"/>
                <w:color w:val="auto"/>
              </w:rPr>
            </w:pPr>
          </w:p>
        </w:tc>
        <w:tc>
          <w:tcPr>
            <w:tcW w:w="14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74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20" w:type="dxa"/>
            <w:vAlign w:val="bottom"/>
            <w:shd w:val="clear" w:color="auto" w:fill="CCEEFF"/>
          </w:tcPr>
          <w:p>
            <w:pPr>
              <w:spacing w:after="0"/>
              <w:rPr>
                <w:sz w:val="20"/>
                <w:szCs w:val="20"/>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r>
      <w:tr>
        <w:trPr>
          <w:trHeight w:val="229"/>
        </w:trPr>
        <w:tc>
          <w:tcPr>
            <w:tcW w:w="20" w:type="dxa"/>
            <w:vAlign w:val="bottom"/>
          </w:tcPr>
          <w:p>
            <w:pPr>
              <w:spacing w:after="0"/>
              <w:rPr>
                <w:sz w:val="19"/>
                <w:szCs w:val="19"/>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30"/>
        </w:trPr>
        <w:tc>
          <w:tcPr>
            <w:tcW w:w="2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270"/>
        </w:trPr>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740" w:type="dxa"/>
            <w:vAlign w:val="bottom"/>
          </w:tcPr>
          <w:p>
            <w:pPr>
              <w:spacing w:after="0"/>
              <w:rPr>
                <w:sz w:val="23"/>
                <w:szCs w:val="23"/>
                <w:color w:val="auto"/>
              </w:rPr>
            </w:pPr>
          </w:p>
        </w:tc>
      </w:tr>
      <w:tr>
        <w:trPr>
          <w:trHeight w:val="230"/>
        </w:trPr>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29"/>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57"/>
        </w:trPr>
        <w:tc>
          <w:tcPr>
            <w:tcW w:w="20" w:type="dxa"/>
            <w:vAlign w:val="bottom"/>
            <w:shd w:val="clear" w:color="auto" w:fill="CCEEFF"/>
          </w:tcPr>
          <w:p>
            <w:pPr>
              <w:spacing w:after="0"/>
              <w:rPr>
                <w:sz w:val="22"/>
                <w:szCs w:val="22"/>
                <w:color w:val="auto"/>
              </w:rPr>
            </w:pPr>
          </w:p>
        </w:tc>
        <w:tc>
          <w:tcPr>
            <w:tcW w:w="14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Management contract or compensatory plans or arrangements.</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on Form 10-Q to be signed on September 2, 2025 on its behalf by the undersigned, thereto duly authorized.</w:t>
      </w:r>
    </w:p>
    <w:p>
      <w:pPr>
        <w:spacing w:after="0" w:line="2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14" w:lineRule="exact"/>
        <w:rPr>
          <w:sz w:val="20"/>
          <w:szCs w:val="20"/>
          <w:color w:val="auto"/>
        </w:rPr>
      </w:pPr>
    </w:p>
    <w:p>
      <w:pPr>
        <w:ind w:left="6000"/>
        <w:spacing w:after="0"/>
        <w:tabs>
          <w:tab w:leader="none" w:pos="6460" w:val="left"/>
          <w:tab w:leader="none" w:pos="6860" w:val="left"/>
        </w:tabs>
        <w:rPr>
          <w:sz w:val="20"/>
          <w:szCs w:val="20"/>
          <w:color w:val="auto"/>
        </w:rPr>
      </w:pPr>
      <w:r>
        <w:rPr>
          <w:rFonts w:ascii="Times New Roman" w:cs="Times New Roman" w:eastAsia="Times New Roman" w:hAnsi="Times New Roman"/>
          <w:sz w:val="18"/>
          <w:szCs w:val="18"/>
          <w:color w:val="auto"/>
        </w:rPr>
        <w:t>By:</w:t>
        <w:tab/>
        <w:t>/s/</w:t>
      </w:r>
      <w:r>
        <w:rPr>
          <w:sz w:val="20"/>
          <w:szCs w:val="20"/>
          <w:color w:val="auto"/>
        </w:rPr>
        <w:tab/>
      </w:r>
      <w:r>
        <w:rPr>
          <w:rFonts w:ascii="Times New Roman" w:cs="Times New Roman" w:eastAsia="Times New Roman" w:hAnsi="Times New Roman"/>
          <w:sz w:val="17"/>
          <w:szCs w:val="17"/>
          <w:color w:val="auto"/>
        </w:rPr>
        <w:t>EARL CARLTON FORD,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17145</wp:posOffset>
            </wp:positionV>
            <wp:extent cx="30346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16"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Earl Carlton Ford, IV</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089"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2805430</wp:posOffset>
            </wp:positionH>
            <wp:positionV relativeFrom="page">
              <wp:posOffset>88900</wp:posOffset>
            </wp:positionV>
            <wp:extent cx="1937385" cy="6083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937385" cy="608330"/>
                    </a:xfrm>
                    <a:prstGeom prst="rect">
                      <a:avLst/>
                    </a:prstGeom>
                    <a:noFill/>
                  </pic:spPr>
                </pic:pic>
              </a:graphicData>
            </a:graphic>
          </wp:anchor>
        </w:drawing>
        <w:t>Exhibit 10.1</w:t>
      </w:r>
    </w:p>
    <w:p>
      <w:pPr>
        <w:spacing w:after="0" w:line="238"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Academy Sports and Outdoors, Inc.</w:t>
      </w:r>
    </w:p>
    <w:p>
      <w:pPr>
        <w:spacing w:after="0" w:line="39"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49"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EFFECTIVE DATE: June 5, 2025</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Purpose</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Each member of the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of Academy Sports and Outdoors,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who is not an employee of the Company (or any parent or subsidiary of the Company) (each, a “</w:t>
      </w:r>
      <w:r>
        <w:rPr>
          <w:rFonts w:ascii="Arial" w:cs="Arial" w:eastAsia="Arial" w:hAnsi="Arial"/>
          <w:sz w:val="19"/>
          <w:szCs w:val="19"/>
          <w:b w:val="1"/>
          <w:bCs w:val="1"/>
          <w:color w:val="auto"/>
        </w:rPr>
        <w:t>Director</w:t>
      </w:r>
      <w:r>
        <w:rPr>
          <w:rFonts w:ascii="Arial" w:cs="Arial" w:eastAsia="Arial" w:hAnsi="Arial"/>
          <w:sz w:val="19"/>
          <w:szCs w:val="19"/>
          <w:color w:val="auto"/>
        </w:rPr>
        <w:t>”) shall be eligible to receive cash and equity compensation for their service on the Board and any committee thereof in accordance with</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20"/>
          <w:szCs w:val="20"/>
          <w:color w:val="auto"/>
        </w:rPr>
        <w:t>this Non-Employee Director Compensation Policy (this “</w:t>
      </w:r>
      <w:r>
        <w:rPr>
          <w:rFonts w:ascii="Arial" w:cs="Arial" w:eastAsia="Arial" w:hAnsi="Arial"/>
          <w:sz w:val="20"/>
          <w:szCs w:val="20"/>
          <w:b w:val="1"/>
          <w:bCs w:val="1"/>
          <w:color w:val="auto"/>
        </w:rPr>
        <w:t>Policy</w:t>
      </w:r>
      <w:r>
        <w:rPr>
          <w:rFonts w:ascii="Arial" w:cs="Arial" w:eastAsia="Arial" w:hAnsi="Arial"/>
          <w:sz w:val="20"/>
          <w:szCs w:val="20"/>
          <w:color w:val="auto"/>
        </w:rPr>
        <w:t>”). For the avoidance of doubt, this Policy shall not apply to members of the Board who are employees of the Company (or any parent or subsidiary of the Company). This Policy shall be</w:t>
      </w:r>
    </w:p>
    <w:p>
      <w:pPr>
        <w:spacing w:after="0" w:line="1" w:lineRule="exact"/>
        <w:rPr>
          <w:sz w:val="20"/>
          <w:szCs w:val="20"/>
          <w:color w:val="auto"/>
        </w:rPr>
      </w:pPr>
    </w:p>
    <w:p>
      <w:pPr>
        <w:jc w:val="both"/>
        <w:ind w:right="20"/>
        <w:spacing w:after="0" w:line="239" w:lineRule="auto"/>
        <w:rPr>
          <w:sz w:val="20"/>
          <w:szCs w:val="20"/>
          <w:color w:val="auto"/>
        </w:rPr>
      </w:pPr>
      <w:r>
        <w:rPr>
          <w:rFonts w:ascii="Arial" w:cs="Arial" w:eastAsia="Arial" w:hAnsi="Arial"/>
          <w:sz w:val="20"/>
          <w:szCs w:val="20"/>
          <w:color w:val="auto"/>
        </w:rPr>
        <w:t>reviewed annually by the Compensation Committee of the Board and remain in effect until it is amended or rescinded by further action of the Board.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Compensation</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896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Position</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Fiscal Year</w:t>
            </w:r>
          </w:p>
        </w:tc>
      </w:tr>
      <w:tr>
        <w:trPr>
          <w:trHeight w:val="277"/>
        </w:trPr>
        <w:tc>
          <w:tcPr>
            <w:tcW w:w="8960" w:type="dxa"/>
            <w:vAlign w:val="bottom"/>
            <w:tcBorders>
              <w:left w:val="single" w:sz="8" w:color="auto"/>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Amount</w:t>
            </w:r>
          </w:p>
        </w:tc>
      </w:tr>
      <w:tr>
        <w:trPr>
          <w:trHeight w:val="265"/>
        </w:trPr>
        <w:tc>
          <w:tcPr>
            <w:tcW w:w="8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Director Annual Retainer</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$100,000</w:t>
            </w:r>
          </w:p>
        </w:tc>
      </w:tr>
      <w:tr>
        <w:trPr>
          <w:trHeight w:val="263"/>
        </w:trPr>
        <w:tc>
          <w:tcPr>
            <w:tcW w:w="8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Board Chair Annual Retainer</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$75,000</w:t>
            </w:r>
          </w:p>
        </w:tc>
      </w:tr>
      <w:tr>
        <w:trPr>
          <w:trHeight w:val="261"/>
        </w:trPr>
        <w:tc>
          <w:tcPr>
            <w:tcW w:w="8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Lead (independent) Director Annual Retainer</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$45,000</w:t>
            </w:r>
          </w:p>
        </w:tc>
      </w:tr>
      <w:tr>
        <w:trPr>
          <w:trHeight w:val="263"/>
        </w:trPr>
        <w:tc>
          <w:tcPr>
            <w:tcW w:w="8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Audit Committee Chair Annual Retainer</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$35,000</w:t>
            </w:r>
          </w:p>
        </w:tc>
      </w:tr>
      <w:tr>
        <w:trPr>
          <w:trHeight w:val="264"/>
        </w:trPr>
        <w:tc>
          <w:tcPr>
            <w:tcW w:w="8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Compensation Committee Chair Annual Retainer</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$30,000</w:t>
            </w:r>
          </w:p>
        </w:tc>
      </w:tr>
      <w:tr>
        <w:trPr>
          <w:trHeight w:val="263"/>
        </w:trPr>
        <w:tc>
          <w:tcPr>
            <w:tcW w:w="8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Nominating and Governance Committee Chair Annual Retainer</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$25,000</w:t>
            </w:r>
          </w:p>
        </w:tc>
      </w:tr>
    </w:tbl>
    <w:p>
      <w:pPr>
        <w:spacing w:after="0" w:line="302" w:lineRule="exact"/>
        <w:rPr>
          <w:sz w:val="20"/>
          <w:szCs w:val="20"/>
          <w:color w:val="auto"/>
        </w:rPr>
      </w:pPr>
    </w:p>
    <w:p>
      <w:pPr>
        <w:ind w:left="660" w:right="20" w:hanging="328"/>
        <w:spacing w:after="0" w:line="243" w:lineRule="auto"/>
        <w:tabs>
          <w:tab w:leader="none" w:pos="658" w:val="left"/>
        </w:tabs>
        <w:numPr>
          <w:ilvl w:val="0"/>
          <w:numId w:val="24"/>
        </w:numPr>
        <w:rPr>
          <w:rFonts w:ascii="Arial" w:cs="Arial" w:eastAsia="Arial" w:hAnsi="Arial"/>
          <w:sz w:val="20"/>
          <w:szCs w:val="20"/>
          <w:color w:val="auto"/>
        </w:rPr>
      </w:pPr>
      <w:r>
        <w:rPr>
          <w:rFonts w:ascii="Arial" w:cs="Arial" w:eastAsia="Arial" w:hAnsi="Arial"/>
          <w:sz w:val="20"/>
          <w:szCs w:val="20"/>
          <w:color w:val="auto"/>
        </w:rPr>
        <w:t>All cash compensation is earned on a fiscal year basis and 25% of the Fiscal Year Amount is paid in arrears at the end of each fiscal quarter for completing a full fiscal quarter of service.</w:t>
      </w:r>
    </w:p>
    <w:p>
      <w:pPr>
        <w:spacing w:after="0" w:line="195" w:lineRule="exact"/>
        <w:rPr>
          <w:rFonts w:ascii="Arial" w:cs="Arial" w:eastAsia="Arial" w:hAnsi="Arial"/>
          <w:sz w:val="20"/>
          <w:szCs w:val="20"/>
          <w:color w:val="auto"/>
        </w:rPr>
      </w:pPr>
    </w:p>
    <w:p>
      <w:pPr>
        <w:jc w:val="both"/>
        <w:ind w:left="660" w:hanging="328"/>
        <w:spacing w:after="0" w:line="284" w:lineRule="auto"/>
        <w:tabs>
          <w:tab w:leader="none" w:pos="658" w:val="left"/>
        </w:tabs>
        <w:numPr>
          <w:ilvl w:val="0"/>
          <w:numId w:val="24"/>
        </w:numPr>
        <w:rPr>
          <w:rFonts w:ascii="Arial" w:cs="Arial" w:eastAsia="Arial" w:hAnsi="Arial"/>
          <w:sz w:val="19"/>
          <w:szCs w:val="19"/>
          <w:color w:val="auto"/>
        </w:rPr>
      </w:pPr>
      <w:r>
        <w:rPr>
          <w:rFonts w:ascii="Arial" w:cs="Arial" w:eastAsia="Arial" w:hAnsi="Arial"/>
          <w:sz w:val="19"/>
          <w:szCs w:val="19"/>
          <w:color w:val="auto"/>
        </w:rPr>
        <w:t>Directors who commence, or terminate, service during the fiscal quarter will receive pro-rated retainers based on the number of calendar days of service in the fiscal quarter divided by the total number of calendar days in the fiscal quarter.</w:t>
      </w:r>
    </w:p>
    <w:p>
      <w:pPr>
        <w:spacing w:after="0" w:line="144" w:lineRule="exact"/>
        <w:rPr>
          <w:rFonts w:ascii="Arial" w:cs="Arial" w:eastAsia="Arial" w:hAnsi="Arial"/>
          <w:sz w:val="19"/>
          <w:szCs w:val="19"/>
          <w:color w:val="auto"/>
        </w:rPr>
      </w:pPr>
    </w:p>
    <w:p>
      <w:pPr>
        <w:jc w:val="both"/>
        <w:ind w:left="660" w:hanging="328"/>
        <w:spacing w:after="0" w:line="230" w:lineRule="auto"/>
        <w:tabs>
          <w:tab w:leader="none" w:pos="655" w:val="left"/>
        </w:tabs>
        <w:numPr>
          <w:ilvl w:val="0"/>
          <w:numId w:val="24"/>
        </w:numPr>
        <w:rPr>
          <w:rFonts w:ascii="Arial" w:cs="Arial" w:eastAsia="Arial" w:hAnsi="Arial"/>
          <w:sz w:val="20"/>
          <w:szCs w:val="20"/>
          <w:color w:val="auto"/>
        </w:rPr>
      </w:pPr>
      <w:r>
        <w:rPr>
          <w:rFonts w:ascii="Arial" w:cs="Arial" w:eastAsia="Arial" w:hAnsi="Arial"/>
          <w:sz w:val="20"/>
          <w:szCs w:val="20"/>
          <w:color w:val="auto"/>
        </w:rPr>
        <w:t>If the adoption of this Policy increases the value of any Director’s current cash compensation or if the Fiscal Year Amount is subsequently increased by the Board at any time before or after an Annual Stockholders Meeting, then the increase in cash compensation will be paid going forward from its adoption date. To the extent that any increase in Directors cash compensation is adopted mid-quarter, the increased amount will be pro-rated based on the number of calendar days in the fiscal quarter on and after its adoption date divided by the total number of calendar days in the fiscal quarter; the calendar days in the fiscal quarter prior to such adoption date will be compensated based on the prior level of Director cash compensation.</w:t>
      </w:r>
    </w:p>
    <w:p>
      <w:pPr>
        <w:sectPr>
          <w:pgSz w:w="11900" w:h="16838" w:orient="portrait"/>
          <w:cols w:equalWidth="0" w:num="1">
            <w:col w:w="11240"/>
          </w:cols>
          <w:pgMar w:left="320" w:top="1398" w:right="339" w:bottom="1440" w:gutter="0" w:footer="0" w:header="0"/>
        </w:sectPr>
      </w:pPr>
    </w:p>
    <w:bookmarkStart w:id="38" w:name="page39"/>
    <w:bookmarkEnd w:id="38"/>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88900</wp:posOffset>
            </wp:positionV>
            <wp:extent cx="1937385" cy="6083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937385"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Equity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New Director Equity Award</w:t>
      </w:r>
    </w:p>
    <w:p>
      <w:pPr>
        <w:spacing w:after="0" w:line="216" w:lineRule="exact"/>
        <w:rPr>
          <w:sz w:val="20"/>
          <w:szCs w:val="20"/>
          <w:color w:val="auto"/>
        </w:rPr>
      </w:pPr>
    </w:p>
    <w:p>
      <w:pPr>
        <w:ind w:right="20"/>
        <w:spacing w:after="0" w:line="235" w:lineRule="auto"/>
        <w:rPr>
          <w:sz w:val="20"/>
          <w:szCs w:val="20"/>
          <w:color w:val="auto"/>
        </w:rPr>
      </w:pPr>
      <w:r>
        <w:rPr>
          <w:rFonts w:ascii="Arial" w:cs="Arial" w:eastAsia="Arial" w:hAnsi="Arial"/>
          <w:sz w:val="20"/>
          <w:szCs w:val="20"/>
          <w:color w:val="auto"/>
        </w:rPr>
        <w:t>Unless otherwise provided by the Board, a restricted stock unit award (“</w:t>
      </w:r>
      <w:r>
        <w:rPr>
          <w:rFonts w:ascii="Arial" w:cs="Arial" w:eastAsia="Arial" w:hAnsi="Arial"/>
          <w:sz w:val="20"/>
          <w:szCs w:val="20"/>
          <w:b w:val="1"/>
          <w:bCs w:val="1"/>
          <w:color w:val="auto"/>
        </w:rPr>
        <w:t>RSU</w:t>
      </w:r>
      <w:r>
        <w:rPr>
          <w:rFonts w:ascii="Arial" w:cs="Arial" w:eastAsia="Arial" w:hAnsi="Arial"/>
          <w:sz w:val="20"/>
          <w:szCs w:val="20"/>
          <w:color w:val="auto"/>
        </w:rPr>
        <w:t>”) will be granted automatically under the 2020 Omnibus Incentive Plan, as amended or its successor (the “</w:t>
      </w:r>
      <w:r>
        <w:rPr>
          <w:rFonts w:ascii="Arial" w:cs="Arial" w:eastAsia="Arial" w:hAnsi="Arial"/>
          <w:sz w:val="20"/>
          <w:szCs w:val="20"/>
          <w:b w:val="1"/>
          <w:bCs w:val="1"/>
          <w:color w:val="auto"/>
        </w:rPr>
        <w:t>Plan</w:t>
      </w:r>
      <w:r>
        <w:rPr>
          <w:rFonts w:ascii="Arial" w:cs="Arial" w:eastAsia="Arial" w:hAnsi="Arial"/>
          <w:sz w:val="20"/>
          <w:szCs w:val="20"/>
          <w:color w:val="auto"/>
        </w:rPr>
        <w:t>”) to each new Director on either (i) the date that the new</w:t>
      </w:r>
    </w:p>
    <w:p>
      <w:pPr>
        <w:spacing w:after="0" w:line="2" w:lineRule="exact"/>
        <w:rPr>
          <w:sz w:val="20"/>
          <w:szCs w:val="20"/>
          <w:color w:val="auto"/>
        </w:rPr>
      </w:pPr>
    </w:p>
    <w:p>
      <w:pPr>
        <w:spacing w:after="0" w:line="218" w:lineRule="auto"/>
        <w:rPr>
          <w:sz w:val="20"/>
          <w:szCs w:val="20"/>
          <w:color w:val="auto"/>
        </w:rPr>
      </w:pPr>
      <w:r>
        <w:rPr>
          <w:rFonts w:ascii="Arial" w:cs="Arial" w:eastAsia="Arial" w:hAnsi="Arial"/>
          <w:sz w:val="20"/>
          <w:szCs w:val="20"/>
          <w:color w:val="auto"/>
        </w:rPr>
        <w:t>Director is appointed to the Board (the “</w:t>
      </w:r>
      <w:r>
        <w:rPr>
          <w:rFonts w:ascii="Arial" w:cs="Arial" w:eastAsia="Arial" w:hAnsi="Arial"/>
          <w:sz w:val="20"/>
          <w:szCs w:val="20"/>
          <w:b w:val="1"/>
          <w:bCs w:val="1"/>
          <w:color w:val="auto"/>
        </w:rPr>
        <w:t>New Director Appointment Date</w:t>
      </w:r>
      <w:r>
        <w:rPr>
          <w:rFonts w:ascii="Arial" w:cs="Arial" w:eastAsia="Arial" w:hAnsi="Arial"/>
          <w:sz w:val="20"/>
          <w:szCs w:val="20"/>
          <w:color w:val="auto"/>
        </w:rPr>
        <w:t>”), if such New Director Appointment Date occurs during a Window Period (as such term is defined in the Company’s Insider Trading Policy), or (ii) if such New Director</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20"/>
          <w:szCs w:val="20"/>
          <w:color w:val="auto"/>
        </w:rPr>
        <w:t>Appointment Date does not occur during a Window Period, then on the first date of the Company’s next Window Period (whichever date applies, the “</w:t>
      </w:r>
      <w:r>
        <w:rPr>
          <w:rFonts w:ascii="Arial" w:cs="Arial" w:eastAsia="Arial" w:hAnsi="Arial"/>
          <w:sz w:val="20"/>
          <w:szCs w:val="20"/>
          <w:b w:val="1"/>
          <w:bCs w:val="1"/>
          <w:color w:val="auto"/>
        </w:rPr>
        <w:t>New Director Grant Date</w:t>
      </w:r>
      <w:r>
        <w:rPr>
          <w:rFonts w:ascii="Arial" w:cs="Arial" w:eastAsia="Arial" w:hAnsi="Arial"/>
          <w:sz w:val="20"/>
          <w:szCs w:val="20"/>
          <w:color w:val="auto"/>
        </w:rPr>
        <w:t>”), with the following terms and conditions:</w:t>
      </w:r>
    </w:p>
    <w:p>
      <w:pPr>
        <w:spacing w:after="0" w:line="178" w:lineRule="exact"/>
        <w:rPr>
          <w:sz w:val="20"/>
          <w:szCs w:val="20"/>
          <w:color w:val="auto"/>
        </w:rPr>
      </w:pPr>
    </w:p>
    <w:p>
      <w:pPr>
        <w:jc w:val="both"/>
        <w:ind w:left="340" w:hanging="332"/>
        <w:spacing w:after="0" w:line="236" w:lineRule="auto"/>
        <w:tabs>
          <w:tab w:leader="none" w:pos="3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award will be based upon an annualized grant value of $170,000 (the “</w:t>
      </w:r>
      <w:r>
        <w:rPr>
          <w:rFonts w:ascii="Arial" w:cs="Arial" w:eastAsia="Arial" w:hAnsi="Arial"/>
          <w:sz w:val="20"/>
          <w:szCs w:val="20"/>
          <w:b w:val="1"/>
          <w:bCs w:val="1"/>
          <w:color w:val="auto"/>
        </w:rPr>
        <w:t>Maximum Value</w:t>
      </w:r>
      <w:r>
        <w:rPr>
          <w:rFonts w:ascii="Arial" w:cs="Arial" w:eastAsia="Arial" w:hAnsi="Arial"/>
          <w:sz w:val="20"/>
          <w:szCs w:val="20"/>
          <w:color w:val="auto"/>
        </w:rPr>
        <w:t>”). In the case of a Director newly appointed to the Board Chair position, an additional amount based upon an annualized grant value of $125,000 will be granted, with the Maximum Value thereby being based upon an annualized grant value total of $295,000 annually (the “</w:t>
      </w:r>
      <w:r>
        <w:rPr>
          <w:rFonts w:ascii="Arial" w:cs="Arial" w:eastAsia="Arial" w:hAnsi="Arial"/>
          <w:sz w:val="20"/>
          <w:szCs w:val="20"/>
          <w:b w:val="1"/>
          <w:bCs w:val="1"/>
          <w:color w:val="auto"/>
        </w:rPr>
        <w:t>Board Chair Maximum Value</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left="340" w:hanging="332"/>
        <w:spacing w:after="0" w:line="231" w:lineRule="auto"/>
        <w:tabs>
          <w:tab w:leader="none" w:pos="3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actual target grant value (“</w:t>
      </w:r>
      <w:r>
        <w:rPr>
          <w:rFonts w:ascii="Arial" w:cs="Arial" w:eastAsia="Arial" w:hAnsi="Arial"/>
          <w:sz w:val="20"/>
          <w:szCs w:val="20"/>
          <w:b w:val="1"/>
          <w:bCs w:val="1"/>
          <w:color w:val="auto"/>
        </w:rPr>
        <w:t>Award Value</w:t>
      </w:r>
      <w:r>
        <w:rPr>
          <w:rFonts w:ascii="Arial" w:cs="Arial" w:eastAsia="Arial" w:hAnsi="Arial"/>
          <w:sz w:val="20"/>
          <w:szCs w:val="20"/>
          <w:color w:val="auto"/>
        </w:rPr>
        <w:t>”) will be calculated by pro-rating the Maximum Value and the Board Chair Maximum Value (as applicable) based on the number of calendar days remaining from the date the new Director is appointed to the Board until (a) the next Annual Stockholders Meeting, if scheduled, or (b) the date of the first anniversary of the last Annual Stockholders Meeting, if the next Annual Shareholder Meeting has not been scheduled, divided by (x) the number of calendar days between the last and next scheduled Annual Stockholders Meeting, or (y) 365, if the next Annual Stockholders Meeting date does not exist.</w:t>
      </w:r>
    </w:p>
    <w:p>
      <w:pPr>
        <w:spacing w:after="0" w:line="185" w:lineRule="exact"/>
        <w:rPr>
          <w:rFonts w:ascii="Arial" w:cs="Arial" w:eastAsia="Arial" w:hAnsi="Arial"/>
          <w:sz w:val="20"/>
          <w:szCs w:val="20"/>
          <w:color w:val="auto"/>
        </w:rPr>
      </w:pPr>
    </w:p>
    <w:p>
      <w:pPr>
        <w:ind w:left="340" w:hanging="332"/>
        <w:spacing w:after="0" w:line="257" w:lineRule="auto"/>
        <w:tabs>
          <w:tab w:leader="none" w:pos="3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Award Value (as calculated directly above) will be converted into RSUs based on the prior 30 calendar days average closing stock price as of the New Director Grant Date (rounded down to the next whole share).</w:t>
      </w:r>
    </w:p>
    <w:p>
      <w:pPr>
        <w:spacing w:after="0" w:line="182" w:lineRule="exact"/>
        <w:rPr>
          <w:rFonts w:ascii="Arial" w:cs="Arial" w:eastAsia="Arial" w:hAnsi="Arial"/>
          <w:sz w:val="20"/>
          <w:szCs w:val="20"/>
          <w:color w:val="auto"/>
        </w:rPr>
      </w:pPr>
    </w:p>
    <w:p>
      <w:pPr>
        <w:jc w:val="both"/>
        <w:ind w:left="340" w:hanging="332"/>
        <w:spacing w:after="0" w:line="233" w:lineRule="auto"/>
        <w:tabs>
          <w:tab w:leader="none" w:pos="3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Subject to the Director’s continued service with the Company on the applicable vesting date, 100% of the RSUs shall vest on the earliest of (i) the first anniversary of the New Director Grant Date, or, if earlier, the date which is the business day immediately preceding the date of the next Annual Stockholders Meeting, (ii) the Director’s termination due to death or Disability (as defined in the Plan) or (iii) a Change in Control (as defined in the Plan).</w:t>
      </w:r>
    </w:p>
    <w:p>
      <w:pPr>
        <w:spacing w:after="0" w:line="200" w:lineRule="exact"/>
        <w:rPr>
          <w:rFonts w:ascii="Arial" w:cs="Arial" w:eastAsia="Arial" w:hAnsi="Arial"/>
          <w:sz w:val="20"/>
          <w:szCs w:val="20"/>
          <w:color w:val="auto"/>
        </w:rPr>
      </w:pPr>
    </w:p>
    <w:p>
      <w:pPr>
        <w:ind w:left="340" w:hanging="332"/>
        <w:spacing w:after="0" w:line="227" w:lineRule="auto"/>
        <w:tabs>
          <w:tab w:leader="none" w:pos="329" w:val="left"/>
        </w:tabs>
        <w:numPr>
          <w:ilvl w:val="0"/>
          <w:numId w:val="25"/>
        </w:numPr>
        <w:rPr>
          <w:rFonts w:ascii="Arial" w:cs="Arial" w:eastAsia="Arial" w:hAnsi="Arial"/>
          <w:sz w:val="20"/>
          <w:szCs w:val="20"/>
          <w:color w:val="auto"/>
        </w:rPr>
      </w:pPr>
      <w:r>
        <w:rPr>
          <w:rFonts w:ascii="Arial" w:cs="Arial" w:eastAsia="Arial" w:hAnsi="Arial"/>
          <w:sz w:val="20"/>
          <w:szCs w:val="20"/>
          <w:color w:val="auto"/>
        </w:rPr>
        <w:t>If the Director is appointed 60 days or less prior to the Annual Stockholders Meeting, an annual equity grant will be made in accordance with Section III(B) below in lieu of any equity grant under this Section III(A).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 Annual Director Equity Award</w:t>
      </w:r>
    </w:p>
    <w:p>
      <w:pPr>
        <w:spacing w:after="0" w:line="209"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Unless otherwise provided by the Board, an annual RSU award (“</w:t>
      </w:r>
      <w:r>
        <w:rPr>
          <w:rFonts w:ascii="Arial" w:cs="Arial" w:eastAsia="Arial" w:hAnsi="Arial"/>
          <w:sz w:val="20"/>
          <w:szCs w:val="20"/>
          <w:b w:val="1"/>
          <w:bCs w:val="1"/>
          <w:color w:val="auto"/>
        </w:rPr>
        <w:t>Annual Award</w:t>
      </w:r>
      <w:r>
        <w:rPr>
          <w:rFonts w:ascii="Arial" w:cs="Arial" w:eastAsia="Arial" w:hAnsi="Arial"/>
          <w:sz w:val="20"/>
          <w:szCs w:val="20"/>
          <w:color w:val="auto"/>
        </w:rPr>
        <w:t>”) will be granted automatically under the Plan to each active Director on the first date of the Company’s next Window Period following the date of each Annual Stockholders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Meeting (the “</w:t>
      </w:r>
      <w:r>
        <w:rPr>
          <w:rFonts w:ascii="Arial" w:cs="Arial" w:eastAsia="Arial" w:hAnsi="Arial"/>
          <w:sz w:val="20"/>
          <w:szCs w:val="20"/>
          <w:b w:val="1"/>
          <w:bCs w:val="1"/>
          <w:color w:val="auto"/>
        </w:rPr>
        <w:t>Grant Date</w:t>
      </w:r>
      <w:r>
        <w:rPr>
          <w:rFonts w:ascii="Arial" w:cs="Arial" w:eastAsia="Arial" w:hAnsi="Arial"/>
          <w:sz w:val="20"/>
          <w:szCs w:val="20"/>
          <w:color w:val="auto"/>
        </w:rPr>
        <w:t>”), with the following terms and conditions:</w:t>
      </w:r>
    </w:p>
    <w:p>
      <w:pPr>
        <w:spacing w:after="0" w:line="211" w:lineRule="exact"/>
        <w:rPr>
          <w:sz w:val="20"/>
          <w:szCs w:val="20"/>
          <w:color w:val="auto"/>
        </w:rPr>
      </w:pPr>
    </w:p>
    <w:p>
      <w:pPr>
        <w:ind w:left="340" w:hanging="332"/>
        <w:spacing w:after="0" w:line="243" w:lineRule="auto"/>
        <w:tabs>
          <w:tab w:leader="none" w:pos="329"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Annual Award will have a target grant value equal to the Maximum Value and the Board Chair Maximum Value for the Board Chair.</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88900</wp:posOffset>
            </wp:positionV>
            <wp:extent cx="1937385" cy="6083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937385" cy="608330"/>
                    </a:xfrm>
                    <a:prstGeom prst="rect">
                      <a:avLst/>
                    </a:prstGeom>
                    <a:noFill/>
                  </pic:spPr>
                </pic:pic>
              </a:graphicData>
            </a:graphic>
          </wp:anchor>
        </w:drawing>
      </w:r>
    </w:p>
    <w:p>
      <w:pPr>
        <w:ind w:left="340" w:hanging="332"/>
        <w:spacing w:after="0" w:line="257" w:lineRule="auto"/>
        <w:tabs>
          <w:tab w:leader="none" w:pos="329"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Annual Award will be converted into RSUs based on the prior 30 calendar days average closing stock price as of the Grant Date (rounded down to the next whole share).</w:t>
      </w:r>
    </w:p>
    <w:p>
      <w:pPr>
        <w:spacing w:after="0" w:line="168" w:lineRule="exact"/>
        <w:rPr>
          <w:rFonts w:ascii="Arial" w:cs="Arial" w:eastAsia="Arial" w:hAnsi="Arial"/>
          <w:sz w:val="20"/>
          <w:szCs w:val="20"/>
          <w:color w:val="auto"/>
        </w:rPr>
      </w:pPr>
    </w:p>
    <w:p>
      <w:pPr>
        <w:jc w:val="both"/>
        <w:ind w:left="340" w:hanging="332"/>
        <w:spacing w:after="0" w:line="233" w:lineRule="auto"/>
        <w:tabs>
          <w:tab w:leader="none" w:pos="329" w:val="left"/>
        </w:tabs>
        <w:numPr>
          <w:ilvl w:val="0"/>
          <w:numId w:val="27"/>
        </w:numPr>
        <w:rPr>
          <w:rFonts w:ascii="Arial" w:cs="Arial" w:eastAsia="Arial" w:hAnsi="Arial"/>
          <w:sz w:val="20"/>
          <w:szCs w:val="20"/>
          <w:color w:val="auto"/>
        </w:rPr>
      </w:pPr>
      <w:r>
        <w:rPr>
          <w:rFonts w:ascii="Arial" w:cs="Arial" w:eastAsia="Arial" w:hAnsi="Arial"/>
          <w:sz w:val="20"/>
          <w:szCs w:val="20"/>
          <w:color w:val="auto"/>
        </w:rPr>
        <w:t>Subject to the Director’s continued service with the Company on the applicable vesting date, 100% of the RSUs shall vest on the earliest of (i) the first anniversary of the Grant Date, or, if earlier, the date which is the business day immediately preceding the date of the next Annual Stockholders Meeting, (ii) the Director’s termination due to death or Disability or (iii) a Change in Control.</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 Changes in Maximum Value and Board Chair Maximum Value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Unless otherwise provided by the Board, if the Maximum Value and/or the Board Chair Maximum Value is subsequently</w:t>
      </w:r>
    </w:p>
    <w:p>
      <w:pPr>
        <w:spacing w:after="0" w:line="4"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auto"/>
        </w:rPr>
        <w:t>increased by the Board at any time before or after an equity award is granted for the fiscal year under Sections III(A) an III(B), then the increase in the Maximum Value and Board Chair Maximum Value (as applicable) will be prorated and a supplemental</w:t>
      </w:r>
    </w:p>
    <w:p>
      <w:pPr>
        <w:spacing w:after="0" w:line="226" w:lineRule="auto"/>
        <w:rPr>
          <w:sz w:val="20"/>
          <w:szCs w:val="20"/>
          <w:color w:val="auto"/>
        </w:rPr>
      </w:pPr>
      <w:r>
        <w:rPr>
          <w:rFonts w:ascii="Arial" w:cs="Arial" w:eastAsia="Arial" w:hAnsi="Arial"/>
          <w:sz w:val="20"/>
          <w:szCs w:val="20"/>
          <w:color w:val="auto"/>
        </w:rPr>
        <w:t>award will be granted under the Plan to each Director on either (i) the date of such increase (the “</w:t>
      </w:r>
      <w:r>
        <w:rPr>
          <w:rFonts w:ascii="Arial" w:cs="Arial" w:eastAsia="Arial" w:hAnsi="Arial"/>
          <w:sz w:val="20"/>
          <w:szCs w:val="20"/>
          <w:b w:val="1"/>
          <w:bCs w:val="1"/>
          <w:color w:val="auto"/>
        </w:rPr>
        <w:t>Increase Date</w:t>
      </w:r>
      <w:r>
        <w:rPr>
          <w:rFonts w:ascii="Arial" w:cs="Arial" w:eastAsia="Arial" w:hAnsi="Arial"/>
          <w:sz w:val="20"/>
          <w:szCs w:val="20"/>
          <w:color w:val="auto"/>
        </w:rPr>
        <w:t>”), if such</w:t>
      </w:r>
    </w:p>
    <w:p>
      <w:pPr>
        <w:spacing w:after="0" w:line="237" w:lineRule="auto"/>
        <w:rPr>
          <w:sz w:val="20"/>
          <w:szCs w:val="20"/>
          <w:color w:val="auto"/>
        </w:rPr>
      </w:pPr>
      <w:r>
        <w:rPr>
          <w:rFonts w:ascii="Arial" w:cs="Arial" w:eastAsia="Arial" w:hAnsi="Arial"/>
          <w:sz w:val="20"/>
          <w:szCs w:val="20"/>
          <w:color w:val="auto"/>
        </w:rPr>
        <w:t>Increase Date occurs during a Window Period, or (ii) if such Increase Date does not occur during a Window Period, then on the first date of the Company’s next Window Period (whichever date applies, the “</w:t>
      </w:r>
      <w:r>
        <w:rPr>
          <w:rFonts w:ascii="Arial" w:cs="Arial" w:eastAsia="Arial" w:hAnsi="Arial"/>
          <w:sz w:val="20"/>
          <w:szCs w:val="20"/>
          <w:b w:val="1"/>
          <w:bCs w:val="1"/>
          <w:color w:val="auto"/>
        </w:rPr>
        <w:t>Supplemental Grant Date</w:t>
      </w:r>
      <w:r>
        <w:rPr>
          <w:rFonts w:ascii="Arial" w:cs="Arial" w:eastAsia="Arial" w:hAnsi="Arial"/>
          <w:sz w:val="20"/>
          <w:szCs w:val="20"/>
          <w:color w:val="auto"/>
        </w:rPr>
        <w:t>”), as follows:</w:t>
      </w:r>
    </w:p>
    <w:p>
      <w:pPr>
        <w:spacing w:after="0" w:line="187" w:lineRule="exact"/>
        <w:rPr>
          <w:sz w:val="20"/>
          <w:szCs w:val="20"/>
          <w:color w:val="auto"/>
        </w:rPr>
      </w:pPr>
    </w:p>
    <w:p>
      <w:pPr>
        <w:jc w:val="both"/>
        <w:ind w:left="340" w:hanging="332"/>
        <w:spacing w:after="0" w:line="228" w:lineRule="auto"/>
        <w:tabs>
          <w:tab w:leader="none" w:pos="329"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new target grant value (“</w:t>
      </w:r>
      <w:r>
        <w:rPr>
          <w:rFonts w:ascii="Arial" w:cs="Arial" w:eastAsia="Arial" w:hAnsi="Arial"/>
          <w:sz w:val="20"/>
          <w:szCs w:val="20"/>
          <w:b w:val="1"/>
          <w:bCs w:val="1"/>
          <w:color w:val="auto"/>
        </w:rPr>
        <w:t>Increased Value</w:t>
      </w:r>
      <w:r>
        <w:rPr>
          <w:rFonts w:ascii="Arial" w:cs="Arial" w:eastAsia="Arial" w:hAnsi="Arial"/>
          <w:sz w:val="20"/>
          <w:szCs w:val="20"/>
          <w:color w:val="auto"/>
        </w:rPr>
        <w:t>”) will be calculated by subtracting the new Maximum Value and Board Chair Maximum Value (as applicable) from the prior annual Director equity award value and multiplying the difference by the product of the number of calendar days remaining between the date of such approved change and (a) the next Annual Stockholders Meeting, if scheduled, or (b) the date of the first anniversary of the last Annual Stockholders Meeting, if the next Annual Stockholders Meeting is not scheduled, divided by (x) the number of calendar days between the last and next scheduled Annual Stockholders Meeting, or (y) 365, if either the last or the next Annual Stockholders Meeting date does not exist.</w:t>
      </w:r>
    </w:p>
    <w:p>
      <w:pPr>
        <w:spacing w:after="0" w:line="200" w:lineRule="exact"/>
        <w:rPr>
          <w:rFonts w:ascii="Arial" w:cs="Arial" w:eastAsia="Arial" w:hAnsi="Arial"/>
          <w:sz w:val="20"/>
          <w:szCs w:val="20"/>
          <w:color w:val="auto"/>
        </w:rPr>
      </w:pPr>
    </w:p>
    <w:p>
      <w:pPr>
        <w:ind w:left="340" w:hanging="332"/>
        <w:spacing w:after="0" w:line="243" w:lineRule="auto"/>
        <w:tabs>
          <w:tab w:leader="none" w:pos="329"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Increased Value (as calculated directly above) will be converted into RSUs based on the prior 30 calendar days average closing stock price as of the Supplemental Grant Date (rounded down to the next whole share).</w:t>
      </w:r>
    </w:p>
    <w:p>
      <w:pPr>
        <w:spacing w:after="0" w:line="195" w:lineRule="exact"/>
        <w:rPr>
          <w:rFonts w:ascii="Arial" w:cs="Arial" w:eastAsia="Arial" w:hAnsi="Arial"/>
          <w:sz w:val="20"/>
          <w:szCs w:val="20"/>
          <w:color w:val="auto"/>
        </w:rPr>
      </w:pPr>
    </w:p>
    <w:p>
      <w:pPr>
        <w:jc w:val="both"/>
        <w:ind w:left="340" w:hanging="332"/>
        <w:spacing w:after="0" w:line="233" w:lineRule="auto"/>
        <w:tabs>
          <w:tab w:leader="none" w:pos="329" w:val="left"/>
        </w:tabs>
        <w:numPr>
          <w:ilvl w:val="0"/>
          <w:numId w:val="28"/>
        </w:numPr>
        <w:rPr>
          <w:rFonts w:ascii="Arial" w:cs="Arial" w:eastAsia="Arial" w:hAnsi="Arial"/>
          <w:sz w:val="20"/>
          <w:szCs w:val="20"/>
          <w:color w:val="auto"/>
        </w:rPr>
      </w:pPr>
      <w:r>
        <w:rPr>
          <w:rFonts w:ascii="Arial" w:cs="Arial" w:eastAsia="Arial" w:hAnsi="Arial"/>
          <w:sz w:val="20"/>
          <w:szCs w:val="20"/>
          <w:color w:val="auto"/>
        </w:rPr>
        <w:t>Subject to the Director’s continued service with the Company on the applicable vesting date, 100% of the RSUs shall vest on the earliest of (i) the first anniversary of the Supplemental Grant Date, or, if earlier, the date which is the business day immediately preceding the date of the next Annual Stockholders Meeting, (ii) the Director’s termination due to death or Disability or (iii) a Change in Control.</w:t>
      </w:r>
    </w:p>
    <w:p>
      <w:pPr>
        <w:spacing w:after="0" w:line="200" w:lineRule="exact"/>
        <w:rPr>
          <w:rFonts w:ascii="Arial" w:cs="Arial" w:eastAsia="Arial" w:hAnsi="Arial"/>
          <w:sz w:val="20"/>
          <w:szCs w:val="20"/>
          <w:color w:val="auto"/>
        </w:rPr>
      </w:pPr>
    </w:p>
    <w:p>
      <w:pPr>
        <w:jc w:val="both"/>
        <w:ind w:left="340" w:hanging="332"/>
        <w:spacing w:after="0" w:line="236" w:lineRule="auto"/>
        <w:tabs>
          <w:tab w:leader="none" w:pos="329" w:val="left"/>
        </w:tabs>
        <w:numPr>
          <w:ilvl w:val="0"/>
          <w:numId w:val="28"/>
        </w:numPr>
        <w:rPr>
          <w:rFonts w:ascii="Arial" w:cs="Arial" w:eastAsia="Arial" w:hAnsi="Arial"/>
          <w:sz w:val="20"/>
          <w:szCs w:val="20"/>
          <w:color w:val="auto"/>
        </w:rPr>
      </w:pPr>
      <w:r>
        <w:rPr>
          <w:rFonts w:ascii="Arial" w:cs="Arial" w:eastAsia="Arial" w:hAnsi="Arial"/>
          <w:sz w:val="20"/>
          <w:szCs w:val="20"/>
          <w:color w:val="auto"/>
        </w:rPr>
        <w:t>If the change to the Maximum Value and Board Chair Maximum Value (as applicable) is adopted 60 days or less prior to the Annual Stockholders Meeting, and an annual equity grant will be made at such meeting, no additional equity award grant will be made prior to such meeting to the Director.</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 Stock Ownership Guidelines</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All equity awards will be made and remain subject to the requirements and limitations set forth in the Plan and the Company’s Stock Ownership Guidelines.</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88900</wp:posOffset>
            </wp:positionV>
            <wp:extent cx="1937385" cy="6083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937385" cy="6083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E. Expense Reimbursement</w:t>
      </w:r>
    </w:p>
    <w:p>
      <w:pPr>
        <w:spacing w:after="0" w:line="231" w:lineRule="exact"/>
        <w:rPr>
          <w:sz w:val="20"/>
          <w:szCs w:val="20"/>
          <w:color w:val="auto"/>
        </w:rPr>
      </w:pPr>
    </w:p>
    <w:p>
      <w:pPr>
        <w:ind w:firstLine="324"/>
        <w:spacing w:after="0" w:line="227" w:lineRule="auto"/>
        <w:rPr>
          <w:sz w:val="20"/>
          <w:szCs w:val="20"/>
          <w:color w:val="auto"/>
        </w:rPr>
      </w:pPr>
      <w:r>
        <w:rPr>
          <w:rFonts w:ascii="Arial" w:cs="Arial" w:eastAsia="Arial" w:hAnsi="Arial"/>
          <w:sz w:val="20"/>
          <w:szCs w:val="20"/>
          <w:color w:val="auto"/>
        </w:rPr>
        <w:t>Directors shall be reimbursed for reasonable and documented out-of-pocket travel and lodging expenses incurred in connection with attending Board and committee meetings or such other Board service to the Company in accordance with</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Company’s travel policies in effect from time to time. Each Director shall provide the Company with such receipts and other records related to such reimbursable expenses as the Company may reasonably require.</w:t>
      </w:r>
    </w:p>
    <w:p>
      <w:pPr>
        <w:sectPr>
          <w:pgSz w:w="11900" w:h="16838" w:orient="portrait"/>
          <w:cols w:equalWidth="0" w:num="1">
            <w:col w:w="11240"/>
          </w:cols>
          <w:pgMar w:left="320" w:top="144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Lawrence, certify that:</w:t>
      </w:r>
    </w:p>
    <w:p>
      <w:pPr>
        <w:spacing w:after="0" w:line="117"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August 2, 2025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620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8"/>
              </w:rPr>
              <w:t>Date: September 2, 2025</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620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620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2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Earl Carlton Ford, IV, certify that:</w:t>
      </w:r>
    </w:p>
    <w:p>
      <w:pPr>
        <w:spacing w:after="0" w:line="117"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August 2, 2025 (this “Report”) of Academy Sports and Outdoors, Inc. (the “Registrant”);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6200" w:type="dxa"/>
            <w:vAlign w:val="bottom"/>
          </w:tcPr>
          <w:p>
            <w:pPr>
              <w:ind w:left="4420"/>
              <w:spacing w:after="0"/>
              <w:rPr>
                <w:sz w:val="20"/>
                <w:szCs w:val="20"/>
                <w:color w:val="auto"/>
              </w:rPr>
            </w:pPr>
            <w:r>
              <w:rPr>
                <w:rFonts w:ascii="Times New Roman" w:cs="Times New Roman" w:eastAsia="Times New Roman" w:hAnsi="Times New Roman"/>
                <w:sz w:val="18"/>
                <w:szCs w:val="18"/>
                <w:color w:val="auto"/>
                <w:w w:val="98"/>
              </w:rPr>
              <w:t>Date: September 2, 2025</w:t>
            </w: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6200" w:type="dxa"/>
            <w:vAlign w:val="bottom"/>
          </w:tcPr>
          <w:p>
            <w:pPr>
              <w:spacing w:after="0"/>
              <w:rPr>
                <w:sz w:val="18"/>
                <w:szCs w:val="18"/>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200" w:type="dxa"/>
            <w:vAlign w:val="bottom"/>
          </w:tcPr>
          <w:p>
            <w:pPr>
              <w:spacing w:after="0"/>
              <w:rPr>
                <w:sz w:val="19"/>
                <w:szCs w:val="19"/>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20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August 2, 2025, as filed with the Securities and Exchange Commission on the date hereof (the “Report”), I, Steven Lawrence,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STEVEN LAWRENCE</w:t>
            </w:r>
          </w:p>
        </w:tc>
        <w:tc>
          <w:tcPr>
            <w:tcW w:w="326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8"/>
              </w:rPr>
              <w:t>Date: September 2, 2025</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Steven Lawrence</w:t>
            </w:r>
          </w:p>
        </w:tc>
        <w:tc>
          <w:tcPr>
            <w:tcW w:w="3260" w:type="dxa"/>
            <w:vAlign w:val="bottom"/>
          </w:tcPr>
          <w:p>
            <w:pPr>
              <w:spacing w:after="0"/>
              <w:rPr>
                <w:sz w:val="18"/>
                <w:szCs w:val="18"/>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326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260" w:type="dxa"/>
            <w:vAlign w:val="bottom"/>
          </w:tcPr>
          <w:p>
            <w:pPr>
              <w:spacing w:after="0"/>
              <w:rPr>
                <w:sz w:val="20"/>
                <w:szCs w:val="20"/>
                <w:color w:val="auto"/>
              </w:rPr>
            </w:pPr>
          </w:p>
        </w:tc>
      </w:tr>
    </w:tbl>
    <w:p>
      <w:pPr>
        <w:sectPr>
          <w:pgSz w:w="11900" w:h="16838" w:orient="portrait"/>
          <w:cols w:equalWidth="0" w:num="1">
            <w:col w:w="11240"/>
          </w:cols>
          <w:pgMar w:left="320" w:top="108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Academy Sports and Outdoors, Inc. (the “Company”) for the quarterly period ended August 2, 2025, as filed with the Securities and Exchange Commission on the date hereof (the “Report”), I, Earl Carlton Ford, IV, Executive Vice President and Chief Financial Officer of the Company, certify, pursuant to 18 U.S.C. Section 1350, as adopted pursuant to Section 906 of the Sarbanes-Oxley Act of 2002, that to my knowledge:</w:t>
      </w:r>
    </w:p>
    <w:p>
      <w:pPr>
        <w:spacing w:after="0" w:line="7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EARL CARLTON FORD, IV</w:t>
            </w:r>
          </w:p>
        </w:tc>
        <w:tc>
          <w:tcPr>
            <w:tcW w:w="3260" w:type="dxa"/>
            <w:vAlign w:val="bottom"/>
          </w:tcPr>
          <w:p>
            <w:pPr>
              <w:ind w:left="1480"/>
              <w:spacing w:after="0"/>
              <w:rPr>
                <w:sz w:val="20"/>
                <w:szCs w:val="20"/>
                <w:color w:val="auto"/>
              </w:rPr>
            </w:pPr>
            <w:r>
              <w:rPr>
                <w:rFonts w:ascii="Times New Roman" w:cs="Times New Roman" w:eastAsia="Times New Roman" w:hAnsi="Times New Roman"/>
                <w:sz w:val="18"/>
                <w:szCs w:val="18"/>
                <w:color w:val="auto"/>
                <w:w w:val="98"/>
              </w:rPr>
              <w:t>Date: September 2, 2025</w:t>
            </w: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 Carlton Ford, IV</w:t>
            </w:r>
          </w:p>
        </w:tc>
        <w:tc>
          <w:tcPr>
            <w:tcW w:w="3260" w:type="dxa"/>
            <w:vAlign w:val="bottom"/>
          </w:tcPr>
          <w:p>
            <w:pPr>
              <w:spacing w:after="0"/>
              <w:rPr>
                <w:sz w:val="18"/>
                <w:szCs w:val="18"/>
                <w:color w:val="auto"/>
              </w:rPr>
            </w:pP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3260" w:type="dxa"/>
            <w:vAlign w:val="bottom"/>
          </w:tcPr>
          <w:p>
            <w:pPr>
              <w:spacing w:after="0"/>
              <w:rPr>
                <w:sz w:val="19"/>
                <w:szCs w:val="19"/>
                <w:color w:val="auto"/>
              </w:rPr>
            </w:pP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32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90"/>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lowerLetter"/>
      <w:start w:val="2"/>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upperLetter"/>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2"/>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jpeg"/><Relationship Id="rId51" Type="http://schemas.openxmlformats.org/officeDocument/2006/relationships/image" Target="media/image42.jpeg"/><Relationship Id="rId52" Type="http://schemas.openxmlformats.org/officeDocument/2006/relationships/image" Target="media/image43.jpeg"/><Relationship Id="rId53" Type="http://schemas.openxmlformats.org/officeDocument/2006/relationships/image" Target="media/image44.jpeg"/><Relationship Id="rId46" Type="http://schemas.openxmlformats.org/officeDocument/2006/relationships/hyperlink" Target="https://www.sec.gov/Archives/edgar/data/1817358/000181735825000102/exhibit32.htm" TargetMode="External"/><Relationship Id="rId47" Type="http://schemas.openxmlformats.org/officeDocument/2006/relationships/hyperlink" Target="https://www.sec.gov/Archives/edgar/data/1817358/000181735825000015/ex31aso-revcleanamendeda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2025-09-02T15:34:22Z</dcterms:created>
  <dcterms:modified xsi:type="dcterms:W3CDTF">2025-09-02T15:34:22Z</dcterms:modified>
</cp:coreProperties>
</file>