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confidentially submitted with the Securities and Exchange Commission on July 10, 2020</w:t>
      </w:r>
    </w:p>
    <w:p>
      <w:pPr>
        <w:spacing w:after="0" w:line="2" w:lineRule="exact"/>
        <w:rPr>
          <w:sz w:val="24"/>
          <w:szCs w:val="24"/>
          <w:color w:val="auto"/>
        </w:rPr>
      </w:pPr>
    </w:p>
    <w:p>
      <w:pPr>
        <w:ind w:left="9620"/>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8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5940</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8"/>
              </w:rPr>
              <w:t>85-1800912</w:t>
            </w:r>
          </w:p>
        </w:tc>
      </w:tr>
      <w:tr>
        <w:trPr>
          <w:trHeight w:val="121"/>
        </w:trPr>
        <w:tc>
          <w:tcPr>
            <w:tcW w:w="2600" w:type="dxa"/>
            <w:vAlign w:val="bottom"/>
          </w:tcPr>
          <w:p>
            <w:pPr>
              <w:jc w:val="center"/>
              <w:ind w:right="11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800" w:type="dxa"/>
            <w:vAlign w:val="bottom"/>
          </w:tcPr>
          <w:p>
            <w:pPr>
              <w:jc w:val="center"/>
              <w:ind w:right="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2120" w:type="dxa"/>
            <w:vAlign w:val="bottom"/>
          </w:tcPr>
          <w:p>
            <w:pPr>
              <w:jc w:val="center"/>
              <w:ind w:left="120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Rene G. Casares, Esq.</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General Counsel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138"/>
        </w:trPr>
        <w:tc>
          <w:tcPr>
            <w:tcW w:w="2500" w:type="dxa"/>
            <w:vAlign w:val="bottom"/>
          </w:tcPr>
          <w:p>
            <w:pPr>
              <w:jc w:val="center"/>
              <w:ind w:right="637"/>
              <w:spacing w:after="0" w:line="138" w:lineRule="exact"/>
              <w:rPr>
                <w:sz w:val="20"/>
                <w:szCs w:val="20"/>
                <w:color w:val="auto"/>
              </w:rPr>
            </w:pPr>
            <w:r>
              <w:rPr>
                <w:rFonts w:ascii="Times New Roman" w:cs="Times New Roman" w:eastAsia="Times New Roman" w:hAnsi="Times New Roman"/>
                <w:sz w:val="13"/>
                <w:szCs w:val="13"/>
                <w:b w:val="1"/>
                <w:bCs w:val="1"/>
                <w:color w:val="auto"/>
                <w:w w:val="96"/>
              </w:rPr>
              <w:t>Joseph H. Kaufman, Esq.</w:t>
            </w:r>
          </w:p>
        </w:tc>
        <w:tc>
          <w:tcPr>
            <w:tcW w:w="4700" w:type="dxa"/>
            <w:vAlign w:val="bottom"/>
          </w:tcPr>
          <w:p>
            <w:pPr>
              <w:jc w:val="center"/>
              <w:ind w:left="3156"/>
              <w:spacing w:after="0" w:line="138" w:lineRule="exact"/>
              <w:rPr>
                <w:sz w:val="20"/>
                <w:szCs w:val="20"/>
                <w:color w:val="auto"/>
              </w:rPr>
            </w:pPr>
            <w:r>
              <w:rPr>
                <w:rFonts w:ascii="Times New Roman" w:cs="Times New Roman" w:eastAsia="Times New Roman" w:hAnsi="Times New Roman"/>
                <w:sz w:val="13"/>
                <w:szCs w:val="13"/>
                <w:b w:val="1"/>
                <w:bCs w:val="1"/>
                <w:color w:val="auto"/>
                <w:w w:val="96"/>
              </w:rPr>
              <w:t>Marc D. Jaffe,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Sunny Cheong, Esq.</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Ian D. Schuman,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885 Third Avenue</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66"/>
        </w:trPr>
        <w:tc>
          <w:tcPr>
            <w:tcW w:w="25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8"/>
              </w:rPr>
              <w:t>(212) 455-2000</w:t>
            </w:r>
          </w:p>
        </w:tc>
        <w:tc>
          <w:tcPr>
            <w:tcW w:w="4700" w:type="dxa"/>
            <w:vAlign w:val="bottom"/>
          </w:tcPr>
          <w:p>
            <w:pPr>
              <w:jc w:val="center"/>
              <w:ind w:left="3156"/>
              <w:spacing w:after="0"/>
              <w:rPr>
                <w:sz w:val="20"/>
                <w:szCs w:val="20"/>
                <w:color w:val="auto"/>
              </w:rPr>
            </w:pPr>
            <w:r>
              <w:rPr>
                <w:rFonts w:ascii="Times New Roman" w:cs="Times New Roman" w:eastAsia="Times New Roman" w:hAnsi="Times New Roman"/>
                <w:sz w:val="13"/>
                <w:szCs w:val="13"/>
                <w:b w:val="1"/>
                <w:bCs w:val="1"/>
                <w:color w:val="auto"/>
                <w:w w:val="98"/>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this Registration Statement is declared effective.</w:t>
      </w:r>
    </w:p>
    <w:p>
      <w:pPr>
        <w:spacing w:after="0" w:line="21"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20" w:right="6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60"/>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4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4"/>
        </w:trPr>
        <w:tc>
          <w:tcPr>
            <w:tcW w:w="14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left="120" w:right="10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000" w:type="dxa"/>
            <w:vAlign w:val="bottom"/>
            <w:tcBorders>
              <w:top w:val="single" w:sz="8" w:color="auto"/>
              <w:bottom w:val="single" w:sz="8" w:color="auto"/>
            </w:tcBorders>
          </w:tcPr>
          <w:p>
            <w:pPr>
              <w:spacing w:after="0"/>
              <w:rPr>
                <w:sz w:val="3"/>
                <w:szCs w:val="3"/>
                <w:color w:val="auto"/>
              </w:rPr>
            </w:pPr>
          </w:p>
        </w:tc>
        <w:tc>
          <w:tcPr>
            <w:tcW w:w="6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95"/>
        </w:trPr>
        <w:tc>
          <w:tcPr>
            <w:tcW w:w="1000" w:type="dxa"/>
            <w:vAlign w:val="bottom"/>
          </w:tcPr>
          <w:p>
            <w:pPr>
              <w:spacing w:after="0"/>
              <w:rPr>
                <w:sz w:val="8"/>
                <w:szCs w:val="8"/>
                <w:color w:val="auto"/>
              </w:rPr>
            </w:pPr>
          </w:p>
        </w:tc>
        <w:tc>
          <w:tcPr>
            <w:tcW w:w="630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Pr>
          <w:p>
            <w:pPr>
              <w:spacing w:after="0"/>
              <w:rPr>
                <w:sz w:val="8"/>
                <w:szCs w:val="8"/>
                <w:color w:val="auto"/>
              </w:rPr>
            </w:pPr>
          </w:p>
        </w:tc>
      </w:tr>
      <w:tr>
        <w:trPr>
          <w:trHeight w:val="135"/>
        </w:trPr>
        <w:tc>
          <w:tcPr>
            <w:tcW w:w="1000" w:type="dxa"/>
            <w:vAlign w:val="bottom"/>
          </w:tcPr>
          <w:p>
            <w:pPr>
              <w:spacing w:after="0"/>
              <w:rPr>
                <w:sz w:val="11"/>
                <w:szCs w:val="11"/>
                <w:color w:val="auto"/>
              </w:rPr>
            </w:pPr>
          </w:p>
        </w:tc>
        <w:tc>
          <w:tcPr>
            <w:tcW w:w="63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Pr>
          <w:p>
            <w:pPr>
              <w:spacing w:after="0"/>
              <w:rPr>
                <w:sz w:val="11"/>
                <w:szCs w:val="11"/>
                <w:color w:val="auto"/>
              </w:rPr>
            </w:pPr>
          </w:p>
        </w:tc>
      </w:tr>
      <w:tr>
        <w:trPr>
          <w:trHeight w:val="142"/>
        </w:trPr>
        <w:tc>
          <w:tcPr>
            <w:tcW w:w="1000" w:type="dxa"/>
            <w:vAlign w:val="bottom"/>
          </w:tcPr>
          <w:p>
            <w:pPr>
              <w:spacing w:after="0"/>
              <w:rPr>
                <w:sz w:val="12"/>
                <w:szCs w:val="12"/>
                <w:color w:val="auto"/>
              </w:rPr>
            </w:pPr>
          </w:p>
        </w:tc>
        <w:tc>
          <w:tcPr>
            <w:tcW w:w="6300" w:type="dxa"/>
            <w:vAlign w:val="bottom"/>
            <w:tcBorders>
              <w:right w:val="single" w:sz="8" w:color="auto"/>
            </w:tcBorders>
          </w:tcPr>
          <w:p>
            <w:pPr>
              <w:jc w:val="center"/>
              <w:ind w:right="9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60" w:type="dxa"/>
            <w:vAlign w:val="bottom"/>
            <w:tcBorders>
              <w:right w:val="single" w:sz="8" w:color="auto"/>
            </w:tcBorders>
          </w:tcPr>
          <w:p>
            <w:pPr>
              <w:jc w:val="center"/>
              <w:ind w:left="19"/>
              <w:spacing w:after="0" w:line="142"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860" w:type="dxa"/>
            <w:vAlign w:val="bottom"/>
          </w:tcPr>
          <w:p>
            <w:pPr>
              <w:ind w:left="680"/>
              <w:spacing w:after="0" w:line="142" w:lineRule="exact"/>
              <w:rPr>
                <w:sz w:val="20"/>
                <w:szCs w:val="20"/>
                <w:color w:val="auto"/>
              </w:rPr>
            </w:pPr>
            <w:r>
              <w:rPr>
                <w:rFonts w:ascii="Times New Roman" w:cs="Times New Roman" w:eastAsia="Times New Roman" w:hAnsi="Times New Roman"/>
                <w:sz w:val="13"/>
                <w:szCs w:val="13"/>
                <w:b w:val="1"/>
                <w:bCs w:val="1"/>
                <w:color w:val="auto"/>
              </w:rPr>
              <w:t>Amount of</w:t>
            </w:r>
          </w:p>
        </w:tc>
      </w:tr>
      <w:tr>
        <w:trPr>
          <w:trHeight w:val="162"/>
        </w:trPr>
        <w:tc>
          <w:tcPr>
            <w:tcW w:w="1000" w:type="dxa"/>
            <w:vAlign w:val="bottom"/>
            <w:tcBorders>
              <w:bottom w:val="single" w:sz="8" w:color="auto"/>
            </w:tcBorders>
          </w:tcPr>
          <w:p>
            <w:pPr>
              <w:spacing w:after="0"/>
              <w:rPr>
                <w:sz w:val="14"/>
                <w:szCs w:val="14"/>
                <w:color w:val="auto"/>
              </w:rPr>
            </w:pPr>
          </w:p>
        </w:tc>
        <w:tc>
          <w:tcPr>
            <w:tcW w:w="6300" w:type="dxa"/>
            <w:vAlign w:val="bottom"/>
            <w:tcBorders>
              <w:bottom w:val="single" w:sz="8" w:color="auto"/>
              <w:right w:val="single" w:sz="8" w:color="auto"/>
            </w:tcBorders>
          </w:tcPr>
          <w:p>
            <w:pPr>
              <w:jc w:val="center"/>
              <w:ind w:right="977"/>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(1)(2)</w:t>
            </w:r>
          </w:p>
        </w:tc>
        <w:tc>
          <w:tcPr>
            <w:tcW w:w="1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Registration Fee</w:t>
            </w:r>
            <w:r>
              <w:rPr>
                <w:rFonts w:ascii="Times New Roman" w:cs="Times New Roman" w:eastAsia="Times New Roman" w:hAnsi="Times New Roman"/>
                <w:sz w:val="10"/>
                <w:szCs w:val="10"/>
                <w:b w:val="1"/>
                <w:bCs w:val="1"/>
                <w:color w:val="auto"/>
              </w:rPr>
              <w:t>(3)</w:t>
            </w:r>
          </w:p>
        </w:tc>
      </w:tr>
      <w:tr>
        <w:trPr>
          <w:trHeight w:val="128"/>
        </w:trPr>
        <w:tc>
          <w:tcPr>
            <w:tcW w:w="7300" w:type="dxa"/>
            <w:vAlign w:val="bottom"/>
            <w:tcBorders>
              <w:bottom w:val="single" w:sz="8" w:color="auto"/>
              <w:right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Common Stock, $0.01 par value per share</w:t>
            </w:r>
          </w:p>
        </w:tc>
        <w:tc>
          <w:tcPr>
            <w:tcW w:w="1860" w:type="dxa"/>
            <w:vAlign w:val="bottom"/>
            <w:tcBorders>
              <w:bottom w:val="single" w:sz="8" w:color="auto"/>
              <w:right w:val="single" w:sz="8" w:color="auto"/>
            </w:tcBorders>
          </w:tcPr>
          <w:p>
            <w:pPr>
              <w:jc w:val="right"/>
              <w:ind w:right="1039"/>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60" w:type="dxa"/>
            <w:vAlign w:val="bottom"/>
            <w:tcBorders>
              <w:bottom w:val="single" w:sz="8" w:color="auto"/>
            </w:tcBorders>
          </w:tcPr>
          <w:p>
            <w:pPr>
              <w:ind w:left="70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25"/>
        </w:trPr>
        <w:tc>
          <w:tcPr>
            <w:tcW w:w="100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(1)   Includes</w:t>
            </w:r>
          </w:p>
        </w:tc>
        <w:tc>
          <w:tcPr>
            <w:tcW w:w="6300" w:type="dxa"/>
            <w:vAlign w:val="bottom"/>
          </w:tcPr>
          <w:p>
            <w:pPr>
              <w:ind w:left="260"/>
              <w:spacing w:after="0" w:line="125" w:lineRule="exact"/>
              <w:rPr>
                <w:sz w:val="20"/>
                <w:szCs w:val="20"/>
                <w:color w:val="auto"/>
              </w:rPr>
            </w:pPr>
            <w:r>
              <w:rPr>
                <w:rFonts w:ascii="Times New Roman" w:cs="Times New Roman" w:eastAsia="Times New Roman" w:hAnsi="Times New Roman"/>
                <w:sz w:val="13"/>
                <w:szCs w:val="13"/>
                <w:color w:val="auto"/>
              </w:rPr>
              <w:t>shares of common stock that the underwriters have the option to purchase. See “Underwriting.”</w:t>
            </w:r>
          </w:p>
        </w:tc>
        <w:tc>
          <w:tcPr>
            <w:tcW w:w="1860" w:type="dxa"/>
            <w:vAlign w:val="bottom"/>
          </w:tcPr>
          <w:p>
            <w:pPr>
              <w:spacing w:after="0"/>
              <w:rPr>
                <w:sz w:val="10"/>
                <w:szCs w:val="10"/>
                <w:color w:val="auto"/>
              </w:rPr>
            </w:pPr>
          </w:p>
        </w:tc>
        <w:tc>
          <w:tcPr>
            <w:tcW w:w="1860" w:type="dxa"/>
            <w:vAlign w:val="bottom"/>
          </w:tcPr>
          <w:p>
            <w:pPr>
              <w:spacing w:after="0"/>
              <w:rPr>
                <w:sz w:val="10"/>
                <w:szCs w:val="10"/>
                <w:color w:val="auto"/>
              </w:rPr>
            </w:pPr>
          </w:p>
        </w:tc>
      </w:tr>
    </w:tbl>
    <w:p>
      <w:pPr>
        <w:ind w:left="440" w:hanging="324"/>
        <w:spacing w:after="0" w:line="216"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in accordance with Rule 457(o) promulgated under the Securities Act of 1933, as amended.</w:t>
      </w:r>
    </w:p>
    <w:p>
      <w:pPr>
        <w:ind w:left="440" w:hanging="324"/>
        <w:spacing w:after="0"/>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ind w:left="120" w:right="18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S-1, or the Registration Statement, is being filed by Academy Sports and Outdoors, Inc., a newly formed Delaware corporation, or the Registrant, in connection with a proposed registered public offering of shares of its common stock. Prior to the consummation of this offering, New Academy Holding Company, LLC, the current holding company for the business described in this prospectus that is part of the Registration Statement, will merge with and into the Registrant, and the Registrant will be the surviving entity and will continue as the holding company of the business described in this prospectus.</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107" w:lineRule="exact"/>
        <w:rPr>
          <w:sz w:val="20"/>
          <w:szCs w:val="20"/>
          <w:color w:val="auto"/>
        </w:rPr>
      </w:pPr>
    </w:p>
    <w:tbl>
      <w:tblPr>
        <w:tblLayout w:type="fixed"/>
        <w:tblInd w:w="40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FF4338"/>
              </w:rPr>
              <w:t>Subject to completion,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FF4338"/>
              </w:rPr>
              <w:t>, 2020</w:t>
            </w:r>
          </w:p>
        </w:tc>
      </w:tr>
    </w:tbl>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24130</wp:posOffset>
            </wp:positionV>
            <wp:extent cx="148272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Academy Sports and Outdoors, Inc.</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0"/>
          <w:szCs w:val="20"/>
          <w:color w:val="auto"/>
        </w:rPr>
      </w:pPr>
    </w:p>
    <w:p>
      <w:pPr>
        <w:ind w:left="1100"/>
        <w:spacing w:after="0"/>
        <w:tabs>
          <w:tab w:leader="none" w:pos="9500" w:val="left"/>
        </w:tabs>
        <w:rPr>
          <w:sz w:val="20"/>
          <w:szCs w:val="20"/>
          <w:color w:val="auto"/>
        </w:rPr>
      </w:pPr>
      <w:r>
        <w:rPr>
          <w:rFonts w:ascii="Times New Roman" w:cs="Times New Roman" w:eastAsia="Times New Roman" w:hAnsi="Times New Roman"/>
          <w:sz w:val="18"/>
          <w:szCs w:val="18"/>
          <w:color w:val="auto"/>
        </w:rPr>
        <w:t>This is the initial public offering of common stock of Academy Sports and Outdoors, Inc. We are offering</w:t>
      </w:r>
      <w:r>
        <w:rPr>
          <w:sz w:val="20"/>
          <w:szCs w:val="20"/>
          <w:color w:val="auto"/>
        </w:rPr>
        <w:tab/>
      </w:r>
      <w:r>
        <w:rPr>
          <w:rFonts w:ascii="Times New Roman" w:cs="Times New Roman" w:eastAsia="Times New Roman" w:hAnsi="Times New Roman"/>
          <w:sz w:val="18"/>
          <w:szCs w:val="18"/>
          <w:color w:val="auto"/>
        </w:rPr>
        <w:t>shares of our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We expect that the initial public offering price of our</w:t>
      </w:r>
    </w:p>
    <w:p>
      <w:pPr>
        <w:spacing w:after="0" w:line="27" w:lineRule="exact"/>
        <w:rPr>
          <w:sz w:val="20"/>
          <w:szCs w:val="20"/>
          <w:color w:val="auto"/>
        </w:rPr>
      </w:pPr>
    </w:p>
    <w:p>
      <w:pPr>
        <w:ind w:left="120" w:right="500"/>
        <w:spacing w:after="0" w:line="250" w:lineRule="auto"/>
        <w:rPr>
          <w:sz w:val="20"/>
          <w:szCs w:val="20"/>
          <w:color w:val="auto"/>
        </w:rPr>
      </w:pPr>
      <w:r>
        <w:rPr>
          <w:rFonts w:ascii="Times New Roman" w:cs="Times New Roman" w:eastAsia="Times New Roman" w:hAnsi="Times New Roman"/>
          <w:sz w:val="18"/>
          <w:szCs w:val="18"/>
          <w:color w:val="auto"/>
        </w:rPr>
        <w:t>common stock will be between $ and $ per share. We intend to apply to list our common stock on under the symbol “ASO.”</w:t>
      </w:r>
    </w:p>
    <w:p>
      <w:pPr>
        <w:spacing w:after="0" w:line="306" w:lineRule="exact"/>
        <w:rPr>
          <w:sz w:val="20"/>
          <w:szCs w:val="20"/>
          <w:color w:val="auto"/>
        </w:rPr>
      </w:pPr>
    </w:p>
    <w:p>
      <w:pPr>
        <w:ind w:left="120" w:right="240" w:firstLine="991"/>
        <w:spacing w:after="0" w:line="276" w:lineRule="auto"/>
        <w:rPr>
          <w:sz w:val="20"/>
          <w:szCs w:val="20"/>
          <w:color w:val="auto"/>
        </w:rPr>
      </w:pPr>
      <w:r>
        <w:rPr>
          <w:rFonts w:ascii="Times New Roman" w:cs="Times New Roman" w:eastAsia="Times New Roman" w:hAnsi="Times New Roman"/>
          <w:sz w:val="17"/>
          <w:szCs w:val="17"/>
          <w:color w:val="auto"/>
        </w:rPr>
        <w:t>After the completion of this offering, an investment entity owned by investment funds and other entities affiliated with Kohlberg Kravis Roberts &amp; Co. L.P. will beneficially own % of the voting power of our common stock. As a result, we will be a “controlled company” within the</w:t>
      </w:r>
    </w:p>
    <w:p>
      <w:pPr>
        <w:spacing w:after="0" w:line="1" w:lineRule="exact"/>
        <w:rPr>
          <w:sz w:val="20"/>
          <w:szCs w:val="20"/>
          <w:color w:val="auto"/>
        </w:rPr>
      </w:pPr>
    </w:p>
    <w:p>
      <w:pPr>
        <w:ind w:left="120"/>
        <w:spacing w:after="0"/>
        <w:tabs>
          <w:tab w:leader="none" w:pos="4720" w:val="left"/>
        </w:tabs>
        <w:rPr>
          <w:sz w:val="20"/>
          <w:szCs w:val="20"/>
          <w:color w:val="auto"/>
        </w:rPr>
      </w:pPr>
      <w:r>
        <w:rPr>
          <w:rFonts w:ascii="Times New Roman" w:cs="Times New Roman" w:eastAsia="Times New Roman" w:hAnsi="Times New Roman"/>
          <w:sz w:val="18"/>
          <w:szCs w:val="18"/>
          <w:color w:val="auto"/>
        </w:rPr>
        <w:t>meaning of the corporate governance standards of the</w:t>
      </w:r>
      <w:r>
        <w:rPr>
          <w:sz w:val="20"/>
          <w:szCs w:val="20"/>
          <w:color w:val="auto"/>
        </w:rPr>
        <w:tab/>
      </w:r>
      <w:r>
        <w:rPr>
          <w:rFonts w:ascii="Times New Roman" w:cs="Times New Roman" w:eastAsia="Times New Roman" w:hAnsi="Times New Roman"/>
          <w:sz w:val="18"/>
          <w:szCs w:val="18"/>
          <w:color w:val="auto"/>
        </w:rPr>
        <w:t>. See “Management—Controlled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0"/>
          <w:szCs w:val="20"/>
          <w:color w:val="auto"/>
        </w:rPr>
      </w:pPr>
    </w:p>
    <w:p>
      <w:pPr>
        <w:ind w:left="120" w:right="140" w:firstLine="991"/>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common stock involves risks. See “</w:t>
      </w:r>
      <w:hyperlink w:anchor="page28">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21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0"/>
          <w:szCs w:val="20"/>
          <w:color w:val="auto"/>
        </w:rPr>
      </w:pPr>
    </w:p>
    <w:p>
      <w:pPr>
        <w:ind w:left="120"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5"/>
                <w:szCs w:val="15"/>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15"/>
                <w:szCs w:val="15"/>
                <w:color w:val="auto"/>
              </w:rPr>
              <w:t>(1)</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additional information regarding underwriting compensation.</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5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 purchase up to</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shares of our</w:t>
            </w:r>
          </w:p>
        </w:tc>
      </w:tr>
      <w:tr>
        <w:trPr>
          <w:trHeight w:val="234"/>
        </w:trPr>
        <w:tc>
          <w:tcPr>
            <w:tcW w:w="10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at the initial public offering price, less underwriting discounts and commissions, to cover over-allotments, if any.</w:t>
            </w:r>
          </w:p>
        </w:tc>
      </w:tr>
      <w:tr>
        <w:trPr>
          <w:trHeight w:val="324"/>
        </w:trPr>
        <w:tc>
          <w:tcPr>
            <w:tcW w:w="85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 or about</w:t>
            </w:r>
          </w:p>
        </w:tc>
        <w:tc>
          <w:tcPr>
            <w:tcW w:w="21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 2020.</w:t>
            </w:r>
          </w:p>
        </w:tc>
      </w:tr>
      <w:tr>
        <w:trPr>
          <w:trHeight w:val="229"/>
        </w:trPr>
        <w:tc>
          <w:tcPr>
            <w:tcW w:w="434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18"/>
        </w:trPr>
        <w:tc>
          <w:tcPr>
            <w:tcW w:w="434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2020</w:t>
            </w:r>
          </w:p>
        </w:tc>
        <w:tc>
          <w:tcPr>
            <w:tcW w:w="18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Trademarks, Tradenames and Service Marks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Basis of Presentation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Non-GAAP Financial Measures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Selected Historical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We own and license a number of registered and common law trademarks and pending applications for trademark registrations in the United States, primarily through our subsidiaries, including, for example: Academy Sports + Outdoors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Magellan Outdoors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BCG</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O’rageous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Outdoor Gourmet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Unless otherwise indicated, all trademarks appearing in this prospectus are proprietary to us, our affiliates and/or licensors. This prospectus also contains trademarks, tradenames and service marks of other companies, which are the property of their respective owners. Solely for convenience, the trademarks, tradenames and service marks referred to in this prospectus may appear without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means our senior secured asset-based revolving credit facility, as described under “Description of Certain Indebtedness;”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“Academy Sports + Outdoors,” the “Company,” “we,” “us” and “our” refer to, (1) prior to the consummation of this offering, New Academy Holding Company, LLC, a Delaware limited liability company and the current holding company for our operations, and its consolidated subsidiaries; and (2) following the consummation of this offering, Academy Sports and Outdoors, Inc. and its consolidated subsidiaries;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has the meaning set forth under “Certain Relationships and Related Party Transactions—Monitoring Agreement;”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means Allstar LLC, an investment entity owned by KKR;</w:t>
      </w:r>
    </w:p>
    <w:p>
      <w:pPr>
        <w:spacing w:after="0" w:line="13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Managers” means Allstar Managers, LLC, an entity owned by certain current and former executives and directors of the Company;</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means in-store and e-commerce merchandise sales divided by the number of sales transactions, which indicates the average amount of a sales receipt;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“BOPIS” means our buy-online-pickup-in-store program;</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means the percentage of period-over-period net sales increase or decrease for stores open after thirteen full fiscal months and e-commerce sales. See “Management’s Discussion and Analysis of Financial Condition and Results of Operations—How We Assess the Performance of Our Business—Comparable Store Sales.” There may be variations in the way in which some of our competitors and other retailers calculate comparable store sales. As a result, data in this prospectus regarding our comparable store sales may not be comparable to similar data made available by other retailers;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“Gochman Investors” means, collectively, certain investors who are family descendants of our founder, Max Gochman;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means, collectively, investment funds and other entities affiliated with Kohlberg Kravis Roberts &amp; Co. L.P.;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stores” means stores that have been in operation for longer than four years;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sales transactions” means total quantity of sales transactions generated, whether in-store or online;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brands” means our private label brands, which include both our own brands, as well as brands we license under exclusive license contracts;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means our senior secured term loan facility, as described under “Description of Certain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Financial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New Academy Holding Company, LLC conducts (and after the consummation of this offering, Academy Sports and Outdoors, Inc. will conduct) its operations through its subsidiaries, including its indirect subsidiary, Academy, Ltd., an operating company which is doing business as “Academy Sports + Outdoors.”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operate on a retail fiscal calendar pursuant to which our fiscal year consists of 52 or 53 weeks, ending on the Saturday closest to January 31 (which such Saturday may occur on a date following January 31) each year.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References to any “year,” “quarter” or “month” mean “fiscal year,” “fiscal quarter”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and “Free Cash Flow.”</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Adjusted EBITDA, Adjusted Net Income (Loss), Pro Forma Adjusted Net Income (Loss) and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Free Cash Flow is a useful measure of liquidity and an additional basis for assessing our ability to generate cash. Management uses Adjusted EBITDA, Adjusted Net Income (Loss), Pro Forma Adjusted Net Income (Loss) and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also present adjusted comparable store sales, which is a non-GAAP measure, in this prospectus. For a discussion of adjusted comparable store sales and a reconciliation to comparable store sales, see “Management’s Discussion and Analysis of Financial Condition and Results of Operations— Non-GAAP Measures—Adjusted comparable store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253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metropolitan statistical areas, or MSAs.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approximately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253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60" w:lineRule="exact"/>
        <w:rPr>
          <w:sz w:val="20"/>
          <w:szCs w:val="20"/>
          <w:color w:val="auto"/>
        </w:rPr>
      </w:pPr>
    </w:p>
    <w:p>
      <w:pPr>
        <w:jc w:val="both"/>
        <w:ind w:left="300" w:right="440"/>
        <w:spacing w:after="0" w:line="266" w:lineRule="auto"/>
        <w:rPr>
          <w:sz w:val="20"/>
          <w:szCs w:val="20"/>
          <w:color w:val="auto"/>
        </w:rPr>
      </w:pPr>
      <w:r>
        <w:rPr>
          <w:rFonts w:ascii="Times New Roman" w:cs="Times New Roman" w:eastAsia="Times New Roman" w:hAnsi="Times New Roman"/>
          <w:sz w:val="18"/>
          <w:szCs w:val="18"/>
          <w:color w:val="auto"/>
        </w:rPr>
        <w:t>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12 months of opening a store.</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03" w:lineRule="exact"/>
        <w:rPr>
          <w:sz w:val="20"/>
          <w:szCs w:val="20"/>
          <w:color w:val="auto"/>
        </w:rPr>
      </w:pPr>
    </w:p>
    <w:p>
      <w:pPr>
        <w:ind w:left="300" w:right="428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300" w:right="422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7" w:lineRule="exact"/>
        <w:rPr>
          <w:sz w:val="20"/>
          <w:szCs w:val="20"/>
          <w:color w:val="auto"/>
        </w:rPr>
      </w:pPr>
    </w:p>
    <w:p>
      <w:pPr>
        <w:ind w:left="300" w:right="20" w:firstLine="426"/>
        <w:spacing w:after="0" w:line="273" w:lineRule="auto"/>
        <w:rPr>
          <w:sz w:val="20"/>
          <w:szCs w:val="20"/>
          <w:color w:val="auto"/>
        </w:rPr>
      </w:pPr>
      <w:r>
        <w:rPr>
          <w:rFonts w:ascii="Times New Roman" w:cs="Times New Roman" w:eastAsia="Times New Roman" w:hAnsi="Times New Roman"/>
          <w:sz w:val="17"/>
          <w:szCs w:val="17"/>
          <w:color w:val="auto"/>
        </w:rPr>
        <w:t>Our stores deliver industry-leading unit sales and profitability, including 2019 net sales per store of $18.7 million, which is nearly two times greater than our nearest competitors, average sales per square foot of $264, which is more productive than our nearest competitors, and average EBITDA per store of $1.3 million, which represents a more profitable store than our nearest competitors.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406% during 2019 and the first quarter 2020,</w:t>
      </w:r>
    </w:p>
    <w:p>
      <w:pPr>
        <w:spacing w:after="0" w:line="200" w:lineRule="exact"/>
        <w:rPr>
          <w:sz w:val="20"/>
          <w:szCs w:val="20"/>
          <w:color w:val="auto"/>
        </w:rPr>
      </w:pPr>
    </w:p>
    <w:p>
      <w:pPr>
        <w:spacing w:after="0" w:line="3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51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60"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respectively. Our e-commerce sales represented 5% and 13% of our merchandise sales in 2019 and the first quarter 2020, respectively. We are deepening our customer relationships, further integrating our e-commerce platform with our stores and driving operating efficiencies by developing our omnichannel capabilities. Our BOPIS program, launched in 2019, accounted for approximately 24% and 48% of our e-commerce sales during 2019 and the first quarter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30% of our e-commerce sales during first quarter 2020 coming from new households.</w:t>
      </w:r>
    </w:p>
    <w:p>
      <w:pPr>
        <w:spacing w:after="0" w:line="18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3" w:lineRule="exact"/>
        <w:rPr>
          <w:sz w:val="20"/>
          <w:szCs w:val="20"/>
          <w:color w:val="auto"/>
        </w:rPr>
      </w:pPr>
    </w:p>
    <w:p>
      <w:pPr>
        <w:ind w:left="300" w:right="220" w:firstLine="426"/>
        <w:spacing w:after="0" w:line="255" w:lineRule="auto"/>
        <w:rPr>
          <w:sz w:val="20"/>
          <w:szCs w:val="20"/>
          <w:color w:val="auto"/>
        </w:rPr>
      </w:pPr>
      <w:r>
        <w:rPr>
          <w:rFonts w:ascii="Times New Roman" w:cs="Times New Roman" w:eastAsia="Times New Roman" w:hAnsi="Times New Roman"/>
          <w:sz w:val="18"/>
          <w:szCs w:val="18"/>
          <w:color w:val="auto"/>
        </w:rPr>
        <w:t>We finished the twelve months ended May 2, 2020 with approximately $4.9 billion in sales, $85 million of net income and $326 million in Adjusted EBITDA. First quarter 2020 reflected our third consecutive quarter of positive comparable store sales, Adjusted EBITDA growth and strong Free Cash Flow generation. We earned net income of $21 million, $120 million and $85 million and Pro Forma Adjusted Net Income of $43 million, $76 million and $82 million in 2018, 2019 and the twelve months ended May 2, 2020, respectively. See “—Summary Historical Consolidated Financial and Other Data” for definitions of Adjusted EBITDA, Pro Forma Adjusted Net Income and Free Cash Flow and reconciliations of Adjusted EBITDA and Pro Forma Adjusted Net Income to net income (loss) and Free Cash Flow to net cash provided by operating activities.</w:t>
      </w:r>
    </w:p>
    <w:p>
      <w:pPr>
        <w:spacing w:after="0" w:line="211" w:lineRule="exact"/>
        <w:rPr>
          <w:sz w:val="20"/>
          <w:szCs w:val="20"/>
          <w:color w:val="auto"/>
        </w:rPr>
      </w:pPr>
    </w:p>
    <w:p>
      <w:pPr>
        <w:ind w:left="1360"/>
        <w:spacing w:after="0"/>
        <w:tabs>
          <w:tab w:leader="none" w:pos="4840" w:val="left"/>
          <w:tab w:leader="none" w:pos="816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FCF since 2018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stores sales and Adjusted EBITDA growth in the last three consecutive quarters ended May 2, 2020, and created a foundation for our future growth. These key initiatives include:</w:t>
      </w:r>
    </w:p>
    <w:p>
      <w:pPr>
        <w:spacing w:after="0" w:line="79" w:lineRule="exact"/>
        <w:rPr>
          <w:sz w:val="20"/>
          <w:szCs w:val="20"/>
          <w:color w:val="auto"/>
        </w:rPr>
      </w:pPr>
    </w:p>
    <w:p>
      <w:pPr>
        <w:ind w:left="1240" w:right="18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jc w:val="both"/>
        <w:ind w:left="1240" w:right="40" w:hanging="415"/>
        <w:spacing w:after="0" w:line="26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764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we have built a profitable omnichannel business that is poised for continued growth and improvement of capabilities.</w:t>
      </w:r>
    </w:p>
    <w:p>
      <w:pPr>
        <w:spacing w:after="0" w:line="129" w:lineRule="exact"/>
        <w:rPr>
          <w:sz w:val="20"/>
          <w:szCs w:val="20"/>
          <w:color w:val="auto"/>
        </w:rPr>
      </w:pPr>
    </w:p>
    <w:p>
      <w:pPr>
        <w:ind w:left="1240" w:right="480" w:hanging="415"/>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 resulted in an improved customer shopping experience and increased sales.</w:t>
      </w:r>
    </w:p>
    <w:p>
      <w:pPr>
        <w:spacing w:after="0" w:line="63" w:lineRule="exact"/>
        <w:rPr>
          <w:rFonts w:ascii="Times New Roman" w:cs="Times New Roman" w:eastAsia="Times New Roman" w:hAnsi="Times New Roman"/>
          <w:sz w:val="18"/>
          <w:szCs w:val="18"/>
          <w:color w:val="auto"/>
        </w:rPr>
      </w:pPr>
    </w:p>
    <w:p>
      <w:pPr>
        <w:ind w:left="1240" w:right="240" w:hanging="415"/>
        <w:spacing w:after="0" w:line="26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240" w:right="120" w:hanging="415"/>
        <w:spacing w:after="0" w:line="28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240" w:right="220" w:hanging="415"/>
        <w:spacing w:after="0" w:line="26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ind w:left="1240" w:right="200" w:hanging="415"/>
        <w:spacing w:after="0" w:line="26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2.96x as of first quarter 2020.</w:t>
      </w:r>
    </w:p>
    <w:p>
      <w:pPr>
        <w:spacing w:after="0" w:line="85" w:lineRule="exact"/>
        <w:rPr>
          <w:rFonts w:ascii="Times New Roman" w:cs="Times New Roman" w:eastAsia="Times New Roman" w:hAnsi="Times New Roman"/>
          <w:sz w:val="18"/>
          <w:szCs w:val="18"/>
          <w:color w:val="auto"/>
        </w:rPr>
      </w:pPr>
    </w:p>
    <w:p>
      <w:pPr>
        <w:ind w:left="1240" w:right="240" w:hanging="415"/>
        <w:spacing w:after="0" w:line="26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(40,000 square feet) in Dallas, Texas in 2019. During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2020, this smaller format store experienced approximately 40% higher sales per square foot and 10% higher inventory turns than our average store. We believe this new smaller format store allows us to open new stores in urban and less dense areas.</w:t>
      </w:r>
    </w:p>
    <w:p>
      <w:pPr>
        <w:spacing w:after="0" w:line="175"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37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60"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&amp; Internet retailers</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92"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and the largest regional sporting goods retailer in the southern United States, with 2019 net sales of $4.8 billion. We believe our stores are well positioned geographically, with a strong and growing presence in six of the top 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773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60"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fastest-growing MSAs, including Dallas, Houston, Atlanta, Austin, Charlotte and San Antonio. As of May 2, 2020, 29% of our stores are in four of the top five fastest-growing MSAs. This deep penetration of our established markets results in high customer awareness of, and loyalty to, the Academy name and frequent visits to our conveniently located stores. Our stores deliver industry-leading unit sales and profitability economics, including 2019 net sales per store that are nearly two times greater than our nearest competitors.</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Yeti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0"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geographical footprint.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94"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–passionate local experts who are specially recruited and trained for category-specific positions.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to share experiences and obtain further advice and assistance.</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773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60" w:lineRule="exact"/>
        <w:rPr>
          <w:sz w:val="20"/>
          <w:szCs w:val="20"/>
          <w:color w:val="auto"/>
        </w:rPr>
      </w:pPr>
    </w:p>
    <w:p>
      <w:pPr>
        <w:jc w:val="both"/>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they spend approximately 30% of their wallets at Academy, whereas competitor customers spend approximately 20% of their wallets at our competitors.</w:t>
      </w:r>
    </w:p>
    <w:p>
      <w:pPr>
        <w:spacing w:after="0" w:line="176"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three consecutive quarters of positive comparable store sales as of the first quarter 2020, Adjusted EBITDA growth to $323 million in 2019, or 8%, compared to 2018, and Free Cash Flow growth of $99 million in 2018 to $197 million in 2019.</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Free Cash Flow, while limiting net capital expenditures to $63 million. We have reduced our net leverage ratio to 3.8x as of end of first quarter 2020 compared to 5.2x in both 2017 and 2018 and 4.1x in 2019.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184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6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Free Cash Flow, store-level profitability and return on invested capital. All but one of our mature stores (stores opened longer than four years) was profitable on a four-wall basis in 2019 and our new stores have average payback periods of four to five years.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300" w:right="140" w:firstLine="426"/>
        <w:spacing w:after="0" w:line="277" w:lineRule="auto"/>
        <w:rPr>
          <w:sz w:val="20"/>
          <w:szCs w:val="20"/>
          <w:color w:val="auto"/>
        </w:rPr>
      </w:pPr>
      <w:r>
        <w:rPr>
          <w:rFonts w:ascii="Times New Roman" w:cs="Times New Roman" w:eastAsia="Times New Roman" w:hAnsi="Times New Roman"/>
          <w:sz w:val="17"/>
          <w:szCs w:val="17"/>
          <w:color w:val="auto"/>
        </w:rPr>
        <w:t>Our e-commerce sales represented 5% and 13% of our merchandise sales for 2019 and for the first quarter 2020, respectively.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68"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quarter 2020, our omnichannel customers spent 50% more than our store-only customers. Since we launched our BOPIS program in 2019, we have seen significant e-commerce penetration that generates higher average order value and incremental in-store purchases.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89"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10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6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quarter 2020 net sales. Our customers are attracted to the Academy Credit Card because of its bank-funded 5% discount on every Academy purchase and free standard shipping on online orders of $15 or more.</w:t>
      </w:r>
    </w:p>
    <w:p>
      <w:pPr>
        <w:spacing w:after="0" w:line="183" w:lineRule="exact"/>
        <w:rPr>
          <w:sz w:val="20"/>
          <w:szCs w:val="20"/>
          <w:color w:val="auto"/>
        </w:rPr>
      </w:pPr>
    </w:p>
    <w:p>
      <w:pPr>
        <w:ind w:left="300" w:right="400" w:firstLine="426"/>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2.96x as of first quarter 2020, and has helped us to identify and exit certain product categories, such as luggage and toys.</w:t>
      </w:r>
    </w:p>
    <w:p>
      <w:pPr>
        <w:spacing w:after="0" w:line="187"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w:t>
      </w:r>
    </w:p>
    <w:p>
      <w:pPr>
        <w:spacing w:after="0" w:line="180" w:lineRule="exact"/>
        <w:rPr>
          <w:sz w:val="20"/>
          <w:szCs w:val="20"/>
          <w:color w:val="auto"/>
        </w:rPr>
      </w:pPr>
    </w:p>
    <w:p>
      <w:pPr>
        <w:jc w:val="both"/>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jc w:val="both"/>
        <w:ind w:left="300" w:right="340" w:firstLine="426"/>
        <w:spacing w:after="0" w:line="261" w:lineRule="auto"/>
        <w:rPr>
          <w:sz w:val="20"/>
          <w:szCs w:val="20"/>
          <w:color w:val="auto"/>
        </w:rPr>
      </w:pPr>
      <w:r>
        <w:rPr>
          <w:rFonts w:ascii="Times New Roman" w:cs="Times New Roman" w:eastAsia="Times New Roman" w:hAnsi="Times New Roman"/>
          <w:sz w:val="18"/>
          <w:szCs w:val="18"/>
          <w:color w:val="auto"/>
        </w:rPr>
        <w:t>While we are the leading sporting goods retailer in the southern United States, 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12 months of opening a store. As of first quarter 2020, 99.6% of our mature stores were profitable.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7050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7050405"/>
                    </a:xfrm>
                    <a:prstGeom prst="rect">
                      <a:avLst/>
                    </a:prstGeom>
                    <a:noFill/>
                  </pic:spPr>
                </pic:pic>
              </a:graphicData>
            </a:graphic>
          </wp:anchor>
        </w:drawing>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is approximately 120 stores.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is approximately 90 stores.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is approximately 670 stores.</w:t>
      </w:r>
    </w:p>
    <w:p>
      <w:pPr>
        <w:spacing w:after="0" w:line="1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expect to open eight to 10 new stores per year starting in 2022, which is similar to our growth rates from 2018 through 2019. We have online delivery capabilities in almost every state and will focus on disciplined new store openings. As we reach into new and existing markets, we expect our omnichannel platform to lead the way in our geographic expansion.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this Offering</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“Risk Factors” before making a decision to invest in our common stock. If any of these risks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815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60"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67" w:lineRule="exact"/>
        <w:rPr>
          <w:sz w:val="20"/>
          <w:szCs w:val="20"/>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240" w:right="64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may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1240" w:right="80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the applicable stock exchange rules and, as a result, qualifying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controlling us and its interests conflicting with ours or yours in the future.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5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15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w:t>
            </w:r>
          </w:p>
        </w:tc>
      </w:tr>
      <w:tr>
        <w:trPr>
          <w:trHeight w:val="220"/>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up to</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additional shares of our common stock at the initial public offering</w:t>
            </w:r>
          </w:p>
        </w:tc>
      </w:tr>
      <w:tr>
        <w:trPr>
          <w:trHeight w:val="234"/>
        </w:trPr>
        <w:tc>
          <w:tcPr>
            <w:tcW w:w="3980" w:type="dxa"/>
            <w:vAlign w:val="bottom"/>
          </w:tcPr>
          <w:p>
            <w:pPr>
              <w:spacing w:after="0"/>
              <w:rPr>
                <w:sz w:val="20"/>
                <w:szCs w:val="20"/>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price, less underwriting discounts and commissions, to cover over-allotments, if any.</w:t>
            </w:r>
          </w:p>
        </w:tc>
      </w:tr>
      <w:tr>
        <w:trPr>
          <w:trHeight w:val="43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shares (or</w:t>
            </w:r>
          </w:p>
        </w:tc>
        <w:tc>
          <w:tcPr>
            <w:tcW w:w="51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shares if the underwriters exercise in full their over-allotment</w:t>
            </w:r>
          </w:p>
        </w:tc>
      </w:tr>
      <w:tr>
        <w:trPr>
          <w:trHeight w:val="238"/>
        </w:trPr>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w:t>
            </w:r>
          </w:p>
        </w:tc>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w:t>
            </w:r>
          </w:p>
        </w:tc>
      </w:tr>
      <w:tr>
        <w:trPr>
          <w:trHeight w:val="216"/>
        </w:trPr>
        <w:tc>
          <w:tcPr>
            <w:tcW w:w="398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4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million, if the underwriters exercise in full their over-</w:t>
            </w:r>
          </w:p>
        </w:tc>
      </w:tr>
      <w:tr>
        <w:trPr>
          <w:trHeight w:val="216"/>
        </w:trPr>
        <w:tc>
          <w:tcPr>
            <w:tcW w:w="3980" w:type="dxa"/>
            <w:vAlign w:val="bottom"/>
          </w:tcPr>
          <w:p>
            <w:pPr>
              <w:spacing w:after="0"/>
              <w:rPr>
                <w:sz w:val="18"/>
                <w:szCs w:val="18"/>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allotment option), assuming an initial public offering price of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which is the</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expenses payable by us. For a sensitivity analysis as to the offering price and other</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information, see “Use of Proceeds.”</w:t>
            </w:r>
          </w:p>
        </w:tc>
        <w:tc>
          <w:tcPr>
            <w:tcW w:w="1820" w:type="dxa"/>
            <w:vAlign w:val="bottom"/>
          </w:tcPr>
          <w:p>
            <w:pPr>
              <w:spacing w:after="0"/>
              <w:rPr>
                <w:sz w:val="20"/>
                <w:szCs w:val="20"/>
                <w:color w:val="auto"/>
              </w:rPr>
            </w:pPr>
          </w:p>
        </w:tc>
      </w:tr>
      <w:tr>
        <w:trPr>
          <w:trHeight w:val="441"/>
        </w:trPr>
        <w:tc>
          <w:tcPr>
            <w:tcW w:w="3980" w:type="dxa"/>
            <w:vAlign w:val="bottom"/>
          </w:tcPr>
          <w:p>
            <w:pPr>
              <w:spacing w:after="0"/>
              <w:rPr>
                <w:sz w:val="24"/>
                <w:szCs w:val="24"/>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w:t>
            </w:r>
          </w:p>
        </w:tc>
      </w:tr>
      <w:tr>
        <w:trPr>
          <w:trHeight w:val="234"/>
        </w:trPr>
        <w:tc>
          <w:tcPr>
            <w:tcW w:w="3980" w:type="dxa"/>
            <w:vAlign w:val="bottom"/>
          </w:tcPr>
          <w:p>
            <w:pPr>
              <w:spacing w:after="0"/>
              <w:rPr>
                <w:sz w:val="20"/>
                <w:szCs w:val="20"/>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repayment of certain indebtedness, as will be determined prior to this offering.</w:t>
            </w:r>
          </w:p>
        </w:tc>
      </w:tr>
      <w:tr>
        <w:trPr>
          <w:trHeight w:val="44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After the completion of this offering, Allstar, an investment entity owned by KKR, will</w:t>
            </w:r>
          </w:p>
        </w:tc>
      </w:tr>
      <w:tr>
        <w:trPr>
          <w:trHeight w:val="216"/>
        </w:trPr>
        <w:tc>
          <w:tcPr>
            <w:tcW w:w="398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beneficially own</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of the voting power of our common stock. We currently intend to</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avail ourselves of the controlled company exemption under the corporate governance</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standards of the applicable stock exchange.</w:t>
            </w:r>
          </w:p>
        </w:tc>
        <w:tc>
          <w:tcPr>
            <w:tcW w:w="1820" w:type="dxa"/>
            <w:vAlign w:val="bottom"/>
          </w:tcPr>
          <w:p>
            <w:pPr>
              <w:spacing w:after="0"/>
              <w:rPr>
                <w:sz w:val="20"/>
                <w:szCs w:val="20"/>
                <w:color w:val="auto"/>
              </w:rPr>
            </w:pPr>
          </w:p>
        </w:tc>
      </w:tr>
      <w:tr>
        <w:trPr>
          <w:trHeight w:val="44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have no current plans to pay dividends on our common stock. Any decision to declare</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and pay dividends in the future will be made at the sole discretion of our board of directors</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and will depend on, among other things, our results of operations, cash requirements,</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financial condition, legal, tax, regulatory and contractual restrictions, including restrictions</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the agreements governing our indebtedness, and other factors that our board of directors</w:t>
            </w:r>
          </w:p>
        </w:tc>
      </w:tr>
      <w:tr>
        <w:trPr>
          <w:trHeight w:val="234"/>
        </w:trPr>
        <w:tc>
          <w:tcPr>
            <w:tcW w:w="3980" w:type="dxa"/>
            <w:vAlign w:val="bottom"/>
          </w:tcPr>
          <w:p>
            <w:pPr>
              <w:spacing w:after="0"/>
              <w:rPr>
                <w:sz w:val="20"/>
                <w:szCs w:val="20"/>
                <w:color w:val="auto"/>
              </w:rPr>
            </w:pPr>
          </w:p>
        </w:tc>
        <w:tc>
          <w:tcPr>
            <w:tcW w:w="4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may deem relevant. See “Dividend Policy.”</w:t>
            </w:r>
          </w:p>
        </w:tc>
        <w:tc>
          <w:tcPr>
            <w:tcW w:w="1820" w:type="dxa"/>
            <w:vAlign w:val="bottom"/>
          </w:tcPr>
          <w:p>
            <w:pPr>
              <w:spacing w:after="0"/>
              <w:rPr>
                <w:sz w:val="20"/>
                <w:szCs w:val="20"/>
                <w:color w:val="auto"/>
              </w:rPr>
            </w:pPr>
          </w:p>
        </w:tc>
      </w:tr>
      <w:tr>
        <w:trPr>
          <w:trHeight w:val="441"/>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Investing in shares of our common stock involves a high degree of risk. See “Risk Factors”</w:t>
            </w:r>
          </w:p>
        </w:tc>
      </w:tr>
      <w:tr>
        <w:trPr>
          <w:trHeight w:val="216"/>
        </w:trPr>
        <w:tc>
          <w:tcPr>
            <w:tcW w:w="3980" w:type="dxa"/>
            <w:vAlign w:val="bottom"/>
          </w:tcPr>
          <w:p>
            <w:pPr>
              <w:spacing w:after="0"/>
              <w:rPr>
                <w:sz w:val="18"/>
                <w:szCs w:val="18"/>
                <w:color w:val="auto"/>
              </w:rPr>
            </w:pPr>
          </w:p>
        </w:tc>
        <w:tc>
          <w:tcPr>
            <w:tcW w:w="66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 a discussion of factors you should carefully consider before investing in shares of our</w:t>
            </w:r>
          </w:p>
        </w:tc>
      </w:tr>
      <w:tr>
        <w:trPr>
          <w:trHeight w:val="234"/>
        </w:trPr>
        <w:tc>
          <w:tcPr>
            <w:tcW w:w="398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900"/>
          </w:cols>
          <w:pgMar w:left="320" w:top="455" w:right="679" w:bottom="1440" w:gutter="0" w:footer="0" w:header="0"/>
        </w:sectPr>
      </w:pPr>
    </w:p>
    <w:p>
      <w:pPr>
        <w:spacing w:after="0" w:line="21"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a discussion of certain U.S. federal income and estate tax consequences that may be relevant to non-U.S. stockholders, see</w:t>
      </w:r>
    </w:p>
    <w:p>
      <w:pPr>
        <w:spacing w:after="0" w:line="202"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36645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“Material U.S. Federal Income and Estate Tax Consequences to Non-U.S. Holders.”</w:t>
      </w:r>
    </w:p>
    <w:p>
      <w:pPr>
        <w:spacing w:after="0" w:line="262" w:lineRule="exact"/>
        <w:rPr>
          <w:sz w:val="20"/>
          <w:szCs w:val="20"/>
          <w:color w:val="auto"/>
        </w:rPr>
      </w:pPr>
    </w:p>
    <w:p>
      <w:pPr>
        <w:ind w:left="300"/>
        <w:spacing w:after="0"/>
        <w:tabs>
          <w:tab w:leader="none" w:pos="1620" w:val="left"/>
          <w:tab w:leader="none" w:pos="4320" w:val="left"/>
        </w:tabs>
        <w:rPr>
          <w:sz w:val="20"/>
          <w:szCs w:val="20"/>
          <w:color w:val="auto"/>
        </w:rPr>
      </w:pPr>
      <w:r>
        <w:rPr>
          <w:rFonts w:ascii="Times New Roman" w:cs="Times New Roman" w:eastAsia="Times New Roman" w:hAnsi="Times New Roman"/>
          <w:sz w:val="18"/>
          <w:szCs w:val="18"/>
          <w:b w:val="1"/>
          <w:bCs w:val="1"/>
          <w:color w:val="auto"/>
        </w:rPr>
        <w:t>Proposed</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color w:val="auto"/>
        </w:rPr>
        <w:t>“ASO”.</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this prospectus reflects and assumes:</w:t>
      </w:r>
    </w:p>
    <w:p>
      <w:pPr>
        <w:spacing w:after="0" w:line="131" w:lineRule="exact"/>
        <w:rPr>
          <w:sz w:val="20"/>
          <w:szCs w:val="20"/>
          <w:color w:val="auto"/>
        </w:rPr>
      </w:pPr>
    </w:p>
    <w:p>
      <w:pPr>
        <w:ind w:left="1240" w:hanging="52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price of $ per share of common stock, which is the midpoint of the estimated price range set forth on the cover page of this prospectus; and</w:t>
      </w:r>
    </w:p>
    <w:p>
      <w:pPr>
        <w:spacing w:after="0" w:line="67" w:lineRule="exact"/>
        <w:rPr>
          <w:rFonts w:ascii="Times New Roman" w:cs="Times New Roman" w:eastAsia="Times New Roman" w:hAnsi="Times New Roman"/>
          <w:sz w:val="18"/>
          <w:szCs w:val="18"/>
          <w:color w:val="auto"/>
        </w:rPr>
      </w:pPr>
    </w:p>
    <w:p>
      <w:pPr>
        <w:ind w:left="1240" w:right="340" w:hanging="523"/>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immediately prior to the consummation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excludes:</w:t>
      </w:r>
    </w:p>
    <w:p>
      <w:pPr>
        <w:spacing w:after="0" w:line="131" w:lineRule="exact"/>
        <w:rPr>
          <w:sz w:val="20"/>
          <w:szCs w:val="20"/>
          <w:color w:val="auto"/>
        </w:rPr>
      </w:pPr>
    </w:p>
    <w:p>
      <w:pPr>
        <w:jc w:val="both"/>
        <w:ind w:left="1240" w:right="280" w:hanging="523"/>
        <w:spacing w:after="0" w:line="266" w:lineRule="auto"/>
        <w:tabs>
          <w:tab w:leader="none" w:pos="18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and/or vesting of existing equity awards under the New Academy Holding Company, LLC 2011 Unit Incentive Plan, or the 2011 Equity Plan. See “Executive Compensation—Equity Compensation Plans— 2011 Equity Plan;”</w:t>
      </w:r>
    </w:p>
    <w:p>
      <w:pPr>
        <w:spacing w:after="0" w:line="81" w:lineRule="exact"/>
        <w:rPr>
          <w:rFonts w:ascii="Times New Roman" w:cs="Times New Roman" w:eastAsia="Times New Roman" w:hAnsi="Times New Roman"/>
          <w:sz w:val="18"/>
          <w:szCs w:val="18"/>
          <w:color w:val="auto"/>
        </w:rPr>
      </w:pPr>
    </w:p>
    <w:p>
      <w:pPr>
        <w:ind w:left="1240" w:right="20" w:hanging="523"/>
        <w:spacing w:after="0" w:line="266" w:lineRule="auto"/>
        <w:tabs>
          <w:tab w:leader="none" w:pos="18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new 2020 Omnibus Incentive Plan, or the 2020 Equity Plan, which we intend to adopt in connection with this offering. See “Executive Compensation—Equity Compensation Plans—2020 Equity Plan;” and</w:t>
      </w:r>
    </w:p>
    <w:p>
      <w:pPr>
        <w:spacing w:after="0" w:line="81" w:lineRule="exact"/>
        <w:rPr>
          <w:rFonts w:ascii="Times New Roman" w:cs="Times New Roman" w:eastAsia="Times New Roman" w:hAnsi="Times New Roman"/>
          <w:sz w:val="18"/>
          <w:szCs w:val="18"/>
          <w:color w:val="auto"/>
        </w:rPr>
      </w:pPr>
    </w:p>
    <w:p>
      <w:pPr>
        <w:ind w:left="1240" w:right="60" w:hanging="523"/>
        <w:spacing w:after="0" w:line="266" w:lineRule="auto"/>
        <w:tabs>
          <w:tab w:leader="none" w:pos="18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new 2020 Employee Stock Purchase Plan, or the ESPP, which we intend to adopt in connection with this offering.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4872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340" w:firstLine="426"/>
        <w:spacing w:after="0" w:line="258" w:lineRule="auto"/>
        <w:rPr>
          <w:sz w:val="20"/>
          <w:szCs w:val="20"/>
          <w:color w:val="auto"/>
        </w:rPr>
      </w:pPr>
      <w:r>
        <w:rPr>
          <w:rFonts w:ascii="Times New Roman" w:cs="Times New Roman" w:eastAsia="Times New Roman" w:hAnsi="Times New Roman"/>
          <w:sz w:val="18"/>
          <w:szCs w:val="18"/>
          <w:color w:val="auto"/>
        </w:rPr>
        <w:t>Set forth below is the summary historical consolidated financial and other data for New Academy Holding Company, LLC and its subsidiaries. The summary historical financial data for 2019, 2018 and 2017 has been derived from our audited consolidated financial statements included elsewhere in this prospectus. The summary historical financial data as of May 2, 2020 and for the thirteen weeks ended May 2, 2020 and May 4,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83"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0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60" w:type="dxa"/>
            <w:vAlign w:val="bottom"/>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Period length</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4,829,897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4,783,893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4,835,582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1,136,301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3,398,743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3,415,941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3,436,618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1,239,002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r>
              <w:rPr>
                <w:rFonts w:ascii="Times New Roman" w:cs="Times New Roman" w:eastAsia="Times New Roman" w:hAnsi="Times New Roman"/>
                <w:sz w:val="15"/>
                <w:szCs w:val="15"/>
                <w:color w:val="auto"/>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664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per share amounts and store data)</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(loss) per share of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 of common stock</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1,012,680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1,039,439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4,772,325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1,958,757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198,481</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(66,783)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(115,901)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(123,192)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sales increase (decrease)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square feet at end of period (in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(5)</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53,257</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15"/>
                <w:szCs w:val="15"/>
                <w:color w:val="auto"/>
              </w:rPr>
              <w:t>(5)</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26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57,774</w:t>
            </w:r>
          </w:p>
        </w:tc>
        <w:tc>
          <w:tcPr>
            <w:tcW w:w="3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3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Net Income (Loss)</w:t>
            </w:r>
            <w:r>
              <w:rPr>
                <w:rFonts w:ascii="Times New Roman" w:cs="Times New Roman" w:eastAsia="Times New Roman" w:hAnsi="Times New Roman"/>
                <w:sz w:val="15"/>
                <w:szCs w:val="15"/>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75,927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15"/>
                <w:szCs w:val="15"/>
                <w:color w:val="auto"/>
              </w:rPr>
              <w:t>(5)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(50,486)</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hanging="422"/>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720" w:right="140" w:hanging="422"/>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and 2017, we repurchased principal on our Term Loan Facility, which was trading at a discount and recognized a gain, net of the write-off of related deferred loan costs. In 2019, we repurchased a total of $147.7 million of principal for $104.6 million in open market transactions and recognized a related net gain of $42.3 million. In 2017, we repurchased $26.2 million of principal for $19.7 million in open market transactions and recognized a related net gain of $6.3 million.</w:t>
      </w:r>
    </w:p>
    <w:p>
      <w:pPr>
        <w:spacing w:after="0" w:line="1" w:lineRule="exact"/>
        <w:rPr>
          <w:rFonts w:ascii="Times New Roman" w:cs="Times New Roman" w:eastAsia="Times New Roman" w:hAnsi="Times New Roman"/>
          <w:sz w:val="18"/>
          <w:szCs w:val="18"/>
          <w:color w:val="auto"/>
        </w:rPr>
      </w:pPr>
    </w:p>
    <w:p>
      <w:pPr>
        <w:ind w:left="720" w:right="60" w:hanging="422"/>
        <w:spacing w:after="0" w:line="253"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80" w:right="1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636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0" w:lineRule="exact"/>
        <w:rPr>
          <w:sz w:val="20"/>
          <w:szCs w:val="20"/>
          <w:color w:val="auto"/>
        </w:rPr>
      </w:pPr>
    </w:p>
    <w:p>
      <w:pPr>
        <w:ind w:left="720" w:right="460" w:hanging="422"/>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720" w:right="40" w:hanging="422"/>
        <w:spacing w:after="0" w:line="25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Free Cash Flow as net cash provided by (used in) operating activities less net cash used in investing activities. We describe these adjustments reconciling net cash provided by operating activities to Free Cash Flow in the applicable table below.</w:t>
      </w:r>
    </w:p>
    <w:p>
      <w:pPr>
        <w:spacing w:after="0" w:line="84" w:lineRule="exact"/>
        <w:rPr>
          <w:rFonts w:ascii="Times New Roman" w:cs="Times New Roman" w:eastAsia="Times New Roman" w:hAnsi="Times New Roman"/>
          <w:sz w:val="18"/>
          <w:szCs w:val="18"/>
          <w:color w:val="auto"/>
        </w:rPr>
      </w:pPr>
    </w:p>
    <w:p>
      <w:pPr>
        <w:ind w:left="7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Pro Forma Adjusted Net Income (Loss) and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Free Cash Flow is a useful measure of liquidity and an additional basis for assessing our ability to generate cash. Management uses Adjusted EBITDA, Adjusted Net Income (Loss), Pro Forma Adjusted Net Income (Loss) and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81" w:lineRule="exact"/>
        <w:rPr>
          <w:rFonts w:ascii="Times New Roman" w:cs="Times New Roman" w:eastAsia="Times New Roman" w:hAnsi="Times New Roman"/>
          <w:sz w:val="18"/>
          <w:szCs w:val="18"/>
          <w:color w:val="auto"/>
        </w:rPr>
      </w:pPr>
    </w:p>
    <w:p>
      <w:pPr>
        <w:ind w:left="7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Free Cash Flow, you should be aware that in the future we may incur expenses that are the same as or similar to some of the adjustments in this presentation. Our presentation of Adjusted EBITDA, Adjusted Net Income (Loss), Pro Forma Adjusted Net Income (Loss) and Free Cash Flow should not be construed to imply that our future results will be unaffected by any such adjustments. Management compensates for these limitations by primarily relying 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320" w:top="455" w:right="6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66560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60" w:lineRule="exact"/>
        <w:rPr>
          <w:sz w:val="20"/>
          <w:szCs w:val="20"/>
          <w:color w:val="auto"/>
        </w:rPr>
      </w:pPr>
    </w:p>
    <w:p>
      <w:pPr>
        <w:ind w:left="720" w:right="540"/>
        <w:spacing w:after="0" w:line="282" w:lineRule="auto"/>
        <w:rPr>
          <w:sz w:val="20"/>
          <w:szCs w:val="20"/>
          <w:color w:val="auto"/>
        </w:rPr>
      </w:pPr>
      <w:r>
        <w:rPr>
          <w:rFonts w:ascii="Times New Roman" w:cs="Times New Roman" w:eastAsia="Times New Roman" w:hAnsi="Times New Roman"/>
          <w:sz w:val="18"/>
          <w:szCs w:val="18"/>
          <w:color w:val="auto"/>
        </w:rPr>
        <w:t>our GAAP results in addition to using Adjusted EBITDA, Adjusted Net Income (Loss), Pro Forma Adjusted Net Income (Loss) and Free Cash Flow supplementally.</w:t>
      </w:r>
    </w:p>
    <w:p>
      <w:pPr>
        <w:spacing w:after="0" w:line="54" w:lineRule="exact"/>
        <w:rPr>
          <w:sz w:val="20"/>
          <w:szCs w:val="20"/>
          <w:color w:val="auto"/>
        </w:rPr>
      </w:pPr>
    </w:p>
    <w:p>
      <w:pPr>
        <w:jc w:val="both"/>
        <w:ind w:left="720" w:right="26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240" w:right="44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240" w:right="80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240" w:right="360" w:hanging="523"/>
        <w:spacing w:after="0" w:line="312"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the interest expense, or the cash requirements necessary to service interest or principal payments, on our debt, and Free Cash Flow does not reflect the cash requirements necessary to service principal payments on our debt;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240" w:right="38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jc w:val="both"/>
        <w:ind w:left="1240" w:right="800" w:hanging="523"/>
        <w:spacing w:after="0" w:line="312"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Adjusted EBITDA and Free Cash Flow do not reflect cash requirements for such replacements; and</w:t>
      </w:r>
    </w:p>
    <w:p>
      <w:pPr>
        <w:spacing w:after="0" w:line="45" w:lineRule="exact"/>
        <w:rPr>
          <w:rFonts w:ascii="Times New Roman" w:cs="Times New Roman" w:eastAsia="Times New Roman" w:hAnsi="Times New Roman"/>
          <w:sz w:val="17"/>
          <w:szCs w:val="17"/>
          <w:color w:val="auto"/>
        </w:rPr>
      </w:pPr>
    </w:p>
    <w:p>
      <w:pPr>
        <w:ind w:left="1240" w:right="86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54" w:lineRule="exact"/>
        <w:rPr>
          <w:sz w:val="20"/>
          <w:szCs w:val="20"/>
          <w:color w:val="auto"/>
        </w:rPr>
      </w:pPr>
    </w:p>
    <w:p>
      <w:pPr>
        <w:ind w:left="720" w:right="38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Free Cash Flow should not be considered as measures of discretionary cash available to invest in business growth or to reduce indebtedness.</w:t>
      </w:r>
    </w:p>
    <w:p>
      <w:pPr>
        <w:spacing w:after="0" w:line="162"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5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$ 120,043</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58,501</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$(10,020)</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108,652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24,522</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131,816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133,281</w:t>
            </w: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27,447</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29,784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(g)</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(7,745)</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$ 322,814</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300,259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$ 53,257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$ 49,589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58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5979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120,043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(10,020)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(41,138)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101,469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(25,542)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(14,649)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(18,934)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Adjusted Net Income (Loss)</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75,927</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20" w:hanging="42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720" w:right="54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720" w:right="22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ind w:left="720" w:hanging="42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9"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720" w:right="92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720" w:right="20" w:hanging="422"/>
        <w:spacing w:after="0" w:line="25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720" w:right="20" w:hanging="422"/>
        <w:spacing w:after="0" w:line="253"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income tax purposes, and thus no federal income tax expense has been recorded in our consolidated statements of income. After consummation of this offering, we will become subject to U.S. federal income taxes and be taxed at the prevailing corporate rates. Our actual federal tax rate, and our actual income tax liability, after this offering may be different from our assumed rate, and such difference may be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67310</wp:posOffset>
            </wp:positionV>
            <wp:extent cx="6998970" cy="1564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1564005"/>
                    </a:xfrm>
                    <a:prstGeom prst="rect">
                      <a:avLst/>
                    </a:prstGeom>
                    <a:noFill/>
                  </pic:spPr>
                </pic:pic>
              </a:graphicData>
            </a:graphic>
          </wp:anchor>
        </w:drawing>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20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7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8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$ 263,669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$90,756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(115,901)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(9,926)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$ 196,886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99,454</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(32,546)</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80,830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(50,486)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volatility;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Increasing volatility in financial markets may cause some of the aforementioned conditions to change with even greater degree of frequency and magnitude. In addition, the recent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55" w:right="5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62"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comparable store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85"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media and electronics-driven leisure activities;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rising fuel prices, rising participation fees and rising sporting license fees;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1"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may adversely affect our business and financial results.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9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the recent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92"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multiple rounds of U.S. tariffs on Chinese goods taking effect. Recently, the Trump administration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demands and lawsuits, and our insurance or indemnities may not be sufficient to cover damages related to those claims and lawsuits.</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may be subject to claims, demands and lawsuits, and we may suffer losses and adverse effects to our reputation, related to:</w:t>
      </w:r>
    </w:p>
    <w:p>
      <w:pPr>
        <w:spacing w:after="0" w:line="67" w:lineRule="exact"/>
        <w:rPr>
          <w:sz w:val="20"/>
          <w:szCs w:val="20"/>
          <w:color w:val="auto"/>
        </w:rPr>
      </w:pPr>
    </w:p>
    <w:p>
      <w:pPr>
        <w:ind w:left="1080" w:right="14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other archery equipment, knives, deer stands and other hunting equipment, trampolines, wheeled goods such as bicycles and ride-on toys, certain merchandise qualifying as hazardous material and other products;</w:t>
      </w:r>
    </w:p>
    <w:p>
      <w:pPr>
        <w:spacing w:after="0" w:line="67" w:lineRule="exact"/>
        <w:rPr>
          <w:sz w:val="20"/>
          <w:szCs w:val="20"/>
          <w:color w:val="auto"/>
        </w:rPr>
      </w:pPr>
    </w:p>
    <w:p>
      <w:pPr>
        <w:ind w:left="1080" w:right="4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owned brand products;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 and</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may incur losses due to lawsuits, including potential class actions, relating to our policies and practices on the sale of firearms, ammunition, or related accessories. We may also incur losses from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substantial resources to defend against them and, in some cases, we could incur significant losses in the form of settlements, judgments, fines, penalties, injunctions or other orders, as well as adverse publicity, as a result of which our business or financial performance may be adversely affected. Even if a claim is unsuccessful or is not fully pursued, the negative publicity surrounding any such assertions could adversely affect our reputation.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5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9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9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outsource certain business services and solutions, and rely on the third-party vendors of these business services and solutions, to support a variety of our business functions, including portions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287"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94"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maintain investments necessary for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owned brand merchandise;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store sales may fluctuate due to seasonality and other factors outside of our control.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store sales have historically fluctuated, and may continue to fluctuate, as a result of factors outside our control, including:</w:t>
      </w:r>
    </w:p>
    <w:p>
      <w:pPr>
        <w:spacing w:after="0" w:line="67"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(such as snow storms, hurricanes, tornadoes, and floods);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 or public health pandemics) in or affecting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new product introduction;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competitors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comparable store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84"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to meet our labor needs.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9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geographical footprint suffers an economic downturn or any other adverse regional event, there could be an adverse impact on our net sales and results of operations and our ability to implement our planned expansion program.</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key executives could have a material adverse effect on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284"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May 2, 2020, we had approximately $1.5 billion outstanding under the Term Loan Facility. As of May 2, 2020, we had borrowings of $500.0 million outstanding under the ABL Facility, an available borrowing capacity under the ABL Facility of approximately $270.2 million (which is subject to customary borrowing conditions, including a borrowing base), and outstanding letters of credit of $17.3 million, $15.9 million of which were issued under the ABL Facility.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substantial portion of our cash flows to debt service payments. The Term Loan Facility requires quarterly principal and cash interest payments through June 30, 2022. The ABL Facility matures on May 22, 2023, subject to a springing maturity clause which is triggered 91 days before the July 2, 2022 maturity of the Term Loan Facility should it not be paid off or extended at least 91 days beyond the May 22, 2023 maturity date of the ABL Facility.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substantial indebtedness reduces the funds that would otherwise be available for operations, future business opportunities and payments of our debt obligations and limits our ability to:</w:t>
      </w:r>
    </w:p>
    <w:p>
      <w:pPr>
        <w:spacing w:after="0" w:line="67"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Facility and the ABL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indebtedness, and additionally we have further borrowing capacity under the ABL Facility. As of May 2, 2020, we had borrowings of $500.0 million outstanding under the ABL Facility, and an available borrowing capacity under the ABL Facility of approximately $270.2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$200.0 million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agreements governing the Term Loan Facility and the ABL Facility contain restrictive covenants that impose significant operating and financial restrictions on us and may limit our ability to engage in acts that may be in our best interest, including restrictions on our ability to:</w:t>
      </w:r>
    </w:p>
    <w:p>
      <w:pPr>
        <w:spacing w:after="0" w:line="6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our Term Loan Facility and ABL Facility would permit the lenders under our ABL Facility to terminate all commitments to extend further credit under that facility. Furthermore, if we were unable to repay the amounts due and payable under our Term Loan Facility and ABL Facility, those lenders could proceed against the collateral granted to them to secure that indebtedness, and we could be forced into bankruptcy or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the applicable stock exchange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and the application of net proceeds therefrom, Allstar will beneficially own approximately % of the voting power of common stock (or % if the underwriters exercise in full their over-allotment option). As a result, we will be a “controlled company” within the meaning of the corporate governance standards of the applicable stock exchange.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9"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the applicable stock exchange;</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6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Following this offering, we intend to utilize these exemptions. As a result, we may not have a majority of independent directors, our compensation committee and nominating and governance committee may not consist entirely of independent directors. Accordingly, you may not have the same protections afforded to stockholders of companies that are subject to all of the corporate governance requirements of the applicable stock exchange.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Allstar controls us and its interests may conflict with yours in the future.</w:t>
      </w:r>
    </w:p>
    <w:p>
      <w:pPr>
        <w:spacing w:after="0" w:line="121" w:lineRule="exact"/>
        <w:rPr>
          <w:sz w:val="20"/>
          <w:szCs w:val="20"/>
          <w:color w:val="auto"/>
        </w:rPr>
      </w:pPr>
    </w:p>
    <w:p>
      <w:pPr>
        <w:ind w:left="560"/>
        <w:spacing w:after="0"/>
        <w:tabs>
          <w:tab w:leader="none" w:pos="8260" w:val="left"/>
        </w:tabs>
        <w:rPr>
          <w:sz w:val="20"/>
          <w:szCs w:val="20"/>
          <w:color w:val="auto"/>
        </w:rPr>
      </w:pPr>
      <w:r>
        <w:rPr>
          <w:rFonts w:ascii="Times New Roman" w:cs="Times New Roman" w:eastAsia="Times New Roman" w:hAnsi="Times New Roman"/>
          <w:sz w:val="18"/>
          <w:szCs w:val="18"/>
          <w:color w:val="auto"/>
        </w:rPr>
        <w:t>Immediately following this offering, Allstar, an investment entity owned by KKR, will beneficially own</w:t>
      </w:r>
      <w:r>
        <w:rPr>
          <w:sz w:val="20"/>
          <w:szCs w:val="20"/>
          <w:color w:val="auto"/>
        </w:rPr>
        <w:tab/>
      </w:r>
      <w:r>
        <w:rPr>
          <w:rFonts w:ascii="Times New Roman" w:cs="Times New Roman" w:eastAsia="Times New Roman" w:hAnsi="Times New Roman"/>
          <w:sz w:val="17"/>
          <w:szCs w:val="17"/>
          <w:color w:val="auto"/>
        </w:rPr>
        <w:t>% of the voting power of our common</w:t>
      </w:r>
    </w:p>
    <w:p>
      <w:pPr>
        <w:spacing w:after="0" w:line="27" w:lineRule="exact"/>
        <w:rPr>
          <w:sz w:val="20"/>
          <w:szCs w:val="20"/>
          <w:color w:val="auto"/>
        </w:rPr>
      </w:pPr>
    </w:p>
    <w:p>
      <w:pPr>
        <w:ind w:left="120"/>
        <w:spacing w:after="0"/>
        <w:tabs>
          <w:tab w:leader="none" w:pos="1500" w:val="left"/>
        </w:tabs>
        <w:rPr>
          <w:sz w:val="20"/>
          <w:szCs w:val="20"/>
          <w:color w:val="auto"/>
        </w:rPr>
      </w:pPr>
      <w:r>
        <w:rPr>
          <w:rFonts w:ascii="Times New Roman" w:cs="Times New Roman" w:eastAsia="Times New Roman" w:hAnsi="Times New Roman"/>
          <w:sz w:val="18"/>
          <w:szCs w:val="18"/>
          <w:color w:val="auto"/>
        </w:rPr>
        <w:t>stock (or</w:t>
      </w:r>
      <w:r>
        <w:rPr>
          <w:sz w:val="20"/>
          <w:szCs w:val="20"/>
          <w:color w:val="auto"/>
        </w:rPr>
        <w:tab/>
      </w:r>
      <w:r>
        <w:rPr>
          <w:rFonts w:ascii="Times New Roman" w:cs="Times New Roman" w:eastAsia="Times New Roman" w:hAnsi="Times New Roman"/>
          <w:sz w:val="17"/>
          <w:szCs w:val="17"/>
          <w:color w:val="auto"/>
        </w:rPr>
        <w:t>% if the underwriters exercise in full their over-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allotment option). Allstar will be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Allstar and its affiliates retain significant ownership of us. Allstar and its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Allstar continues to own a significant amount of our voting power, even if such amount is less than 50%, Allstar will continue to be able to strongly influence or</w:t>
      </w:r>
    </w:p>
    <w:p>
      <w:pPr>
        <w:spacing w:after="0" w:line="2" w:lineRule="exact"/>
        <w:rPr>
          <w:sz w:val="20"/>
          <w:szCs w:val="20"/>
          <w:color w:val="auto"/>
        </w:rPr>
      </w:pPr>
    </w:p>
    <w:p>
      <w:pPr>
        <w:ind w:left="120" w:right="440"/>
        <w:spacing w:after="0" w:line="253" w:lineRule="auto"/>
        <w:rPr>
          <w:sz w:val="20"/>
          <w:szCs w:val="20"/>
          <w:color w:val="auto"/>
        </w:rPr>
      </w:pPr>
      <w:r>
        <w:rPr>
          <w:rFonts w:ascii="Times New Roman" w:cs="Times New Roman" w:eastAsia="Times New Roman" w:hAnsi="Times New Roman"/>
          <w:sz w:val="18"/>
          <w:szCs w:val="18"/>
          <w:color w:val="auto"/>
        </w:rPr>
        <w:t>effectively control our decisions and, so long as Allstar and its affiliates collectively own at least % of all outstanding shares of our stock entitled to vote generally in the election of directors, Allstar will be able to appoint individuals to our board of directors under the stockholders agreement that we expect to enter into in connection with this offering. See “Certain Relationships and Related Party Transactions—Stockholders Agreement.” The interests of Allstar may not coincide with the interests of other holders of our common stock.</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business activities, Allstar and its affiliates may engage in activities where their interests conflict with our interests or those of our stockholders. Our certificate of incorporation will provide that Allstar,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Allstar and its affiliates also may pursue acquisition opportunities that may be complementary to our business and, as a result, those acquisition opportunities may not be available to us. In addition, Allstar may have an interest in pursuing acquisitions, divestitures and other transactions that, in their judgment, could enhance its investment, even though such transactions might involve risks to you.</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Allstar and its affiliates will be able to determine the outcome of all matters requiring stockholder approval and will be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insurance, and other expenses that we have not incurred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the applicable stock exchange.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our common stock, fines, sanctions and other regulatory action and potentially civil litigation.</w:t>
      </w:r>
    </w:p>
    <w:p>
      <w:pPr>
        <w:spacing w:after="0" w:line="26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there may not develop or continue an active, liquid trading market for shares of our common stock,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If you purchase shares of our common stock in this offering, you will pay a price that was not established in a competitive market. Instead,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initial public offering price per share of common stock will be determined by agreement among us and the representative(s) of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The lack of an active market may impair your ability to sell your shares at the time you wish to sell them or at a price you consider reasonable. The lack of an active market may also reduce the fair market value of your shares. Furthermore, an inactive market may also impair our ability to raise capital by selling shares of our common stock.</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common stock may be highly volatile and could be subject to wide fluctuations. You may not be able to resell your shares at or above the initial public offering price due to a number of factors such as those listed in “—Risks Related to Our Business” and the following:</w:t>
      </w:r>
    </w:p>
    <w:p>
      <w:pPr>
        <w:spacing w:after="0" w:line="8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initial public offering price per share of common stock will be substantially higher than our pro forma net tangible book value (deficit) per share immediately after this offering. As a result, you will pay a price per share of common stock that substantially exceeds the per share book value of our tangible assets after subtracting our liabilities. In addition, you will pay more for your shares of common stock than the amounts paid by our existing</w:t>
      </w:r>
    </w:p>
    <w:p>
      <w:pPr>
        <w:spacing w:after="0" w:line="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owners. Assuming an initial public offering price of $ per share of common stock, which is the midpoint of the estimated price range set forth on the cover page of this prospectus, you will incur immediate and substantial dilution in an amount of $ per share of common stock. If the underwriters exercise their over-allotment option, you will experience additional dilution. See “Dilution.”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After this offering we will have approximately shares of common stock authorized but unissued. Our amended and restated certificate of incorporation to become effective immediately prior to the consummation of this offering will authorize us to issue these shares of common stock and options relating to common stock for the consideration and on the terms and conditions established by our board of directors in its sole discretion, whether in connection with acquisitions or otherwise. We have reserved shares for issuance under our 2011 Equity Plan and our 2020 Equity Plan. See “Executive Compensation—Equity Compensation Plans.” Any common stock that we issue, including under our 2011 Equity Plan, 2020 Equity Plan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Additional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91" w:lineRule="exact"/>
        <w:rPr>
          <w:sz w:val="20"/>
          <w:szCs w:val="20"/>
          <w:color w:val="auto"/>
        </w:rPr>
      </w:pPr>
    </w:p>
    <w:p>
      <w:pPr>
        <w:jc w:val="both"/>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owners in the public market following this offering could cause the market price for our common stock to decline.</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our existing owners,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 total of shares of our common stock outstanding. Of the outstanding shares, the shares sold in this offering (or shares if the underwriters exercise in full their over-allotment option) will be freely tradable without restriction or further</w:t>
      </w: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registration under the Securities Act, except that any shares held by our affiliates, as that term is defined under Rule 144 of the Securities Act, or Rule 144, including our directors, executive officers and other affiliates (including our existing owners), may be sold only in compliance with the limitations described in “Shares Eligible for Future Sale.”</w:t>
      </w:r>
    </w:p>
    <w:p>
      <w:pPr>
        <w:sectPr>
          <w:pgSz w:w="11900" w:h="16838" w:orient="portrait"/>
          <w:cols w:equalWidth="0" w:num="1">
            <w:col w:w="11140"/>
          </w:cols>
          <w:pgMar w:left="320" w:top="455" w:right="439" w:bottom="1440" w:gutter="0" w:footer="0" w:header="0"/>
        </w:sectPr>
      </w:pPr>
    </w:p>
    <w:p>
      <w:pPr>
        <w:spacing w:after="0" w:line="18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remaining outstanding shares of common stock held by our existing owners after this offering, representing outstanding shares of our common stock following this offering (or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the total</w:t>
      </w:r>
    </w:p>
    <w:p>
      <w:pPr>
        <w:spacing w:after="0" w:line="373" w:lineRule="exact"/>
        <w:rPr>
          <w:sz w:val="20"/>
          <w:szCs w:val="20"/>
          <w:color w:val="auto"/>
        </w:rPr>
      </w:pPr>
    </w:p>
    <w:p>
      <w:pPr>
        <w:sectPr>
          <w:pgSz w:w="11900" w:h="16838" w:orient="portrait"/>
          <w:cols w:equalWidth="0" w:num="2">
            <w:col w:w="9200" w:space="580"/>
            <w:col w:w="136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over-allotment option),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76"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We, our executive officers, directors and certain of our existing owners, will sign lock-up agreements with the underwriters that will, subject to certain customary exceptions, restrict the sale of the shares of our common stock and certain other securities held by them for 180 days following the</w:t>
      </w:r>
    </w:p>
    <w:p>
      <w:pPr>
        <w:spacing w:after="0" w:line="1"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date of this prospectus. may, in their sole discretion and at any time without notice, release all or any portion of the shares or securities subject to any such lock-up agreements. See “Underwriting” for a description of these lock-up agreements.</w:t>
      </w:r>
    </w:p>
    <w:p>
      <w:pPr>
        <w:spacing w:after="0" w:line="1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owners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83" w:lineRule="exact"/>
        <w:rPr>
          <w:sz w:val="20"/>
          <w:szCs w:val="20"/>
          <w:color w:val="auto"/>
        </w:rPr>
      </w:pPr>
    </w:p>
    <w:p>
      <w:pPr>
        <w:jc w:val="both"/>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In addition, pursuant to a registration rights agreement, Allstar has the right, subject to certain conditions, to require us to register the sale of their shares of our common stock under the Securities Act. See “Certain Relationships and Related Party Transactions—Registration Rights Agreement.” By exercising its registration rights and selling a large number of shares, Allstar could cause the prevailing market price of our common stock to decline. Certain of our other existing owners have “piggyback” registration rights with respect to future registered offerings of our common stock. Following</w:t>
      </w:r>
    </w:p>
    <w:p>
      <w:pPr>
        <w:spacing w:after="0" w:line="3" w:lineRule="exact"/>
        <w:rPr>
          <w:sz w:val="20"/>
          <w:szCs w:val="20"/>
          <w:color w:val="auto"/>
        </w:rPr>
      </w:pPr>
    </w:p>
    <w:p>
      <w:pPr>
        <w:ind w:left="120"/>
        <w:spacing w:after="0"/>
        <w:tabs>
          <w:tab w:leader="none" w:pos="7860" w:val="left"/>
        </w:tabs>
        <w:rPr>
          <w:sz w:val="20"/>
          <w:szCs w:val="20"/>
          <w:color w:val="auto"/>
        </w:rPr>
      </w:pPr>
      <w:r>
        <w:rPr>
          <w:rFonts w:ascii="Times New Roman" w:cs="Times New Roman" w:eastAsia="Times New Roman" w:hAnsi="Times New Roman"/>
          <w:sz w:val="18"/>
          <w:szCs w:val="18"/>
          <w:color w:val="auto"/>
        </w:rPr>
        <w:t>completion of this offering, the shares covered by registration rights would represent approximately</w:t>
      </w:r>
      <w:r>
        <w:rPr>
          <w:sz w:val="20"/>
          <w:szCs w:val="20"/>
          <w:color w:val="auto"/>
        </w:rPr>
        <w:tab/>
      </w:r>
      <w:r>
        <w:rPr>
          <w:rFonts w:ascii="Times New Roman" w:cs="Times New Roman" w:eastAsia="Times New Roman" w:hAnsi="Times New Roman"/>
          <w:sz w:val="18"/>
          <w:szCs w:val="18"/>
          <w:color w:val="auto"/>
        </w:rPr>
        <w:t>% of our total common stock outstanding (or</w:t>
      </w:r>
    </w:p>
    <w:p>
      <w:pPr>
        <w:spacing w:after="0" w:line="9" w:lineRule="exact"/>
        <w:rPr>
          <w:sz w:val="20"/>
          <w:szCs w:val="20"/>
          <w:color w:val="auto"/>
        </w:rPr>
      </w:pPr>
    </w:p>
    <w:p>
      <w:pPr>
        <w:ind w:left="120" w:right="100" w:firstLine="536"/>
        <w:spacing w:after="0" w:line="255" w:lineRule="auto"/>
        <w:tabs>
          <w:tab w:leader="none" w:pos="8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underwriters exercise in full their over-allotment option). Registration of any of these outstanding shares of common stock would result in such shares becoming freely tradable without compliance with Rule 144 upon effectiveness of the registration statement. See “Shares Eligible for Future Sale.”</w:t>
      </w:r>
    </w:p>
    <w:p>
      <w:pPr>
        <w:spacing w:after="0" w:line="186"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w:t>
      </w:r>
    </w:p>
    <w:p>
      <w:pPr>
        <w:spacing w:after="0" w:line="9" w:lineRule="exact"/>
        <w:rPr>
          <w:sz w:val="20"/>
          <w:szCs w:val="20"/>
          <w:color w:val="auto"/>
        </w:rPr>
      </w:pPr>
    </w:p>
    <w:p>
      <w:pPr>
        <w:ind w:left="120"/>
        <w:spacing w:after="0"/>
        <w:tabs>
          <w:tab w:leader="none" w:pos="2960" w:val="left"/>
        </w:tabs>
        <w:rPr>
          <w:sz w:val="20"/>
          <w:szCs w:val="20"/>
          <w:color w:val="auto"/>
        </w:rPr>
      </w:pPr>
      <w:r>
        <w:rPr>
          <w:rFonts w:ascii="Times New Roman" w:cs="Times New Roman" w:eastAsia="Times New Roman" w:hAnsi="Times New Roman"/>
          <w:sz w:val="18"/>
          <w:szCs w:val="18"/>
          <w:color w:val="auto"/>
        </w:rPr>
        <w:t>statement on Form S-8 will cover</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owners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may spend the proceeds of this offering in ways with which you may disagree or that may not be profitable.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Although we anticipate using the net proceeds from the offering as described under “Use of Proceeds,” we will have broad discretion as to the application of the net proceeds and could use them for purposes other than those contemplated by this offering. You may not agree with the manner in which our management chooses to allocate and spend the net proceeds. Our management may use the proceeds for corporate purposes that may not increase our profitability or otherwise result in the creation of stockholder value. In addition, pending our use of the proceeds, we may invest the proceeds primarily in instruments that do not produce significant income or that may lose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1080" w:right="40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will be divided into three classes, with each class serving for staggered three-year terms;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shares of common stock entitled to vote generally in the election of directors if Allstar and its affiliates cease to beneficially own at least 50%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shares of common stock entitled to vote generally in the election of directors if Allstar and its affiliates cease to beneficially own at least 50% of shares of common stock entitled to vote generally in the election of directors.</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in additional series without stockholder approval.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ind w:left="120" w:right="24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w:t>
      </w:r>
    </w:p>
    <w:p>
      <w:pPr>
        <w:spacing w:after="0" w:line="1" w:lineRule="exact"/>
        <w:rPr>
          <w:sz w:val="20"/>
          <w:szCs w:val="20"/>
          <w:color w:val="auto"/>
        </w:rPr>
      </w:pPr>
    </w:p>
    <w:p>
      <w:pPr>
        <w:ind w:left="120" w:right="40" w:hanging="4"/>
        <w:spacing w:after="0" w:line="251"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shall be the exclusive forum for the resolution of any actions or proceedings asserting claims arising under the Securities Act.</w:t>
      </w:r>
    </w:p>
    <w:p>
      <w:pPr>
        <w:spacing w:after="0" w:line="19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8"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may be subject and the risk that our insurance or indemnities coverage may not be sufficient;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14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costs and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(or approximately $ million, if the underwriters exercise in full their over-allotment option) from the sale of shares of our common stock in this offering, assuming an initial public offering price of $ per share,</w:t>
      </w:r>
    </w:p>
    <w:p>
      <w:pPr>
        <w:ind w:left="120"/>
        <w:spacing w:after="0" w:line="265" w:lineRule="auto"/>
        <w:rPr>
          <w:sz w:val="20"/>
          <w:szCs w:val="20"/>
          <w:color w:val="auto"/>
        </w:rPr>
      </w:pPr>
      <w:r>
        <w:rPr>
          <w:rFonts w:ascii="Times New Roman" w:cs="Times New Roman" w:eastAsia="Times New Roman" w:hAnsi="Times New Roman"/>
          <w:sz w:val="17"/>
          <w:szCs w:val="17"/>
          <w:color w:val="auto"/>
        </w:rPr>
        <w:t>which is the midpoint of the estimated price range set forth on the cover page of this prospectus, and after deducting the underwriting discounts and commissions and estimated offering expenses payable by us. An increase (decrease) of 1,000,000 shares from the expected number of shares of common stock to be sold by us in this offering, assuming no change in the assumed initial offering price per share, would increase (decrease) our net proceeds</w:t>
      </w:r>
    </w:p>
    <w:p>
      <w:pPr>
        <w:ind w:left="120"/>
        <w:spacing w:after="0"/>
        <w:tabs>
          <w:tab w:leader="none" w:pos="2140" w:val="left"/>
        </w:tabs>
        <w:rPr>
          <w:sz w:val="20"/>
          <w:szCs w:val="20"/>
          <w:color w:val="auto"/>
        </w:rPr>
      </w:pPr>
      <w:r>
        <w:rPr>
          <w:rFonts w:ascii="Times New Roman" w:cs="Times New Roman" w:eastAsia="Times New Roman" w:hAnsi="Times New Roman"/>
          <w:sz w:val="18"/>
          <w:szCs w:val="18"/>
          <w:color w:val="auto"/>
        </w:rPr>
        <w:t>from this offering by $</w:t>
      </w:r>
      <w:r>
        <w:rPr>
          <w:sz w:val="20"/>
          <w:szCs w:val="20"/>
          <w:color w:val="auto"/>
        </w:rPr>
        <w:tab/>
      </w:r>
      <w:r>
        <w:rPr>
          <w:rFonts w:ascii="Times New Roman" w:cs="Times New Roman" w:eastAsia="Times New Roman" w:hAnsi="Times New Roman"/>
          <w:sz w:val="17"/>
          <w:szCs w:val="17"/>
          <w:color w:val="auto"/>
        </w:rPr>
        <w:t>million. A $1.00 increase (decrease) in the assumed initial offering price would increase (decrease) the net proceeds to us</w:t>
      </w:r>
    </w:p>
    <w:p>
      <w:pPr>
        <w:spacing w:after="0" w:line="9"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from this offering by $ million, assuming the number of shares of common stock offered by us, as set forth on the cover page of this prospectus, remains the same, and after deducting the underwriting discounts and commissions and estimated offering expenses payable by us.</w:t>
      </w:r>
    </w:p>
    <w:p>
      <w:pPr>
        <w:spacing w:after="0" w:line="18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 repayment of certain indebtedness, as will be determined prior to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May 2, 2020 of New Academy Holding Company, LLC on an actual basis and of Academy Sports and Outdoors, Inc. on a pro forma basis to reflect:</w:t>
      </w:r>
    </w:p>
    <w:p>
      <w:pPr>
        <w:spacing w:after="0" w:line="67" w:lineRule="exact"/>
        <w:rPr>
          <w:sz w:val="20"/>
          <w:szCs w:val="20"/>
          <w:color w:val="auto"/>
        </w:rPr>
      </w:pPr>
    </w:p>
    <w:p>
      <w:pPr>
        <w:ind w:left="1080" w:right="58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New Academy Holding Company, LLC with and into Academy Sports and Outdoors, Inc., with Academy Sports and Outdoors, Inc. surviving; and</w:t>
      </w:r>
    </w:p>
    <w:p>
      <w:pPr>
        <w:spacing w:after="0" w:line="67" w:lineRule="exact"/>
        <w:rPr>
          <w:sz w:val="20"/>
          <w:szCs w:val="20"/>
          <w:color w:val="auto"/>
        </w:rPr>
      </w:pPr>
    </w:p>
    <w:p>
      <w:pPr>
        <w:ind w:left="108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sale of shares of our common stock offered by us in this offering at an assumed initial public offering price of $ per share, which is the midpoint of the estimated price range set forth on the cover page of this prospectus, after deducting the underwriting discounts and commissions and estimated offering expenses payable by us, and the application of the net proceeds to us therefrom as described under “Use of Proceeds.”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As of May 2,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New Academy</w:t>
            </w:r>
          </w:p>
        </w:tc>
        <w:tc>
          <w:tcPr>
            <w:tcW w:w="420" w:type="dxa"/>
            <w:vAlign w:val="bottom"/>
          </w:tcPr>
          <w:p>
            <w:pPr>
              <w:spacing w:after="0"/>
              <w:rPr>
                <w:sz w:val="10"/>
                <w:szCs w:val="10"/>
                <w:color w:val="auto"/>
              </w:rPr>
            </w:pPr>
          </w:p>
        </w:tc>
        <w:tc>
          <w:tcPr>
            <w:tcW w:w="13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Academy Sports and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Holding Company,</w:t>
            </w:r>
          </w:p>
        </w:tc>
        <w:tc>
          <w:tcPr>
            <w:tcW w:w="4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LLC</w:t>
            </w:r>
          </w:p>
        </w:tc>
        <w:tc>
          <w:tcPr>
            <w:tcW w:w="420" w:type="dxa"/>
            <w:vAlign w:val="bottom"/>
          </w:tcPr>
          <w:p>
            <w:pPr>
              <w:spacing w:after="0"/>
              <w:rPr>
                <w:sz w:val="15"/>
                <w:szCs w:val="15"/>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Outdoors, Inc.</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725,615</w:t>
            </w:r>
          </w:p>
        </w:tc>
        <w:tc>
          <w:tcPr>
            <w:tcW w:w="1700" w:type="dxa"/>
            <w:vAlign w:val="bottom"/>
            <w:gridSpan w:val="2"/>
          </w:tcPr>
          <w:p>
            <w:pPr>
              <w:jc w:val="right"/>
              <w:ind w:right="112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(2)</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500,000</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(3)</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1,462,111</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debt</w:t>
            </w:r>
          </w:p>
        </w:tc>
        <w:tc>
          <w:tcPr>
            <w:tcW w:w="2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1,962,111</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Partners’/Stockholders’ equity</w:t>
            </w: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 equity</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977,571</w:t>
            </w:r>
          </w:p>
        </w:tc>
        <w:tc>
          <w:tcPr>
            <w:tcW w:w="4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w:t>
            </w:r>
          </w:p>
        </w:tc>
        <w:tc>
          <w:tcPr>
            <w:tcW w:w="2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issued and</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w:t>
            </w:r>
          </w:p>
        </w:tc>
        <w:tc>
          <w:tcPr>
            <w:tcW w:w="2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and other comprehensive income (loss)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partners’/stockholders’ equity</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977,571</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2,939,682</w:t>
            </w:r>
          </w:p>
        </w:tc>
        <w:tc>
          <w:tcPr>
            <w:tcW w:w="1700" w:type="dxa"/>
            <w:vAlign w:val="bottom"/>
            <w:gridSpan w:val="2"/>
            <w:shd w:val="clear" w:color="auto" w:fill="CCEEFF"/>
          </w:tcPr>
          <w:p>
            <w:pPr>
              <w:jc w:val="right"/>
              <w:ind w:right="112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4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w:t>
        <w:tab/>
        <w:t>A $1.00 increase (decrease) in the assumed initial public offering price of $ per share, which is the midpoint of the estimated price range set forth on the cover page of this prospectus, would increase (decrease) the net proceeds that we receive in this offering and each of additional paid-in capital, total stockholders’ equity and total capitalization by approximately $ , assuming the number of shares offered by us remains the same as set forth on the cover page of this prospectus and after deducting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1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40" w:right="360"/>
        <w:spacing w:after="0" w:line="272" w:lineRule="auto"/>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 An increase (decrease) of 1,000,000 shares in the expected number of shares to be sold by us in this offering, assuming no change in the assumed initial public offering price, would increase (decrease) our net proceeds from this offering and each of additional paid-in capital, total stockholders’ equity and total capitalization by</w:t>
      </w:r>
    </w:p>
    <w:p>
      <w:pPr>
        <w:spacing w:after="0" w:line="2" w:lineRule="exact"/>
        <w:rPr>
          <w:sz w:val="20"/>
          <w:szCs w:val="20"/>
          <w:color w:val="auto"/>
        </w:rPr>
      </w:pPr>
    </w:p>
    <w:p>
      <w:pPr>
        <w:ind w:left="540"/>
        <w:spacing w:after="0"/>
        <w:tabs>
          <w:tab w:leader="none" w:pos="210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40" w:hanging="424"/>
        <w:spacing w:after="0" w:line="265"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May 2, 2020, there were $17.3 million letters of credit outstanding, $15.9 million of which were issued under the ABL Facility. In June 2020, we repaid the $500 million of borrowings in full. For a further description of our ABL Facility, see “Description of Certain Indebtedness.”</w:t>
      </w:r>
    </w:p>
    <w:p>
      <w:pPr>
        <w:ind w:left="540" w:right="10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above do not reflect deferred loan costs related to the Term Loan Facility. For a further description of our Term Loan Facility, see “Description of Certain Indebtedness.”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320" w:top="455" w:right="6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pro forma net tangible book value (deficit) per share of our common stock after giving effect to this offering. Dilution results from the fact that the per share offering price of the common stock is substantially in excess of the pro forma net tangible book value per share attributable to our existing owners.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pro forma net tangible book value (deficit) as of May 2, 2020 was approximately $ million, or $ per share of our common stock. We calculate pro forma net tangible value (deficit) per share by taking the amount of our total tangible assets, reduced by the amount of our total liabilities, and then dividing that amount by the total number of shares of common stock outstanding on a pro forma basis giving effect to the merger of New Academy Holding Company, LLC with and into Academy Sports and Outdoors, Inc., with Academy Sports and Outdoors, Inc. surviving.</w:t>
      </w:r>
    </w:p>
    <w:p>
      <w:pPr>
        <w:spacing w:after="0" w:line="18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After giving effect to (i) our sale of shares of common stock in this offering at an assumed initial public offering price of $ per share, which is the midpoint of the estimated price range set forth on the cover page of this prospectus, and (ii) the use of proceeds therefrom, after deducting the underwriting discounts and commissions and estimated offering expenses payable by us, our pro forma net tangible book value (deficit) as of May 2,</w:t>
      </w:r>
    </w:p>
    <w:p>
      <w:pPr>
        <w:spacing w:after="0" w:line="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2020 would have been $ million, or $ per share of our common stock. This amount represents an immediate increase in pro forma net tangible book value (deficit) of $ per share of common stock to our existing owners and an immediate and substantial dilution in pro forma net tangible book value (deficit) of $ per share of common stock to new investors purchasing shares in this offering.</w:t>
      </w:r>
    </w:p>
    <w:p>
      <w:pPr>
        <w:spacing w:after="0" w:line="18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common stock basis assuming the underwriters do not exercise their option to purchase additional shares of common stock:</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common stock</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9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(deficit) per share of common stock as of May 2,</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common stock</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(deficit) per share of common stock after giving effect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this offering</w:t>
            </w: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pro forma net tangible book value per share of common stock to investors in</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pro forma net tangible book value (deficit) per share of common stock after the offering from the initial public offering price per share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per share of common stock would increase or decrease, as applicable,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pro forma net tangible book value by $ per share and the dilution to new investors in the offering by $ per share, assuming that the number of shares offered in this offering, as set forth on the cover page of this prospectus, remains the same. The pro forma information discussed above is for illustrative purposes only. Our net tangible book value (deficit) following the completion of the offering is subject to adjustment based on the actual offering price of our common stock and other terms of this offering determined at pricing.</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May 2, 2020, the total number of shares of common stock purchased from us, the total cash consideration paid to us and the average price per share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paid by our existing owners and by new investors purchasing shares of common stock in this offering.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Total Consideration</w:t>
            </w:r>
          </w:p>
        </w:tc>
        <w:tc>
          <w:tcPr>
            <w:tcW w:w="48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4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47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owners</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480" w:type="dxa"/>
            <w:vAlign w:val="bottom"/>
          </w:tcPr>
          <w:p>
            <w:pPr>
              <w:spacing w:after="0"/>
              <w:rPr>
                <w:sz w:val="18"/>
                <w:szCs w:val="18"/>
                <w:color w:val="auto"/>
              </w:rPr>
            </w:pP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140"/>
          </w:cols>
          <w:pgMar w:left="320" w:top="455" w:right="439" w:bottom="1440" w:gutter="0" w:footer="0" w:header="0"/>
        </w:sectPr>
      </w:pPr>
    </w:p>
    <w:p>
      <w:pPr>
        <w:ind w:left="560"/>
        <w:spacing w:after="0"/>
        <w:rPr>
          <w:sz w:val="20"/>
          <w:szCs w:val="20"/>
          <w:color w:val="auto"/>
        </w:rPr>
      </w:pPr>
      <w:r>
        <w:rPr>
          <w:rFonts w:ascii="Times New Roman" w:cs="Times New Roman" w:eastAsia="Times New Roman" w:hAnsi="Times New Roman"/>
          <w:sz w:val="18"/>
          <w:szCs w:val="18"/>
          <w:color w:val="auto"/>
        </w:rPr>
        <w:t>If the underwriters were to exercise in full their option to purchase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shares of our common stock held by existing owners as of May 2, 2020 would be</w:t>
      </w:r>
    </w:p>
    <w:p>
      <w:pPr>
        <w:spacing w:after="0" w:line="21" w:lineRule="exact"/>
        <w:rPr>
          <w:sz w:val="20"/>
          <w:szCs w:val="20"/>
          <w:color w:val="auto"/>
        </w:rPr>
      </w:pPr>
    </w:p>
    <w:p>
      <w:pPr>
        <w:ind w:left="120"/>
        <w:spacing w:after="0"/>
        <w:tabs>
          <w:tab w:leader="none" w:pos="2800" w:val="left"/>
        </w:tabs>
        <w:rPr>
          <w:sz w:val="20"/>
          <w:szCs w:val="20"/>
          <w:color w:val="auto"/>
        </w:rPr>
      </w:pPr>
      <w:r>
        <w:rPr>
          <w:rFonts w:ascii="Times New Roman" w:cs="Times New Roman" w:eastAsia="Times New Roman" w:hAnsi="Times New Roman"/>
          <w:sz w:val="18"/>
          <w:szCs w:val="18"/>
          <w:color w:val="auto"/>
        </w:rPr>
        <w:t>investors in this offering would be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20" w:hanging="39"/>
        <w:spacing w:after="0" w:line="282" w:lineRule="auto"/>
        <w:rPr>
          <w:sz w:val="20"/>
          <w:szCs w:val="20"/>
          <w:color w:val="auto"/>
        </w:rPr>
      </w:pPr>
      <w:r>
        <w:rPr>
          <w:rFonts w:ascii="Times New Roman" w:cs="Times New Roman" w:eastAsia="Times New Roman" w:hAnsi="Times New Roman"/>
          <w:sz w:val="18"/>
          <w:szCs w:val="18"/>
          <w:color w:val="auto"/>
        </w:rPr>
        <w:t>additional shares of our common stock from us, the percentage of % and the percentage of shares of our common stock held by new</w:t>
      </w:r>
    </w:p>
    <w:p>
      <w:pPr>
        <w:spacing w:after="0" w:line="309" w:lineRule="exact"/>
        <w:rPr>
          <w:sz w:val="20"/>
          <w:szCs w:val="20"/>
          <w:color w:val="auto"/>
        </w:rPr>
      </w:pPr>
    </w:p>
    <w:p>
      <w:pPr>
        <w:sectPr>
          <w:pgSz w:w="11900" w:h="16838" w:orient="portrait"/>
          <w:cols w:equalWidth="0" w:num="2">
            <w:col w:w="5960" w:space="220"/>
            <w:col w:w="496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thirteen weeks ended May 2, 2020 and May 4, 2019 has been derived from our unaudited condensed consolidated financial statements included elsewhere in this prospectus. The results of operations for any period are not necessarily indicative of the results to be expected for any future period.</w:t>
      </w:r>
    </w:p>
    <w:p>
      <w:pPr>
        <w:spacing w:after="0" w:line="17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8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Pr>
          <w:p>
            <w:pPr>
              <w:spacing w:after="0"/>
              <w:rPr>
                <w:sz w:val="10"/>
                <w:szCs w:val="10"/>
                <w:color w:val="auto"/>
              </w:rPr>
            </w:pPr>
          </w:p>
        </w:tc>
        <w:tc>
          <w:tcPr>
            <w:tcW w:w="10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108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40" w:type="dxa"/>
            <w:vAlign w:val="bottom"/>
          </w:tcPr>
          <w:p>
            <w:pPr>
              <w:spacing w:after="0"/>
              <w:rPr>
                <w:sz w:val="10"/>
                <w:szCs w:val="10"/>
                <w:color w:val="auto"/>
              </w:rPr>
            </w:pPr>
          </w:p>
        </w:tc>
        <w:tc>
          <w:tcPr>
            <w:tcW w:w="780" w:type="dxa"/>
            <w:vAlign w:val="bottom"/>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3"/>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4,829,897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4,783,893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4,835,582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4,738,474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4,646,686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1,136,301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1,076,792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3,398,743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3,415,941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3,436,618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3,419,784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3,299,972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838,356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763,796</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1,398,964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1,318,690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297,945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1,251,733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1,239,002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1,241,643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1,171,411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283,923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301,602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24,522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retirement of debt, net</w:t>
            </w:r>
            <w:r>
              <w:rPr>
                <w:rFonts w:ascii="Times New Roman" w:cs="Times New Roman" w:eastAsia="Times New Roman" w:hAnsi="Times New Roman"/>
                <w:sz w:val="15"/>
                <w:szCs w:val="15"/>
                <w:color w:val="auto"/>
              </w:rPr>
              <w:t>(2)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(42,265)</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55,498</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1,099,749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1,134,156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1,223,486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1,090,899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1,028,032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1,012,680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1,216,588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538,795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605,083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491,126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344,511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1,039,439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547,478</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4,331,321</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3,238,957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3,323,046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3,258,354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3,257,275</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4,772,325</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4,400,423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1,462,658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1,625,060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1,675,356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1,681,264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1,699,360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1,958,757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1,600,853</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988,219</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857,039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832,687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756,262</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689,106</w:t>
            </w: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977,571</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885,150</w:t>
            </w:r>
          </w:p>
        </w:tc>
        <w:tc>
          <w:tcPr>
            <w:tcW w:w="0" w:type="dxa"/>
            <w:vAlign w:val="bottom"/>
          </w:tcPr>
          <w:p>
            <w:pPr>
              <w:spacing w:after="0"/>
              <w:rPr>
                <w:sz w:val="1"/>
                <w:szCs w:val="1"/>
                <w:color w:val="auto"/>
              </w:rPr>
            </w:pPr>
          </w:p>
        </w:tc>
      </w:tr>
      <w:tr>
        <w:trPr>
          <w:trHeight w:val="346"/>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99"/>
              </w:rPr>
              <w:t>62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10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 w:type="dxa"/>
            <w:vAlign w:val="bottom"/>
          </w:tcPr>
          <w:p>
            <w:pPr>
              <w:spacing w:after="0"/>
              <w:rPr>
                <w:sz w:val="10"/>
                <w:szCs w:val="10"/>
                <w:color w:val="auto"/>
              </w:rPr>
            </w:pPr>
          </w:p>
        </w:tc>
        <w:tc>
          <w:tcPr>
            <w:tcW w:w="56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3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13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263,669</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198,481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83,355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249,376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90,756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(34,603)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(66,783)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(115,901)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(153,215)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(118,096)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(15,883)</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(123,192)</w:t>
            </w: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(287,052)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5"/>
              </w:rPr>
              <w:t>495,400</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16,219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62,818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11,895</w:t>
            </w: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increase (decrease)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square feet at end of period (in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and 2017, we repurchased principal on our Term Loan Facility, which was trading at a discount and recognized a gain, net of the write-off of related deferred loan costs. In 2019, we repurchased a total of $147.7 million of principal for $104.6 million in open market transactions and recognized a related net gain of $42.3 million. In 2017, we repurchased $26.2 million of principal for $19.7 million in open market transactions and recognized a related net gain of $6.3 million. In 2015, we entered into the 2015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Times New Roman" w:cs="Times New Roman" w:eastAsia="Times New Roman" w:hAnsi="Times New Roman"/>
          <w:sz w:val="18"/>
          <w:szCs w:val="18"/>
          <w:color w:val="auto"/>
        </w:rPr>
      </w:pPr>
    </w:p>
    <w:p>
      <w:pPr>
        <w:ind w:left="540" w:right="28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analyzes the financial condition and results of operations of New Academy Holding Company, LLC and its subsidiaries and should be read in conjunction with our consolidated financial statements and related notes included elsewhere in this prospectus. The historical consolidated financial data of Academy Sports and Outdoors, Inc. is not discussed below, as Academy Sports and Outdoors, Inc. is a newly incorporated entity, has had no business transactions or activities to date other than in connection with its formation and this offering and had no assets or liabilities during the periods presented in this section. Prior to the consummation of this offering, New Academy Holding Company, LLC, the current holding company for the business described in this prospectus, will merge with and into Academy Sports and Outdoors, Inc., and Academy Sports and Outdoors, Inc. will be the surviving entity and will continue as the holding company of the business described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8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Fiscal</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Ended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Weeks</w:t>
            </w:r>
          </w:p>
        </w:tc>
        <w:tc>
          <w:tcPr>
            <w:tcW w:w="0" w:type="dxa"/>
            <w:vAlign w:val="bottom"/>
          </w:tcPr>
          <w:p>
            <w:pPr>
              <w:spacing w:after="0"/>
              <w:rPr>
                <w:sz w:val="1"/>
                <w:szCs w:val="1"/>
                <w:color w:val="auto"/>
              </w:rPr>
            </w:pPr>
          </w:p>
        </w:tc>
      </w:tr>
      <w:tr>
        <w:trPr>
          <w:trHeight w:val="18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5"/>
              </w:rPr>
              <w:t>Year</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2019</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February 1, 2020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2018</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2, 2019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3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3, 2018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Any reference in this discussion and analysis to the “first quarter 2020” or similar reference refers to the thirteen week period ended May 2, 2020, and any reference to the “first quarter 2019” or similar reference refers to the thirteen week period ended May 4,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of May 2, 2020, we operated 259 stores that range in size from approximately 40,000 to 130,000 gross square feet, with an average size of approximately 70,000 gross square feet, throughout 16 contiguous states located primarily in the southern United States. Our stores are supported by approximately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Trends and Other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Overall Economic Trends</w:t>
      </w:r>
      <w:r>
        <w:rPr>
          <w:rFonts w:ascii="Times New Roman" w:cs="Times New Roman" w:eastAsia="Times New Roman" w:hAnsi="Times New Roman"/>
          <w:sz w:val="18"/>
          <w:szCs w:val="18"/>
          <w:color w:val="auto"/>
        </w:rPr>
        <w:t>. All of our sales are generated within the United States, making our results of operations highly dependent on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Consumer Preferences and Demands. </w:t>
      </w:r>
      <w:r>
        <w:rPr>
          <w:rFonts w:ascii="Times New Roman" w:cs="Times New Roman" w:eastAsia="Times New Roman" w:hAnsi="Times New Roman"/>
          <w:sz w:val="18"/>
          <w:szCs w:val="18"/>
          <w:color w:val="auto"/>
        </w:rPr>
        <w:t>The level of success we achieve is dependent on, among other factors, how accurately and timely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8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Strategic Inventory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must maintain sufficient inventory levels of merchandise that our customers desire to successfully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at lower prices. Much of our margin expansion from 2017 through 2019 can be attributed to our improvements in inventory management. We have deployed several new tools over recent years to improve inventory handling and vendor management, including third party programs to analyze our inventory stock and execute a disciplined markdown strategy throughout the year at every location. This implementation has allowed us to improve our inventory management in stores, increasing our average inventory turns from 2.68x in 2017 to 2.84x in 2019,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Value Strategy</w:t>
      </w:r>
      <w:r>
        <w:rPr>
          <w:rFonts w:ascii="Times New Roman" w:cs="Times New Roman" w:eastAsia="Times New Roman" w:hAnsi="Times New Roman"/>
          <w:sz w:val="18"/>
          <w:szCs w:val="18"/>
          <w:color w:val="auto"/>
        </w:rPr>
        <w:t>. We offer a broad assortment of products at competitive prices that offer extraordinary value. Our in-store experience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BOPIS. </w:t>
      </w:r>
      <w:r>
        <w:rPr>
          <w:rFonts w:ascii="Times New Roman" w:cs="Times New Roman" w:eastAsia="Times New Roman" w:hAnsi="Times New Roman"/>
          <w:sz w:val="18"/>
          <w:szCs w:val="18"/>
          <w:color w:val="auto"/>
        </w:rPr>
        <w:t>We expect that the expansion and enhancement of our omnichannel capabilities will be a key driver of growth in our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gross margin. We continue to invest in initiatives that will increase traffic to our e-commerce website, which reached over 217 million visits in 2019, and drive increased online sales conversion. Our improved website also supports our stores with digital marketing and our BOPIS program. Since we launched our BOPIS program in 2019, we have seen significant penetration in e-commerce that generates high average order value and incremental in-store purchases. In 2019 and the thirteen weeks ended May 2, 2020, BOPIS accounted for 24% and 48%, respectively, of our e-commerce sales and 1% and 6%, respectively, of total net sales for such periods. Our website also has allowed us to reach customers outside of our current store footprint and is also introducing new customers to the Academy brand, with approximately 30% of our first quarter 2020 e-commerce sales coming from new households. Our website is also a platform for marketing and product education, allowing us to connect further with our customers. We believe it is important that we continue to grow our omnichannel capabilities, especially in light of changing customer preferences as a result of the COVID-19 pandemic. Since 2011, we have made a $225 million investment in our omnichannel and information technology capabilities. We expect that expanding and enhancing these capabilities, including BOPIS, will continue to require significant investments by us.</w:t>
      </w:r>
    </w:p>
    <w:p>
      <w:pPr>
        <w:spacing w:after="0" w:line="18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U.S. sporting goods and outdoor recreation retail industries are highly competitive and fragmented. We compete with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83"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Sourcing and Supply Chain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to be successful, our suppliers must provide us with quality products in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in compliance with regulatory requirements, at acceptable costs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We depend on approximately 1,300 suppliers to supply us in a timely and efficient manner with the merchandise we purchase for resale.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New Store Openings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new stores will be a key driver of growth in our net sales and gross margin in the future. Our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have been and will continue to be materially affected by the timing and number of new store openings.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12 months of opening a store. We have significant whitespace in both our core markets and green field markets.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87"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Interim Results and Seasonality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 subject to seasonal fluctuations. A significant portion of our net sales and profits is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53rd Week</w:t>
      </w:r>
      <w:r>
        <w:rPr>
          <w:rFonts w:ascii="Times New Roman" w:cs="Times New Roman" w:eastAsia="Times New Roman" w:hAnsi="Times New Roman"/>
          <w:sz w:val="18"/>
          <w:szCs w:val="18"/>
          <w:color w:val="auto"/>
        </w:rPr>
        <w:t>. We operate on the retail industry’s 4-5-4 calendar. The 4-5-4 calendar is a guide for retailers that ensures sales comparability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outbreak of COVID-19, which has been declared a global pandemic by the World Health Organization, has affected our business, as well as our customers, team members and suppliers, and resulted in federal, state and local governmental authority safety recommendations and requirements aimed at mitigating the spread of the virus, such as stay-at-home orders, prohibitions of large group gatherings, travel restrictions and closures of certain businesses.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and have worked with our business partners to modify vendor and landlord payments and terms. Our temporary furlough period ended by June 8, 2020 for all of our store, distribution center and corporate team members, and on June 25, 2020, we completed repaying the $500 million draw on the ABL Facility. All three of our distribution centers remained open during the thirteen weeks ended May 2, 2020 and as of May 2, 2020, 257 of our 259 stores were fully operational.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impact of the pandemic and actions taken in response to it had varying effects on our results of operations and our business was extremely unpredictable during the thirteen weeks ended May 2,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At the same time, we experienced decreased sales of certain of our offerings, primarily for apparel and footwear, and have had to cancel certain of our purchase orders for these products.</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have also seen a significant increase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customers purchasing our products through omnichannel platforms, specifically as customers increasingly take advantage of our curbside pickup service, which we launched during the thirteen weeks ended May 2, 2020.</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actions by government authorities to contain the outbreak or treat its impact, and changes in consumer behavior resulting from the outbreak and such government actions. See “Risk Factors—Risks Related to Our Business—The impact of COVID-19 may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7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Comparable Store Sales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define comparable store sales as the percentage of period-over-period net sales increase or decrease for stores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thirteen full fiscal months and e-commerce sales.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Increases or decreases in e-commerce between periods being compared directly impact the comparable store sales results. We calculate adjusted comparable store sales by excluding from comparable store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store sales to comparable store sales.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store sales is a non-GAAP financial measure. We use adjusted comparable store sales as the basis for key operating decisions, such as allocation of receipts and inventory to particular categories. We believe that adjusted comparable store sales assists investors and analysts in comparing our operating performance across reporting periods on a consistent basis by excluding items that we do not believe are indicative of our ongoing operating performance.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Various factors affect comparable store sales and adjusted comparable store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83"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Adjusted EBITDA, Adjusted Net Income (Loss), Pro Forma Adjusted Net Income (Loss) and Free Cash Flow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EBITDA, Adjusted Net Income (Loss), Pro Forma Adjusted Net Income (Loss) and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E-commerce Penetration. </w:t>
      </w:r>
      <w:r>
        <w:rPr>
          <w:rFonts w:ascii="Times New Roman" w:cs="Times New Roman" w:eastAsia="Times New Roman" w:hAnsi="Times New Roman"/>
          <w:sz w:val="18"/>
          <w:szCs w:val="18"/>
          <w:color w:val="auto"/>
        </w:rPr>
        <w:t>E-commerce penetration is defined as total e-commerce merchandise sales (which includes BOPIS)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merchandise sales.</w:t>
      </w:r>
    </w:p>
    <w:p>
      <w:pPr>
        <w:spacing w:after="0" w:line="15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financial and operating metrics (with nearest GAAP measures where applicable)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except percentages</w:t>
            </w: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Adjusted comparable store sales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21,442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58,501</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(10,020)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322,814</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300,259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315,420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53,257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101,469</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57,774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74,472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Net Income (Loss)</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75,927</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43,125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55,538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263,669</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198,481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83,355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90,756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(34,603)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196,886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99,454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(32,546)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80,830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(50,486)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penetration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profitability is primarily influenced by fluctuations in net sales, gross margin and our ability to leverage selling, general and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store sales increases or decreases,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7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general and administrative, or SG&amp;A, expenses include store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public company.</w:t>
      </w:r>
    </w:p>
    <w:p>
      <w:pPr>
        <w:spacing w:after="0" w:line="13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Academy Holding Company, LLC is currently treated as a flow through entity for U.S. federal income tax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no federal income tax expense has been recorded in our consolidated statements of income. Our tax rate is almost entirely the result of state income taxes. After consummation of this offering, Academy Sports and Outdoors, Inc. will become subject to U.S. federal income taxes and we will be taxed at the prevailing corporate tax rates. We will be treated as a U.S. corporation for U.S. federal, state, and local income tax purposes after this offering and accordingly, a provision for income taxes will be recorded for the anticipated tax consequences of our reported results of operations for federal, state and local income taxes.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2, 2020 Compared to Thirteen Weeks Ended May 4, 2019</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2019</w:t>
            </w: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r>
      <w:tr>
        <w:trPr>
          <w:trHeight w:val="209"/>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1,136,301</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1,076,792</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$ 59,509</w:t>
            </w:r>
          </w:p>
        </w:tc>
        <w:tc>
          <w:tcPr>
            <w:tcW w:w="3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838,356</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763,796</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70.9%</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74,560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297,945</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312,996</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29.1%</w:t>
            </w:r>
          </w:p>
        </w:tc>
        <w:tc>
          <w:tcPr>
            <w:tcW w:w="11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(15,051)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283,923</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301,602</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28.0%</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(17,679)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14,022</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11,394</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24,522</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27,037</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(2,515)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(41,138)</w:t>
            </w:r>
          </w:p>
        </w:tc>
        <w:tc>
          <w:tcPr>
            <w:tcW w:w="7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41,138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(441)</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(9,507)</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25,936</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(35,443)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513</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530</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(10,020)</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25,406</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right w:val="single" w:sz="8" w:color="CCEEFF"/>
            </w:tcBorders>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(35,426)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50"/>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Percentages in table may not sum properly due to rounding.</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2"/>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5"/>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2, 2020</w:t>
            </w:r>
          </w:p>
        </w:tc>
        <w:tc>
          <w:tcPr>
            <w:tcW w:w="40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68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259</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259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Relocated stores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75" w:lineRule="exact"/>
        <w:rPr>
          <w:sz w:val="20"/>
          <w:szCs w:val="20"/>
          <w:color w:val="auto"/>
        </w:rPr>
      </w:pPr>
    </w:p>
    <w:p>
      <w:pPr>
        <w:jc w:val="both"/>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$59.5 million, or 5.5%, in the first quarter 2020 over the prior year first quarter due to an increase in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 sales of 3.1%, as well as additional net sales generated by new locations. As of the end of the first quarter 2020, we operated a net six additional stores as compared to the end of the first quarter 2019 and we had the full benefit of one store opened during the prior year quarter. Collectively, these stores accounted for an increase of $22.9 million in net sales for the first quarter 2020.</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increase in comparable store sales resulted from favorable results in the outdoors and sports and recreation merchandise divisions, which were partially offset by negative results in apparel and footwear. The outdoors division increase was driven primarily by strong firearms and ammunition sales. The sports and recreation division sales increased as a result of various products, such as fitness equipment, bicycles, watersports, trampolines and playsets. The negative offsets in both apparel and footwear impacted most every product type within these categories. Generally, we believe the first quarter 2020 sales trends were driven by a change in demand from our customers due to personal safety concerns and stay-at-home orders as a result of the COVID-19 pandemic.</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E-commerce net sales increased $118.4 million, or 405.5%, in the first quarter 2020 compared to the prior year first quarter and represented 13.1% of merchandise sales for the first quarter 2020 compared to 2.8% in the prior year. This increase was driven by a change in consumer shopping preferences and sales restrictions resulting from the COVID-19 pandemic. Additionally, enhancements to our e-commerce platform, including the introduction of BOPIS at the end of the second quarter 2019 and rapid development of curbside fulfillment to further support BOPIS in the first quarter 2020, contributed to the increase in e-commerce sales.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decreased $15.1 million, or 4.8%, to $297.9 million in the first quarter 2020 from $313.0 million in the first quarter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As a percentage of net sales, gross margin decreased 2.9% from 29.1% in the first quarter 2019 to 26.2% in the first quarter 2020. The decrease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290 basis points in gross margin is primarily attributable to:</w:t>
      </w:r>
    </w:p>
    <w:p>
      <w:pPr>
        <w:spacing w:after="0" w:line="112"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 basis points of unfavorability in merchandise margins from lower margin goods driving the increased sales;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basis points of unfavorability related to import freight as a result of increased duties on products sold.</w:t>
      </w:r>
    </w:p>
    <w:p>
      <w:pPr>
        <w:spacing w:after="0" w:line="2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$17.7 million, or 5.9%, to $283.9 million in the first quarter 2020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$301.6 million in the first quarter 2019. As a percentage of net sales, SG&amp;A expenses were down 3.0% to 25.0% in the first quarter 2020 compared to 28.0% in the first quarter 2019. The decrease of 300 basis points in SG&amp;A is primarily attributable to:</w:t>
      </w:r>
    </w:p>
    <w:p>
      <w:pPr>
        <w:spacing w:after="0" w:line="80"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basis point decrease in wages as a result of temporary salary cuts and furloughs during the first quarter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basis point decrease in advertising;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decrease in professional fees related to a prior year strategic initiative;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declines as a result of leveraging SG&amp;A costs on increased sales.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$2.5 million, or 9.3%, in the first quarter 2020 when compared with the first quarter 2019,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result of a lower outstanding balance on our Term Loan Facility from prior year principal repurchases of $147.7 million and lower interest rates partially offset by higher interest on our ABL Facility due to a higher average outstanding balance.</w:t>
      </w:r>
    </w:p>
    <w:p>
      <w:pPr>
        <w:spacing w:after="0" w:line="17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In addition to the factors discussed above, net income decreased $35.4 million, or 139.4%, in the first quarter 2020 compared to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2019 primarily because of the $41.1 million gain on early retirement of debt that was recognized in the first quarter 2019.</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(52 weeks) Compared to 2018 (52 weeks)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4,829,897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4,783,893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$ 46,004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3,398,743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3,415,941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1,431,154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1,367,952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1,251,733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1,239,002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128,950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101,307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(42,265)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$ 98,601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Borders>
              <w:top w:val="single" w:sz="8" w:color="auto"/>
            </w:tcBorders>
            <w:gridSpan w:val="6"/>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$46.0 million, or 1.0%, in 2019 over the prior year. The 1.0% increase was driven primarily by additional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new locations, partially offset by a decline in comparable store sales of 0.7%. As of the end of 2019, we operated a net six additional stores compared to the end of 2018, and we had the full benefit of nine stores opened during the prior year. These stores generated sales of $84.8 million, or 1.8% of net sales.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0.7% comparable store sales decline was primarily driven by lower sales from the sports and recreation and outdoors divisions. Declines in each category within the sports and recreation division, which includes team sports/fitness and recreation, were partially driven by planned exits in product types (such as certain outdoor games and electronics) that did not fit within our future assortment strategies during 2019. The outdoors division decreased as a result of declines from camping and cooking sales during 2019, as well as lower demand for firearms and ammunition during the first and second quarter 2019. These decreases were largely offset by increases in apparel and footwear. The apparel merchandise division increased as a result of positive comparable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store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store sales increased, which was the result of an increase in the work and casual footwear category, partially offset by a decrease in athletic footwear.</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2019 increased $63.2 million, or 4.6%, when compared to 2018.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29.6% in 2019 compared to 28.6% in 2018, an increase of 100 basis points. This increase is primarily due to:</w:t>
      </w:r>
    </w:p>
    <w:p>
      <w:pPr>
        <w:spacing w:after="0" w:line="64"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basis points of favorability on merchandise margins from favorability in inventory valuation adjustments relative to the prior year;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increased $12.7 million, or 1.0%, to $1,251.7 million in 2019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$1,239.0 million in 2018. As a percentage of net sales, SG&amp;A remained flat at 25.9% in 2019 compared to 2018. The notable changes within SG&amp;A were as follows:</w:t>
      </w:r>
    </w:p>
    <w:p>
      <w:pPr>
        <w:spacing w:after="0" w:line="80" w:lineRule="exact"/>
        <w:rPr>
          <w:sz w:val="20"/>
          <w:szCs w:val="20"/>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$7.3 million, or 6.8%, to $101.3 million in 2019 from $108.7 million in 2018, resulting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lower outstanding balance on our Term Loan Facility due to the principal repurchases of $147.7 million during 2019.</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(52 weeks) Compared to 2017 (53 weeks)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When a 52-week fiscal year follows a 53-week fiscal year, the comparable store sales calculation is based on the prior fiscal year’s sales shifted forward one week, as we believe this best approximates current trends in our business.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160" w:type="dxa"/>
            <w:vAlign w:val="bottom"/>
          </w:tcPr>
          <w:p>
            <w:pPr>
              <w:spacing w:after="0"/>
              <w:rPr>
                <w:sz w:val="13"/>
                <w:szCs w:val="13"/>
                <w:color w:val="auto"/>
              </w:rPr>
            </w:pPr>
          </w:p>
        </w:tc>
        <w:tc>
          <w:tcPr>
            <w:tcW w:w="20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color w:val="auto"/>
                <w:w w:val="98"/>
              </w:rPr>
              <w:t>Basis</w:t>
            </w:r>
          </w:p>
        </w:tc>
        <w:tc>
          <w:tcPr>
            <w:tcW w:w="30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Current Year</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Prior Year Comparable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Comparable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06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Comparable Period</w:t>
            </w:r>
          </w:p>
        </w:tc>
        <w:tc>
          <w:tcPr>
            <w:tcW w:w="304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Store Sales</w:t>
            </w:r>
          </w:p>
        </w:tc>
        <w:tc>
          <w:tcPr>
            <w:tcW w:w="0" w:type="dxa"/>
            <w:vAlign w:val="bottom"/>
          </w:tcPr>
          <w:p>
            <w:pPr>
              <w:spacing w:after="0"/>
              <w:rPr>
                <w:sz w:val="1"/>
                <w:szCs w:val="1"/>
                <w:color w:val="auto"/>
              </w:rPr>
            </w:pPr>
          </w:p>
        </w:tc>
      </w:tr>
      <w:tr>
        <w:trPr>
          <w:trHeight w:val="185"/>
        </w:trPr>
        <w:tc>
          <w:tcPr>
            <w:tcW w:w="7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1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Comparable</w:t>
            </w:r>
          </w:p>
        </w:tc>
        <w:tc>
          <w:tcPr>
            <w:tcW w:w="9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store sales</w:t>
            </w:r>
          </w:p>
        </w:tc>
        <w:tc>
          <w:tcPr>
            <w:tcW w:w="30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rPr>
              <w:t>February 2, 2019</w:t>
            </w:r>
          </w:p>
        </w:tc>
        <w:tc>
          <w:tcPr>
            <w:tcW w:w="304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8"/>
              </w:rPr>
              <w:t>February 3, 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Pr>
          <w:p>
            <w:pPr>
              <w:spacing w:after="0"/>
              <w:rPr>
                <w:sz w:val="17"/>
                <w:szCs w:val="17"/>
                <w:color w:val="auto"/>
              </w:rPr>
            </w:pPr>
          </w:p>
        </w:tc>
        <w:tc>
          <w:tcPr>
            <w:tcW w:w="2080" w:type="dxa"/>
            <w:vAlign w:val="bottom"/>
            <w:gridSpan w:val="2"/>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9"/>
              </w:rPr>
              <w:t>Comparable</w:t>
            </w:r>
          </w:p>
        </w:tc>
        <w:tc>
          <w:tcPr>
            <w:tcW w:w="306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304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rPr>
              <w:t>Fifty-two weeks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store sales</w:t>
            </w:r>
          </w:p>
        </w:tc>
        <w:tc>
          <w:tcPr>
            <w:tcW w:w="30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January 27, 2018</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January 28, 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4,783,893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4,835,582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$(51,689)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3,436,618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1,398,964</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1,241,643</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157,321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108,652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104,857</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Borders>
              <w:top w:val="single" w:sz="8" w:color="auto"/>
            </w:tcBorders>
            <w:gridSpan w:val="6"/>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$51.7 million, or 1.1%, in 2018 over the prior year. The 1.1% decrease was driven primarily by a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store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disclosure has been updated to reflect the new merchandise division category and product reclassification completed in 2019. See “Business.”</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2.5% comparable store sales decline in 2018 was primarily driven by decreases in the sports and recreation and outdoors divisions. The outdoors division experienced a decline in 2018 from the market saturation of specialized drinkware and related coolers, as well as market softness in firearms and ammunition. Also contributing to the decline in the outdoors division in 2018 was our planned assortment reduction in the camping category. The decline in the sports and recreation division in 2018 was caused by declines in both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team sports/fitness and recreation categories. Both the apparel and footwear divisions were relatively flat compared to the prior year. Within the apparel division, licensed apparel decreased as we benefited in the prior year on MLB licensed apparel due to team playoff success within our footprint that was partially offset by an increase in outdoor and seasonal apparel. Within the footwear division, the increase was driven by an increase in work and casual footwear, partially offset by a decrease in athletic footwear.</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2018 decreased $31.0 million, or 2.2%, when compared to 2017.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28.6% in 2018 compared to 28.9% in 2017, a decrease of 30 basis points. This decrease is primarily due to:</w:t>
      </w:r>
    </w:p>
    <w:p>
      <w:pPr>
        <w:spacing w:after="0" w:line="64" w:lineRule="exact"/>
        <w:rPr>
          <w:sz w:val="20"/>
          <w:szCs w:val="20"/>
          <w:color w:val="auto"/>
        </w:rPr>
      </w:pPr>
    </w:p>
    <w:p>
      <w:pPr>
        <w:ind w:left="1080" w:right="2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on freight due to increased domestic and international freight pricing and duties;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merchandise margins due to increased clearance and promotional activities, coupled with the growth of e-commerce sales;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due to decreased inventory shrinkage.</w:t>
      </w:r>
    </w:p>
    <w:p>
      <w:pPr>
        <w:spacing w:after="0" w:line="22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$2.6 million, or 0.2%, to $1,239.0 million in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$1,241.6 million in 2017. As a percentage of net sales, SG&amp;A was 25.9% in 2018 compared to 25.7% in 2017. SG&amp;A as a percentage of net sales increased 20 basis points primarily driven by:</w:t>
      </w:r>
    </w:p>
    <w:p>
      <w:pPr>
        <w:spacing w:after="0" w:line="80" w:lineRule="exact"/>
        <w:rPr>
          <w:sz w:val="20"/>
          <w:szCs w:val="20"/>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 decrease in professional fees related to our 2017 profitability and growth initiatives.</w:t>
      </w:r>
    </w:p>
    <w:p>
      <w:pPr>
        <w:spacing w:after="0" w:line="221"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increased $3.8 million, or 3.6%, to $108.7 million in 2018 from $104.9 million in 2017, resulting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rising interest rates on our Term Loan Facility, which was partially offset by more favorable positions on our interest rate swaps relative to 2017.</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comparable store sales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calculate adjusted comparable store sales by excluding from comparable store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store sales is a non-GAAP financial measure. We use adjusted comparable store sales as the basis for key operating decisions, such as allocation of receipts and inventory to particular categories. We believe that adjusted comparable store sales assists investors and analysts in comparing our operating performance across reporting periods on a consistent basis by excluding items that we do not believe are indicative of our ongoing operating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provides a reconciliation of our comparable store sales to our adjusted comparable store sales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 except percentages</w:t>
            </w: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80" w:type="dxa"/>
            <w:vAlign w:val="bottom"/>
          </w:tcPr>
          <w:p>
            <w:pPr>
              <w:spacing w:after="0"/>
              <w:rPr>
                <w:sz w:val="10"/>
                <w:szCs w:val="10"/>
                <w:color w:val="auto"/>
              </w:rPr>
            </w:pPr>
          </w:p>
        </w:tc>
        <w:tc>
          <w:tcPr>
            <w:tcW w:w="1480" w:type="dxa"/>
            <w:vAlign w:val="bottom"/>
            <w:gridSpan w:val="2"/>
          </w:tcPr>
          <w:p>
            <w:pPr>
              <w:jc w:val="center"/>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76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May 2, 2020</w:t>
            </w:r>
          </w:p>
        </w:tc>
        <w:tc>
          <w:tcPr>
            <w:tcW w:w="72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sales associated with Houston Astros</w:t>
            </w: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Series appearances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0.7%</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(0.8)%</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sales of a product driven by free</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shipping promotion</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Sales from the exited product categories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comparable store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Adjusted Net Income (Loss), Pro Forma Adjusted Net Income (Loss) and Free Cash Flow</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Free Cash Flow as net cash provided by (used in) operating activities less net cash used in investing activities. We describe these adjustments reconciling net cash provided by operating activities to Free Cash Flow in the applicable table below.</w:t>
      </w:r>
    </w:p>
    <w:p>
      <w:pPr>
        <w:spacing w:after="0" w:line="18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Adjusted EBITDA, Adjusted Net Income (Loss), Pro Forma Adjusted Net Income (Loss) and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Free Cash Flow is a useful measure of liquidity and an additional basis for assessing our ability to generate cash. Management uses Adjusted EBITDA, Adjusted Net Income (Loss), Pro Forma Adjusted Net Income (Loss) and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Free Cash Flow are not recognized terms under GAAP and should not be considered as an alternative to net income (loss) as a measure of financial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Free Cash Flow, you should be aware that in the future we may incur expenses that are the same as or similar to some of the adjustments in this presentation. Our presentation of Adjusted EBITDA, Adjusted Net Income (Loss), Pro Forma Adjusted Net Income (Loss) and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Free Cash Flow supplementally.</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 Free Cash Flow does not reflect the cash requirements necessary to service principal payments on our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Free Cash Flow do not reflect cash requirements for such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Free Cash Flow should not be considered as measures of discretionary cash available to invest in business growth or to reduce indebtedness.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4"/>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97"/>
              </w:rPr>
              <w:t>52 weeks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$ 120,043</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58,501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$(10,020)</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$ 25,406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101,307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27,037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131,816</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133,281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29,784</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3,636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7,881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(41,138)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1,454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7,086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$ 322,814</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300,259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$ 315,420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$ 53,257</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$ 49,589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4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3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$ 120,043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58,501</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$(10,020)</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$ 25,406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60" w:type="dxa"/>
            <w:vAlign w:val="bottom"/>
            <w:tcBorders>
              <w:right w:val="single" w:sz="8" w:color="CCEEFF"/>
            </w:tcBorders>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(41,138)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$ 101,469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57,774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74,472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Adjusted Net Income (Loss)</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75,927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55,538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540" w:right="28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40" w:hanging="424"/>
        <w:spacing w:after="0" w:line="257"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540" w:right="18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income tax purposes, and thus no federal income tax expense has been recorded in our consolidated statements of income. After consummation of this offering, we will become subject to U.S. federal income taxes and be taxed at the prevailing corporate rates. Our actual federal tax rate, and our actual income tax liability, after this offering may be different from our assumed rate, and such difference may be material.</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net cash provided by operating activities to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60" w:type="dxa"/>
            <w:vAlign w:val="bottom"/>
            <w:gridSpan w:val="2"/>
          </w:tcPr>
          <w:p>
            <w:pPr>
              <w:jc w:val="center"/>
              <w:ind w:left="145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5"/>
                <w:szCs w:val="15"/>
                <w:color w:val="auto"/>
              </w:rPr>
            </w:pP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13 weeks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$ 263,669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198,481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83,355</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$90,756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(99,027)</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(115,901)</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(9,926)</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(15,883)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$ 196,886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99,454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(32,546)</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80,830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(50,486)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40" w:type="dxa"/>
            <w:vAlign w:val="bottom"/>
            <w:vMerge w:val="restart"/>
          </w:tcPr>
          <w:p>
            <w:pPr>
              <w:jc w:val="right"/>
              <w:ind w:right="475"/>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Pr>
          <w:p>
            <w:pPr>
              <w:jc w:val="center"/>
              <w:ind w:right="17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sales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Selling, general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5715</wp:posOffset>
            </wp:positionV>
            <wp:extent cx="274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5715</wp:posOffset>
            </wp:positionV>
            <wp:extent cx="47834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Gain on early retirement of debt,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5715</wp:posOffset>
            </wp:positionV>
            <wp:extent cx="274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5715</wp:posOffset>
            </wp:positionV>
            <wp:extent cx="47834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Comparable store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comparable store sales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420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4203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Net Income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 Forma Adjusted Net Income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Free Cash Flow</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reconciliation of comparable store sales to adjusted comparable store sales for the periods presented:</w:t>
      </w:r>
    </w:p>
    <w:p>
      <w:pPr>
        <w:spacing w:after="0" w:line="24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2780" w:type="dxa"/>
        <w:tblCellMar>
          <w:top w:w="0" w:type="dxa"/>
          <w:left w:w="0" w:type="dxa"/>
          <w:bottom w:w="0" w:type="dxa"/>
          <w:right w:w="0" w:type="dxa"/>
        </w:tblCellMar>
      </w:tblPr>
      <w:tr>
        <w:trPr>
          <w:trHeight w:val="117"/>
        </w:trPr>
        <w:tc>
          <w:tcPr>
            <w:tcW w:w="600" w:type="dxa"/>
            <w:vAlign w:val="bottom"/>
            <w:tcBorders>
              <w:top w:val="single" w:sz="8" w:color="auto"/>
            </w:tcBorders>
          </w:tcPr>
          <w:p>
            <w:pPr>
              <w:jc w:val="center"/>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Borders>
              <w:top w:val="single" w:sz="8" w:color="auto"/>
            </w:tcBorders>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r>
      <w:tr>
        <w:trPr>
          <w:trHeight w:val="175"/>
        </w:trPr>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Comparable stores sales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sales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Houston Astros World Series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appearances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Additional sales of a product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driven by free shipping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promotion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from the exited product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comparable store sales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amortization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Consulting fees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Adviser monitoring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Gain on early extinguishment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Severance and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transition costs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related to the COVID-19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548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Inventory write-down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adjustments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strategic merchandising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initiative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Adviser monitoring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Gain on early extinguishment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debt, net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Severance and executive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Costs related to the COVID-19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pandemic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Inventory write-down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adjustments associated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strategic merchandising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effects of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Adjusted Net Income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tax effect of change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C-Corporation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Pro Forma Adjusted Net Income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(Loss)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Free Cash Flow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jc w:val="center"/>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20" w:type="dxa"/>
            <w:vAlign w:val="bottom"/>
          </w:tcPr>
          <w:p>
            <w:pPr>
              <w:jc w:val="center"/>
              <w:ind w:left="91"/>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cash used in investing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Free Cash Flow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generated from operating activities and borrowings under our Term Loan Facility and ABL Facility. Our historical uses of cash have been primarily to fund operating activities, such as the purchase and growth of inventory, expansion of our sales and marketing activities and other working capital needs; for capital improvements and support of expansion plans, as well as various investments in store renovations, store fixtures and on-going infrastructure improvements; to pay our debt obligations and related interest expense; and associated with fluctuations in working capital due to timing differences of cash receipts and cash disbursements.</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focused on navigating the challenges presented by COVID-19 through the preservation of our liquidity and management of cash flow through preemptive actions to enhance our ability to meet our short-term liquidity needs. We have taken various cost cutting measures to maximize operational cash flows. Such actions include, but are not limited to, reduction of discretionary spending, deferring or cancelling our planned expenses, revisiting and reprioritizing our strategic investments, and reducing our payroll costs, including temporary team member furloughs and pay cuts. Additionally, in March 2020, the Company drew down $500 million on the ABL Facility as a precautionary measure to ensure financial flexibility and maximize liquidity, which we subsequently repaid in full in June 2020. See “—Impact of COVID-19 on Our Business.”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of May 2, 2020, our cash and cash equivalents totaled $725.6 million. We expect to use existing cash balances, internally generated cash flows and available borrowings under our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letters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first quarter 2020 was ample to support our operations and service our requirements.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Liquidity information related to our ABL Facility is as follows as of and for the periods shown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4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Pr>
          <w:p>
            <w:pPr>
              <w:spacing w:after="0"/>
              <w:rPr>
                <w:sz w:val="10"/>
                <w:szCs w:val="10"/>
                <w:color w:val="auto"/>
              </w:rPr>
            </w:pPr>
          </w:p>
        </w:tc>
      </w:tr>
      <w:tr>
        <w:trPr>
          <w:trHeight w:val="173"/>
        </w:trPr>
        <w:tc>
          <w:tcPr>
            <w:tcW w:w="4720" w:type="dxa"/>
            <w:vAlign w:val="bottom"/>
          </w:tcPr>
          <w:p>
            <w:pPr>
              <w:spacing w:after="0"/>
              <w:rPr>
                <w:sz w:val="15"/>
                <w:szCs w:val="15"/>
                <w:color w:val="auto"/>
              </w:rPr>
            </w:pPr>
          </w:p>
        </w:tc>
        <w:tc>
          <w:tcPr>
            <w:tcW w:w="2400" w:type="dxa"/>
            <w:vAlign w:val="bottom"/>
            <w:gridSpan w:val="2"/>
          </w:tcPr>
          <w:p>
            <w:pPr>
              <w:jc w:val="center"/>
              <w:ind w:left="16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funds drawn</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$232,967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640" w:type="dxa"/>
            <w:vAlign w:val="bottom"/>
            <w:gridSpan w:val="3"/>
            <w:shd w:val="clear" w:color="auto" w:fill="CCEEFF"/>
          </w:tcPr>
          <w:p>
            <w:pPr>
              <w:jc w:val="center"/>
              <w:ind w:left="1395"/>
              <w:spacing w:after="0"/>
              <w:rPr>
                <w:sz w:val="20"/>
                <w:szCs w:val="20"/>
                <w:color w:val="auto"/>
              </w:rPr>
            </w:pPr>
            <w:r>
              <w:rPr>
                <w:rFonts w:ascii="Times New Roman" w:cs="Times New Roman" w:eastAsia="Times New Roman" w:hAnsi="Times New Roman"/>
                <w:sz w:val="18"/>
                <w:szCs w:val="18"/>
                <w:color w:val="auto"/>
              </w:rPr>
              <w:t>$500,000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122,300</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64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$270,152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819,841</w:t>
            </w:r>
          </w:p>
        </w:tc>
      </w:tr>
    </w:tbl>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4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24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Pr>
          <w:p>
            <w:pPr>
              <w:spacing w:after="0"/>
              <w:rPr>
                <w:sz w:val="10"/>
                <w:szCs w:val="10"/>
                <w:color w:val="auto"/>
              </w:rPr>
            </w:pPr>
          </w:p>
        </w:tc>
      </w:tr>
      <w:tr>
        <w:trPr>
          <w:trHeight w:val="173"/>
        </w:trPr>
        <w:tc>
          <w:tcPr>
            <w:tcW w:w="418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122,300</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Issued letters of credit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borrowing capacity</w:t>
            </w:r>
            <w:r>
              <w:rPr>
                <w:rFonts w:ascii="Times New Roman" w:cs="Times New Roman" w:eastAsia="Times New Roman" w:hAnsi="Times New Roman"/>
                <w:sz w:val="15"/>
                <w:szCs w:val="15"/>
                <w:color w:val="auto"/>
              </w:rPr>
              <w:t>(1)</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270,152</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819,841</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85725</wp:posOffset>
            </wp:positionV>
            <wp:extent cx="771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1540" w:right="480" w:hanging="439"/>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COVID-19 pandemic, we drew $500 million under our ABL Facility in March 2020, which we subsequently repaid in full in June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2020 to be approximately $50.0 million. Approximately 70% of our planned cash outflow relate to investments in our corporate, e-commerce and information technology programs. The remaining 30% of the planned cash outflow is for our existing stores and distribution centers. We review forecasted capital expenditures throughout the year and will adjust or modify projects based on business conditions at that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Thirteen Weeks Ended May 2, 2020 and May 4,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unaudited statements of cash flows for the periods shown are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17"/>
        </w:trPr>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(9,926)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(15,883)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495,400</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16,219</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576,230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(34,267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consists primarily of net income adjusted for non-cash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non-cash lease expense, stock based compensation, amortization of deferred loan and other costs, non-cash gain on early retirement of debt, net, and changes in assets and liabilities.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 the first quarter 2020 increased $125.4 million, compared to the first quarter 2019. This increase in cash is attributable to a $110.1 million net increase in cash flows provided by operating assets and liabilities and a $50.7 million increase in non-cash charges, partially offset by a $35.4 million decrease in net income. The increase in cash flows from operating assets and liabilities for the first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quarter 2020 compared to the first quarter 2019 was primarily attributable to a $169.5 million decrease in merchandise inventories, net, related to the first quarter 2020 inventory reduction from high sell-through and reduction of receipts, compared to an increase in inventory during the first quarter 2019, partially offset by a $47.2 million decrease in accounts payable related to a strategic decrease in inventory receipts in the back half of the first quarter 2020 and a $19.5 million decrease in accrued expenses and other current liabilities related to a decrease in accrued wages as a result of temporarily decreased salaries and furloughs. The increase from non-cash charges was primarily caused by a $41.1 million net gain on the early retirement of debt from the repurchase of a portion of the Term Loan Facility during the first quarter 2019 and a $11.9 million increase in non-cash lease expense due to timing of May rent payments.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73"/>
        </w:trPr>
        <w:tc>
          <w:tcPr>
            <w:tcW w:w="6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17"/>
        </w:trPr>
        <w:tc>
          <w:tcPr>
            <w:tcW w:w="6740" w:type="dxa"/>
            <w:vAlign w:val="bottom"/>
          </w:tcPr>
          <w:p>
            <w:pPr>
              <w:spacing w:after="0"/>
              <w:rPr>
                <w:sz w:val="10"/>
                <w:szCs w:val="10"/>
                <w:color w:val="auto"/>
              </w:rPr>
            </w:pPr>
          </w:p>
        </w:tc>
        <w:tc>
          <w:tcPr>
            <w:tcW w:w="56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40" w:type="dxa"/>
            <w:vAlign w:val="bottom"/>
          </w:tcPr>
          <w:p>
            <w:pPr>
              <w:spacing w:after="0"/>
              <w:rPr>
                <w:sz w:val="10"/>
                <w:szCs w:val="10"/>
                <w:color w:val="auto"/>
              </w:rPr>
            </w:pPr>
          </w:p>
        </w:tc>
      </w:tr>
      <w:tr>
        <w:trPr>
          <w:trHeight w:val="173"/>
        </w:trPr>
        <w:tc>
          <w:tcPr>
            <w:tcW w:w="67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5"/>
                <w:szCs w:val="15"/>
                <w:color w:val="auto"/>
              </w:rPr>
            </w:pPr>
          </w:p>
        </w:tc>
        <w:tc>
          <w:tcPr>
            <w:tcW w:w="102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9,926</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$11,895</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$6.0 million in the first quarter 2020 compared to the first quarter 2019. The decrease in cash used in investing activities is primarily due to an issuance of a $4.0 million note receivable to a member in the first quarter 2019 and $2.0 million less capital expenditures due to a planned overall reduction in the first quarter 2020 led by a reduction in new stores and store remodeling.</w:t>
      </w:r>
    </w:p>
    <w:p>
      <w:pPr>
        <w:spacing w:after="0" w:line="17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provided by financing activities increased $479.2 million in the first quarter 2020, compared to the first quarter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primary drivers of the increase were a $377.7 million cash inflow increase related to increased net proceeds from the ABL Facility during the first quarter 2020 and a $101.5 million decrease in cash outflows related to the early retirement of a portion of the Term Loan Facility during the first quarter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2019, 2018 and 2017:</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consolidated statements of cash flows for the periods shown are summarized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r>
      <w:tr>
        <w:trPr>
          <w:trHeight w:val="173"/>
        </w:trPr>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(115,901)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by operating activities for 2019 increased $65.2 million compared to 2018. This increase is attributable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Term Loan Facility in 2019.</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6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3"/>
          </w:tcPr>
          <w:p>
            <w:pPr>
              <w:jc w:val="center"/>
              <w:ind w:left="11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40" w:type="dxa"/>
            <w:vAlign w:val="bottom"/>
            <w:gridSpan w:val="2"/>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3660" w:type="dxa"/>
            <w:vAlign w:val="bottom"/>
          </w:tcPr>
          <w:p>
            <w:pPr>
              <w:spacing w:after="0"/>
              <w:rPr>
                <w:sz w:val="15"/>
                <w:szCs w:val="15"/>
                <w:color w:val="auto"/>
              </w:rPr>
            </w:pPr>
          </w:p>
        </w:tc>
        <w:tc>
          <w:tcPr>
            <w:tcW w:w="29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62,818</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$ 107,905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$ 132,126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$68.4 million in 2019 compared to 2018 primarily due to a $104.6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outflow related to the early retirement of a portion of the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Term Loan Facility of $19.7 million in 2017.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our audited consolidated financial statements included elsewhere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SG&amp;A expenses on the consolidated statements of income. See Note 6</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to our audited consolidated financial statements included elsewhere in this prospectus.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impairment charge is necessary. The income approach uses a discounted cash flow analysis of our projected future income, and the market value approach is based on earnings multiples for a comparable set of public companies.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store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elected the practical expedient available to us under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color w:val="auto"/>
        </w:rPr>
        <w:t xml:space="preserve">retained earnings of approximately $5.1 million.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May 2,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enter into letters of credit in the ordinary course of operating and financing activities. As of May 2, 2020, we had outstanding letters of credit of $17.3 million, of which $15.9 million were issued under our ABL Facility, primarily for insurance and foreign product purchases.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our letters of credit commitments as of May 2, 2020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gridSpan w:val="11"/>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5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1 - 3</w:t>
            </w:r>
          </w:p>
        </w:tc>
        <w:tc>
          <w:tcPr>
            <w:tcW w:w="12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6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7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Commercial Commitments:</w:t>
            </w:r>
          </w:p>
        </w:tc>
        <w:tc>
          <w:tcPr>
            <w:tcW w:w="2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350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rPr>
              <w:t>$  17,332</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$ 7,415</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$9,917</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commercial commitments as of February 1, 2020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16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interest</w:t>
            </w:r>
            <w:r>
              <w:rPr>
                <w:rFonts w:ascii="Times New Roman" w:cs="Times New Roman" w:eastAsia="Times New Roman" w:hAnsi="Times New Roman"/>
                <w:sz w:val="15"/>
                <w:szCs w:val="15"/>
                <w:color w:val="auto"/>
              </w:rPr>
              <w:t>(2)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78,855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196,088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related commitments and other</w:t>
            </w:r>
            <w:r>
              <w:rPr>
                <w:rFonts w:ascii="Times New Roman" w:cs="Times New Roman" w:eastAsia="Times New Roman" w:hAnsi="Times New Roman"/>
                <w:sz w:val="15"/>
                <w:szCs w:val="15"/>
                <w:color w:val="auto"/>
              </w:rPr>
              <w:t>(4)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agreement</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$ 3,650,779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$ 1,951,135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excluding discount and debt issuance costs.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shown are approximated based on projected interest rates and do not give effect to interest rate swaps.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technology related contractual commitments and other commitments such as construction commitments. The amounts included in the table are for executed contracts less amounts paid.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16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our contractual payments under our Monitoring Agreement with the Adviser. See “Certain Relationships and Related Party Transactions—Monitoring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320" w:top="455" w:right="5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MSAs.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approximately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12 months of opening a store.</w:t>
      </w:r>
    </w:p>
    <w:p>
      <w:pPr>
        <w:spacing w:after="0" w:line="19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42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-1373505</wp:posOffset>
            </wp:positionV>
            <wp:extent cx="1937385" cy="2520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201" w:lineRule="exact"/>
        <w:rPr>
          <w:sz w:val="20"/>
          <w:szCs w:val="20"/>
          <w:color w:val="auto"/>
        </w:rPr>
      </w:pPr>
    </w:p>
    <w:p>
      <w:pPr>
        <w:ind w:left="120" w:right="458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which is nearly two times greater than our nearest competitors, average sales per square foot of $264, which is more productive than our nearest competitors, and average EBITDA per store of $1.3 million, which represents a more profitable store than our nearest competitors.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406% during 2019 and the first quarter 2020, respectively. Our e-commerce sales represented 5% and 13% of our merchandise sales in 2019 and the first quarter 2020, respectively. We are deepening our customer relationships, further integrating our e-commerce platform with our stores and driving operating efficiencies by developing our omnichannel capabilities. Our BOPIS program, launched in 2019, accounted for approximately 24% and 48% of our e-commerce sales during 2019 and the first quarter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Academy brand, with approximately 30% of our e-commerce sales during first quarter 2020 coming from new households.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finished the twelve months ended May 2, 2020 with approximately $4.9 billion in sales, $85 million of net income and $326 million in Adjusted EBITDA. First quarter 2020 reflected our third consecutive quarter of positive comparable store sales, Adjusted EBITDA growth and strong Free Cash Flow generation. We earned net income of $21 million, $120 million and $85 million and Pro Forma Adjusted Net Income of $43 million, $76 million and $82 million in 2018, 2019 and the twelve months ended May 2, 2020, respectively. See “Summary—Summary Historical Consolidated Financial and Other Data” for definitions of Adjusted EBITDA, Pro Forma Adjusted Net Income and Free Cash Flow and reconciliations of Adjusted EBITDA and Pro Forma Adjusted Net Income to net income (loss) and Free Cash Flow to net cash provided by operating activities.</w:t>
      </w:r>
    </w:p>
    <w:p>
      <w:pPr>
        <w:spacing w:after="0" w:line="210" w:lineRule="exact"/>
        <w:rPr>
          <w:sz w:val="20"/>
          <w:szCs w:val="20"/>
          <w:color w:val="auto"/>
        </w:rPr>
      </w:pPr>
    </w:p>
    <w:p>
      <w:pPr>
        <w:ind w:left="1240"/>
        <w:spacing w:after="0"/>
        <w:tabs>
          <w:tab w:leader="none" w:pos="4820" w:val="left"/>
          <w:tab w:leader="none" w:pos="828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FCF since 2018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74930</wp:posOffset>
            </wp:positionV>
            <wp:extent cx="1637030" cy="8229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37030" cy="82296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83820</wp:posOffset>
            </wp:positionV>
            <wp:extent cx="1637030" cy="814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703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We have made significant progress on several key performance improvement initiatives that drove positive comparable stores sales and Adjusted EBITDA growth in the last three consecutive quarters ended May 2, 2020, and created a foundation for our future growth. These key initiatives include:</w:t>
      </w:r>
    </w:p>
    <w:p>
      <w:pPr>
        <w:spacing w:after="0" w:line="43" w:lineRule="exact"/>
        <w:rPr>
          <w:sz w:val="20"/>
          <w:szCs w:val="20"/>
          <w:color w:val="auto"/>
        </w:rPr>
      </w:pPr>
    </w:p>
    <w:p>
      <w:pPr>
        <w:ind w:left="1080" w:right="80" w:hanging="424"/>
        <w:spacing w:after="0" w:line="25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crawfish boiler sells well in Louisiana, but not in North Carolina,</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and our fishing assortment sells better in stores with closer proximity to fishing venues. This initiative resulted in an improved customer shopping experience and increased sales.</w:t>
      </w:r>
    </w:p>
    <w:p>
      <w:pPr>
        <w:spacing w:after="0" w:line="65" w:lineRule="exact"/>
        <w:rPr>
          <w:sz w:val="20"/>
          <w:szCs w:val="20"/>
          <w:color w:val="auto"/>
        </w:rPr>
      </w:pPr>
    </w:p>
    <w:p>
      <w:pPr>
        <w:ind w:left="1080" w:right="26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jc w:val="both"/>
        <w:ind w:left="1080" w:right="12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2.96x as of first quarter 2020.</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(40,000 square feet) in Dallas, Texas in 2019. During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this smaller format store experienced approximately 40% higher sales per square foot and 10% higher inventory turns than our average store. We believe this new smaller format store allows us to open new stores in urban and less dense areas.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5" w:right="51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29" w:lineRule="exact"/>
        <w:rPr>
          <w:sz w:val="20"/>
          <w:szCs w:val="20"/>
          <w:color w:val="auto"/>
        </w:rPr>
      </w:pPr>
    </w:p>
    <w:p>
      <w:pPr>
        <w:ind w:left="1080" w:right="60" w:hanging="424"/>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(examples: Walmart, Kohl’s and Target) generally range in size from 50,000 to over 200,000 square feet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offer a broad selection of sporting goods and outdoor recreation merchandise.</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are frequently located in regional malls and shopping centers and typically carry a varied assortment of primarily sporting goods merchandise.</w:t>
      </w:r>
    </w:p>
    <w:p>
      <w:pPr>
        <w:spacing w:after="0" w:line="7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 square feet and typically focus on specific categories such as outdoor recreation.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typically focus on specific categories such as athletic footwear.</w:t>
      </w:r>
    </w:p>
    <w:p>
      <w:pPr>
        <w:spacing w:after="0" w:line="63"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and eBay)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team sports, apparel and footwear, is expected to grow approximately 6% per annum. The rising popularity in loyalty to premium brands, and importance of experience for customers also serve as constructive tailwinds to our business.</w:t>
      </w:r>
    </w:p>
    <w:p>
      <w:pPr>
        <w:spacing w:after="0" w:line="162"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geographic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and the largest regional sporting goods retailer in the southern United States, with 2019 net sales of $4.8 billion. We believe our stores are well positioned geographically, with a strong and growing presence in six of the top 10 fastest-growing MSAs, including Dallas, Houston, Atlanta, Austin, Charlotte and San Antonio. As of May 2, 2020, 29% of our stores are in four of the top five fastest-growing MSAs. This deep penetration of our established markets results in high customer awareness of, and loyalty to, the Academy name and frequent visits to our conveniently located stores. Our stores deliver industry-leading unit sales and profitability economics, including 2019 net sales per store that are nearly two times greater than our nearest competitors.</w:t>
      </w:r>
    </w:p>
    <w:p>
      <w:pPr>
        <w:spacing w:after="0" w:line="18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Yeti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geographical footprint.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weather changes, or to purchase an add-on product that was forgotten on a day trip. We have developed considerable expertise in identifying, stocking and selling a relevant assortment to meet the local needs and demands.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8"/>
          <w:szCs w:val="18"/>
          <w:i w:val="1"/>
          <w:iCs w:val="1"/>
          <w:color w:val="auto"/>
        </w:rPr>
        <w:t xml:space="preserve">Enthusiasts </w:t>
      </w:r>
      <w:r>
        <w:rPr>
          <w:rFonts w:ascii="Times New Roman" w:cs="Times New Roman" w:eastAsia="Times New Roman" w:hAnsi="Times New Roman"/>
          <w:sz w:val="18"/>
          <w:szCs w:val="18"/>
          <w:color w:val="auto"/>
        </w:rPr>
        <w:t>–passionate local experts who are specially recruited and trained for category-specific positions. Our</w:t>
      </w:r>
      <w:r>
        <w:rPr>
          <w:rFonts w:ascii="Times New Roman" w:cs="Times New Roman" w:eastAsia="Times New Roman" w:hAnsi="Times New Roman"/>
          <w:sz w:val="18"/>
          <w:szCs w:val="18"/>
          <w:i w:val="1"/>
          <w:iCs w:val="1"/>
          <w:color w:val="auto"/>
        </w:rPr>
        <w:t xml:space="preserve"> Enthusiasts </w:t>
      </w:r>
      <w:r>
        <w:rPr>
          <w:rFonts w:ascii="Times New Roman" w:cs="Times New Roman" w:eastAsia="Times New Roman" w:hAnsi="Times New Roman"/>
          <w:sz w:val="18"/>
          <w:szCs w:val="18"/>
          <w:color w:val="auto"/>
        </w:rPr>
        <w:t>use the products they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to share experiences and obtain further advice and assistance.</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173990</wp:posOffset>
            </wp:positionV>
            <wp:extent cx="1337310" cy="891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3731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they spend approximately 30% of their wallets at Academy, whereas competitor customers spend approximately 20% of their wallets at our competitors.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5" w:right="5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three consecutive quarters of positive comparable store sales as of the first quarter 2020, Adjusted EBITDA growth to $323 million in 2019, or 8%, compared to 2018, and Free Cash Flow growth of $99 million in 2018 to $197 million in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Free Cash Flow, while limiting net capital expenditures to $63 million. We have reduced our net leverage ratio to 3.8x as of end of first quarter 2020 compared to 5.2x in both 2017 and 2018 and 4.1x in 2019.</w:t>
      </w:r>
    </w:p>
    <w:p>
      <w:pPr>
        <w:spacing w:after="0" w:line="18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Free Cash Flow, store-level profitability and return on invested capital. All but one of our mature stores (stores opened longer than four years) was profitable on a four-wall basis in 2019 and our new stores have average payback periods of four to five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e-commerce sales represented 5% and 13% of our merchandise sales for 2019 and for the first quarter 2020, respectively.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quarter 2020, our omnichannel customers spent 50% more than our store-only customers. Since we launched our BOPIS program in 2019, we have seen significant e-commerce penetration that generates higher average order value and incremental in-store purchases.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quarter 2020 net sales. Our customers are attracted to the Academy Credit Card because of its bank-funded 5% discount on every Academy purchase and free standard shipping on online orders of $15 or more.</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2.96x as of first quarter 2020, and has helped us to identify and exit certain product categories, such as luggage and toys.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While we are the leading sporting goods retailer in the southern United States, 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12 months of opening a store. As of first quarter 2020, 99.6% of our mature stores were profitable.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is approximately 120 stores.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is approximately 90 stores.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is approximately 670 stores.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173990</wp:posOffset>
            </wp:positionV>
            <wp:extent cx="4406265" cy="2288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0626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expect to open eight to 10 new stores per year starting in 2022, which is similar to our growth rates from 2018 through 2019. We have online delivery capabilities in almost every state and will focus on disciplined new store openings. As we reach into new and existing markets, we expect our omnichannel platform to lead the way in our geographic expansion.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carry a wide variety of national brand products such as Nike, Carhartt, adidas, Columbia Sportswear, North Face, Yeti, Winchester, Brooks, Rawlings, Remington, Skechers, Under Armour and many more.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we generally organized our merchandise in four divisions made up of eleven categories as follows:</w:t>
      </w:r>
    </w:p>
    <w:p>
      <w:pPr>
        <w:sectPr>
          <w:pgSz w:w="11900" w:h="16838" w:orient="portrait"/>
          <w:cols w:equalWidth="0" w:num="1">
            <w:col w:w="11140"/>
          </w:cols>
          <w:pgMar w:left="320" w:top="455" w:right="439" w:bottom="1440" w:gutter="0" w:footer="0" w:header="0"/>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Division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Outdoors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91"/>
        </w:trPr>
        <w:tc>
          <w:tcPr>
            <w:tcW w:w="20" w:type="dxa"/>
            <w:vAlign w:val="bottom"/>
          </w:tcPr>
          <w:p>
            <w:pPr>
              <w:spacing w:after="0"/>
              <w:rPr>
                <w:sz w:val="16"/>
                <w:szCs w:val="16"/>
                <w:color w:val="auto"/>
              </w:rPr>
            </w:pPr>
          </w:p>
        </w:tc>
        <w:tc>
          <w:tcPr>
            <w:tcW w:w="2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Camping and cooking</w:t>
            </w:r>
          </w:p>
        </w:tc>
        <w:tc>
          <w:tcPr>
            <w:tcW w:w="1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Outdoor cooking, coolers and drinkware, camping accessories,</w:t>
            </w: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camping equipment, sunglasses, backpacks and sports bags</w:t>
            </w:r>
          </w:p>
        </w:tc>
      </w:tr>
      <w:tr>
        <w:trPr>
          <w:trHeight w:val="32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Fishing</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30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Shooting sports</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Firearms, ammunition, archery and archery equipment, shooting</w:t>
            </w: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 optics, airguns and hunting equipment</w:t>
            </w:r>
          </w:p>
        </w:tc>
      </w:tr>
    </w:tbl>
    <w:p>
      <w:pPr>
        <w:spacing w:after="0" w:line="90" w:lineRule="exact"/>
        <w:rPr>
          <w:sz w:val="20"/>
          <w:szCs w:val="20"/>
          <w:color w:val="auto"/>
        </w:rPr>
      </w:pPr>
    </w:p>
    <w:p>
      <w:pPr>
        <w:sectPr>
          <w:pgSz w:w="11900" w:h="16838" w:orient="portrait"/>
          <w:cols w:equalWidth="0" w:num="2">
            <w:col w:w="3140" w:space="720"/>
            <w:col w:w="72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Sports and Recreation</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Team sports/fitness</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Baseball, football, basketball, soccer, golf, racket sports, volleyball,</w:t>
            </w:r>
          </w:p>
        </w:tc>
      </w:tr>
      <w:tr>
        <w:trPr>
          <w:trHeight w:val="216"/>
        </w:trPr>
        <w:tc>
          <w:tcPr>
            <w:tcW w:w="2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fitness equipment, fitness accessories and nutrition</w:t>
            </w:r>
          </w:p>
        </w:tc>
      </w:tr>
      <w:tr>
        <w:trPr>
          <w:trHeight w:val="216"/>
        </w:trPr>
        <w:tc>
          <w:tcPr>
            <w:tcW w:w="2660" w:type="dxa"/>
            <w:vAlign w:val="bottom"/>
          </w:tcPr>
          <w:p>
            <w:pPr>
              <w:spacing w:after="0"/>
              <w:rPr>
                <w:sz w:val="18"/>
                <w:szCs w:val="18"/>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Recreation</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Patio equipment, wheeled goods (bicycles, skateboards and other</w:t>
            </w:r>
          </w:p>
        </w:tc>
      </w:tr>
      <w:tr>
        <w:trPr>
          <w:trHeight w:val="216"/>
        </w:trPr>
        <w:tc>
          <w:tcPr>
            <w:tcW w:w="26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ride-on toys), watersports, pet equipment, electronics and watches,</w:t>
            </w:r>
          </w:p>
        </w:tc>
      </w:tr>
      <w:tr>
        <w:trPr>
          <w:trHeight w:val="234"/>
        </w:trPr>
        <w:tc>
          <w:tcPr>
            <w:tcW w:w="26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front-end (consumables, batteries, etc.)</w:t>
            </w: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Outdoor and seasonal</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Outdoor apparel, seasonal apparel, denim, work apparel, camouflage</w:t>
            </w:r>
          </w:p>
        </w:tc>
      </w:tr>
      <w:tr>
        <w:trPr>
          <w:trHeight w:val="234"/>
        </w:trPr>
        <w:tc>
          <w:tcPr>
            <w:tcW w:w="2660" w:type="dxa"/>
            <w:vAlign w:val="bottom"/>
          </w:tcPr>
          <w:p>
            <w:pPr>
              <w:spacing w:after="0"/>
              <w:rPr>
                <w:sz w:val="20"/>
                <w:szCs w:val="20"/>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apparel</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apparel, waders, graphic t-shirts and accessories</w:t>
            </w:r>
          </w:p>
        </w:tc>
      </w:tr>
      <w:tr>
        <w:trPr>
          <w:trHeight w:val="324"/>
        </w:trPr>
        <w:tc>
          <w:tcPr>
            <w:tcW w:w="2660" w:type="dxa"/>
            <w:vAlign w:val="bottom"/>
          </w:tcPr>
          <w:p>
            <w:pPr>
              <w:spacing w:after="0"/>
              <w:rPr>
                <w:sz w:val="24"/>
                <w:szCs w:val="24"/>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Youth apparel</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306"/>
        </w:trPr>
        <w:tc>
          <w:tcPr>
            <w:tcW w:w="2660" w:type="dxa"/>
            <w:vAlign w:val="bottom"/>
          </w:tcPr>
          <w:p>
            <w:pPr>
              <w:spacing w:after="0"/>
              <w:rPr>
                <w:sz w:val="24"/>
                <w:szCs w:val="24"/>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Athletic apparel</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Sporting apparel, apparel for fitness and exercise and other</w:t>
            </w:r>
          </w:p>
        </w:tc>
      </w:tr>
      <w:tr>
        <w:trPr>
          <w:trHeight w:val="234"/>
        </w:trPr>
        <w:tc>
          <w:tcPr>
            <w:tcW w:w="26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accessories</w:t>
            </w:r>
          </w:p>
        </w:tc>
      </w:tr>
      <w:tr>
        <w:trPr>
          <w:trHeight w:val="324"/>
        </w:trPr>
        <w:tc>
          <w:tcPr>
            <w:tcW w:w="2660" w:type="dxa"/>
            <w:vAlign w:val="bottom"/>
          </w:tcPr>
          <w:p>
            <w:pPr>
              <w:spacing w:after="0"/>
              <w:rPr>
                <w:sz w:val="24"/>
                <w:szCs w:val="24"/>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Licensed apparel</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Work, casual and</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Casual shoes and slippers, work and western boots, youth footwear,</w:t>
            </w:r>
          </w:p>
        </w:tc>
      </w:tr>
      <w:tr>
        <w:trPr>
          <w:trHeight w:val="234"/>
        </w:trPr>
        <w:tc>
          <w:tcPr>
            <w:tcW w:w="2660" w:type="dxa"/>
            <w:vAlign w:val="bottom"/>
          </w:tcPr>
          <w:p>
            <w:pPr>
              <w:spacing w:after="0"/>
              <w:rPr>
                <w:sz w:val="20"/>
                <w:szCs w:val="20"/>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youth footwear</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socks and hunting footwear</w:t>
            </w:r>
          </w:p>
        </w:tc>
      </w:tr>
      <w:tr>
        <w:trPr>
          <w:trHeight w:val="324"/>
        </w:trPr>
        <w:tc>
          <w:tcPr>
            <w:tcW w:w="2660" w:type="dxa"/>
            <w:vAlign w:val="bottom"/>
          </w:tcPr>
          <w:p>
            <w:pPr>
              <w:spacing w:after="0"/>
              <w:rPr>
                <w:sz w:val="24"/>
                <w:szCs w:val="24"/>
                <w:color w:val="auto"/>
              </w:rPr>
            </w:pP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Athletic footwear</w:t>
            </w:r>
          </w:p>
        </w:tc>
        <w:tc>
          <w:tcPr>
            <w:tcW w:w="56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Running shoes, athletic shoes, sport specific shoes and training shoes</w:t>
            </w:r>
          </w:p>
        </w:tc>
      </w:tr>
      <w:tr>
        <w:trPr>
          <w:trHeight w:val="365"/>
        </w:trPr>
        <w:tc>
          <w:tcPr>
            <w:tcW w:w="2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r>
    </w:tbl>
    <w:p>
      <w:pPr>
        <w:sectPr>
          <w:pgSz w:w="11900" w:h="16838" w:orient="portrait"/>
          <w:cols w:equalWidth="0" w:num="1">
            <w:col w:w="11140"/>
          </w:cols>
          <w:pgMar w:left="320" w:top="455" w:right="4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0" w:lineRule="exact"/>
        <w:rPr>
          <w:sz w:val="20"/>
          <w:szCs w:val="20"/>
          <w:color w:val="auto"/>
        </w:rPr>
      </w:pPr>
    </w:p>
    <w:p>
      <w:pPr>
        <w:ind w:left="540" w:right="100" w:hanging="424"/>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40" w:type="dxa"/>
            <w:vAlign w:val="bottom"/>
            <w:gridSpan w:val="4"/>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Merchandise division sales</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1,522,985</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merchandise sales</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260" w:hanging="424"/>
        <w:spacing w:after="0" w:line="257"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8"/>
          <w:szCs w:val="18"/>
          <w:color w:val="auto"/>
        </w:rPr>
      </w:pPr>
    </w:p>
    <w:p>
      <w:pPr>
        <w:ind w:left="540" w:right="280" w:hanging="424"/>
        <w:spacing w:after="0" w:line="26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the number of stores that we operated by state was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83"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utilize data obtained from our CRM tools, which enable us to create effective customer-targeting strategies. Our current CRM programs focus on welcoming our first-time customers, thanking our big spenders,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geographic footprint to efficiently serve our retail locations, and have an ability to service up to an average of 110 locations each.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July 6, 2020, we employed approximately 20,000 team members.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Use</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3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Katy, Texas</w:t>
            </w:r>
          </w:p>
        </w:tc>
        <w:tc>
          <w:tcPr>
            <w:tcW w:w="1200" w:type="dxa"/>
            <w:vAlign w:val="bottom"/>
          </w:tcPr>
          <w:p>
            <w:pPr>
              <w:spacing w:after="0"/>
              <w:rPr>
                <w:sz w:val="16"/>
                <w:szCs w:val="16"/>
                <w:color w:val="auto"/>
              </w:rPr>
            </w:pPr>
          </w:p>
        </w:tc>
        <w:tc>
          <w:tcPr>
            <w:tcW w:w="2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Corporate Office Building 1</w:t>
            </w:r>
          </w:p>
        </w:tc>
        <w:tc>
          <w:tcPr>
            <w:tcW w:w="2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Bulk Warehouse</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Twiggs County, Georgia</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Cookeville, Tennessee</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Global Sourcing Office</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2007.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lease entered in 2017.</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5480" w:right="4900" w:hanging="4824"/>
        <w:spacing w:after="0" w:line="454" w:lineRule="auto"/>
        <w:tabs>
          <w:tab w:leader="none" w:pos="10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 107</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3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UKBA and other anti-corruption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in San Antonio, Texas on behalf of certain victims of the November 2017 shooting in Sutherland Springs, Texas. These cases, which present substantially similar issues of law and fact, relate to the April 2016 sale by one of our stores of a firearm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magazine that were alleged to have been used in the Sutherland Springs incident. The Supreme Court of Texas is scheduled in October 2020 to hear oral arguments relating to our motion for summary judgement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and directors, their respective ages as of July 10, 2020 and a brief account of the business experience of each of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Ken</w:t>
            </w:r>
          </w:p>
        </w:tc>
        <w:tc>
          <w:tcPr>
            <w:tcW w:w="3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 Hicks</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Lawrence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J. Johnson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Retail Operations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D. Attaway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Ennis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Manish Maini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Jamey Traywick Rutherford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Omnichannel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 G. Casares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Vishal V. Patel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H. Taylor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X. Yan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C. Hicks </w:t>
      </w:r>
      <w:r>
        <w:rPr>
          <w:rFonts w:ascii="Times New Roman" w:cs="Times New Roman" w:eastAsia="Times New Roman" w:hAnsi="Times New Roman"/>
          <w:sz w:val="17"/>
          <w:szCs w:val="17"/>
          <w:color w:val="auto"/>
        </w:rPr>
        <w:t>has served as the Chairman and our President and Chief Executive Officer since May 2018. Mr. Hicks has served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Mullican </w:t>
      </w:r>
      <w:r>
        <w:rPr>
          <w:rFonts w:ascii="Times New Roman" w:cs="Times New Roman" w:eastAsia="Times New Roman" w:hAnsi="Times New Roman"/>
          <w:sz w:val="18"/>
          <w:szCs w:val="18"/>
          <w:color w:val="auto"/>
        </w:rPr>
        <w:t>has served as our Executive Vice President and Chief Financial Officer since January 2018.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(Steve) P. Lawrence </w:t>
      </w:r>
      <w:r>
        <w:rPr>
          <w:rFonts w:ascii="Times New Roman" w:cs="Times New Roman" w:eastAsia="Times New Roman" w:hAnsi="Times New Roman"/>
          <w:sz w:val="18"/>
          <w:szCs w:val="18"/>
          <w:color w:val="auto"/>
        </w:rPr>
        <w:t>has served as our Executive Vice President and Chief Merchandising Officer since joining the Academy Sports +</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Outdoors team in February 2019. Prior to joining Academy Sports + Outdoors, Mr. Lawrence was President and Chief Executive Officer at francesca’s.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May 2012 to September 2016, he served as Chief Merchandising Officer at Stage Stores. Mr. Lawrence also spent nearly 12 years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7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our Executive Vice President, Retail Operations since joining the Academy Sports + Outdoors team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 Mr. Johnson holds a Bachelor of Arts in History and Health from East Tennessee State University.</w:t>
      </w:r>
    </w:p>
    <w:p>
      <w:pPr>
        <w:spacing w:after="0" w:line="179"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(Ken) D. Attaway </w:t>
      </w:r>
      <w:r>
        <w:rPr>
          <w:rFonts w:ascii="Times New Roman" w:cs="Times New Roman" w:eastAsia="Times New Roman" w:hAnsi="Times New Roman"/>
          <w:sz w:val="17"/>
          <w:szCs w:val="17"/>
          <w:color w:val="auto"/>
        </w:rPr>
        <w:t>has served as our Executive Vice President, Chief Operating Officer since October 2013, currently overseeing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and Logistics, Real Estate, Construction, Facilities/Maintenance, Procurement and Enterprise Program Management Office.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Ennis </w:t>
      </w:r>
      <w:r>
        <w:rPr>
          <w:rFonts w:ascii="Times New Roman" w:cs="Times New Roman" w:eastAsia="Times New Roman" w:hAnsi="Times New Roman"/>
          <w:sz w:val="18"/>
          <w:szCs w:val="18"/>
          <w:color w:val="auto"/>
        </w:rPr>
        <w:t>has served as our Senior Vice President, Chief Human Resources Officer since March 2016. Mr. Ennis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Manish Maini </w:t>
      </w:r>
      <w:r>
        <w:rPr>
          <w:rFonts w:ascii="Times New Roman" w:cs="Times New Roman" w:eastAsia="Times New Roman" w:hAnsi="Times New Roman"/>
          <w:sz w:val="18"/>
          <w:szCs w:val="18"/>
          <w:color w:val="auto"/>
        </w:rPr>
        <w:t>has served as our Senior Vice President, Chief Information Officer since joining the Academy Sports + Outdoors team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Jamey Traywick Rutherford </w:t>
      </w:r>
      <w:r>
        <w:rPr>
          <w:rFonts w:ascii="Times New Roman" w:cs="Times New Roman" w:eastAsia="Times New Roman" w:hAnsi="Times New Roman"/>
          <w:sz w:val="18"/>
          <w:szCs w:val="18"/>
          <w:color w:val="auto"/>
        </w:rPr>
        <w:t>has served as our Senior Vice President, Omnichannel since joining the Academy Sports + Outdoors team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8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G. Casares </w:t>
      </w:r>
      <w:r>
        <w:rPr>
          <w:rFonts w:ascii="Times New Roman" w:cs="Times New Roman" w:eastAsia="Times New Roman" w:hAnsi="Times New Roman"/>
          <w:sz w:val="18"/>
          <w:szCs w:val="18"/>
          <w:color w:val="auto"/>
        </w:rPr>
        <w:t>has served as our Senior Vice President, General Counsel and Secretary since March 2018. He joined the company in July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T. Marley </w:t>
      </w:r>
      <w:r>
        <w:rPr>
          <w:rFonts w:ascii="Times New Roman" w:cs="Times New Roman" w:eastAsia="Times New Roman" w:hAnsi="Times New Roman"/>
          <w:sz w:val="18"/>
          <w:szCs w:val="18"/>
          <w:color w:val="auto"/>
        </w:rPr>
        <w:t>has served as a member of the board of managers of New Academy Holding Company, LLC since January 2018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more than 20 years, during which he was a partner for more than 10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8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Vishal V. Patel </w:t>
      </w:r>
      <w:r>
        <w:rPr>
          <w:rFonts w:ascii="Times New Roman" w:cs="Times New Roman" w:eastAsia="Times New Roman" w:hAnsi="Times New Roman"/>
          <w:sz w:val="17"/>
          <w:szCs w:val="17"/>
          <w:color w:val="auto"/>
        </w:rPr>
        <w:t>has served as a member of the board of managers of New Academy Holding Company, LLC since May 2015 and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directors of Academy Sports and Outdoors, Inc. since June 2020. Mr. Patel is a member of the Retail and Consumer team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Simon </w:t>
      </w:r>
      <w:r>
        <w:rPr>
          <w:rFonts w:ascii="Times New Roman" w:cs="Times New Roman" w:eastAsia="Times New Roman" w:hAnsi="Times New Roman"/>
          <w:sz w:val="18"/>
          <w:szCs w:val="18"/>
          <w:color w:val="auto"/>
        </w:rPr>
        <w:t>has served as a member of the board of managers of New Academy Holding Company, LLC since September 2016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Academy Sports and Outdoors, Inc. since June 2020. Mr. Simon has also served on the board of directors of Darden Restaurants Inc. since July 2012, Chico’s FAS, Inc. since July 2016, and Anixter International Inc. since March 2019. He served on the board of directors of Agrium Inc. from February 2016 to May 2017. Mr. Simon was the President and CEO of Walmart U.S. from 2010 to 2014, and previously was appointed the COO of Walmart U.S. in 2007. Prior to joining Walmart, Mr. Simon held several senior positions at Brinker International, Diageo, Cadbury-Schweppes, PepsiCo and RJR-Nabisco. He also served in the public sector as Secretary of the Florida Department of Management Services, appointed by Governor Jeb Bush. Mr. Simon is currently a senior advisor to KKR and is a member of the faculty of the Hankamer School of Business at Baylor University.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(Nate) H. Taylor </w:t>
      </w:r>
      <w:r>
        <w:rPr>
          <w:rFonts w:ascii="Times New Roman" w:cs="Times New Roman" w:eastAsia="Times New Roman" w:hAnsi="Times New Roman"/>
          <w:sz w:val="18"/>
          <w:szCs w:val="18"/>
          <w:color w:val="auto"/>
        </w:rPr>
        <w:t>has served as a member of the board of managers of New Academy Holding Company, LLC since August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business, financial and investment experience related to the retail industry and prior involvement with KKR’s investment in the Company.</w:t>
      </w:r>
    </w:p>
    <w:p>
      <w:pPr>
        <w:spacing w:after="0" w:line="22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Aileen X. Yan </w:t>
      </w:r>
      <w:r>
        <w:rPr>
          <w:rFonts w:ascii="Times New Roman" w:cs="Times New Roman" w:eastAsia="Times New Roman" w:hAnsi="Times New Roman"/>
          <w:sz w:val="17"/>
          <w:szCs w:val="17"/>
          <w:color w:val="auto"/>
        </w:rPr>
        <w:t>has served as a member of the board of managers of New Academy Holding Company, LLC since November 2019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 after this Offering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will</w:t>
      </w:r>
    </w:p>
    <w:p>
      <w:pPr>
        <w:spacing w:after="0" w:line="27" w:lineRule="exact"/>
        <w:rPr>
          <w:sz w:val="20"/>
          <w:szCs w:val="20"/>
          <w:color w:val="auto"/>
        </w:rPr>
      </w:pPr>
    </w:p>
    <w:p>
      <w:pPr>
        <w:ind w:left="120"/>
        <w:spacing w:after="0"/>
        <w:tabs>
          <w:tab w:leader="none" w:pos="4300" w:val="left"/>
          <w:tab w:leader="none" w:pos="7560" w:val="left"/>
          <w:tab w:leader="none" w:pos="8480" w:val="left"/>
        </w:tabs>
        <w:rPr>
          <w:sz w:val="20"/>
          <w:szCs w:val="20"/>
          <w:color w:val="auto"/>
        </w:rPr>
      </w:pPr>
      <w:r>
        <w:rPr>
          <w:rFonts w:ascii="Times New Roman" w:cs="Times New Roman" w:eastAsia="Times New Roman" w:hAnsi="Times New Roman"/>
          <w:sz w:val="18"/>
          <w:szCs w:val="18"/>
          <w:color w:val="auto"/>
        </w:rPr>
        <w:t>provide for a classified board of directors, with</w:t>
      </w:r>
      <w:r>
        <w:rPr>
          <w:sz w:val="20"/>
          <w:szCs w:val="20"/>
          <w:color w:val="auto"/>
        </w:rPr>
        <w:tab/>
      </w:r>
      <w:r>
        <w:rPr>
          <w:rFonts w:ascii="Times New Roman" w:cs="Times New Roman" w:eastAsia="Times New Roman" w:hAnsi="Times New Roman"/>
          <w:sz w:val="18"/>
          <w:szCs w:val="18"/>
          <w:color w:val="auto"/>
        </w:rPr>
        <w:t>directors in Class I (expected to be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directors in Class II (expected to be</w:t>
      </w:r>
    </w:p>
    <w:p>
      <w:pPr>
        <w:spacing w:after="0" w:line="9" w:lineRule="exact"/>
        <w:rPr>
          <w:sz w:val="20"/>
          <w:szCs w:val="20"/>
          <w:color w:val="auto"/>
        </w:rPr>
      </w:pPr>
    </w:p>
    <w:p>
      <w:pPr>
        <w:ind w:left="840"/>
        <w:spacing w:after="0"/>
        <w:tabs>
          <w:tab w:leader="none" w:pos="2000" w:val="left"/>
          <w:tab w:leader="none" w:pos="5380" w:val="left"/>
        </w:tabs>
        <w:rPr>
          <w:sz w:val="20"/>
          <w:szCs w:val="20"/>
          <w:color w:val="auto"/>
        </w:rPr>
      </w:pPr>
      <w:r>
        <w:rPr>
          <w:rFonts w:ascii="Times New Roman" w:cs="Times New Roman" w:eastAsia="Times New Roman" w:hAnsi="Times New Roman"/>
          <w:sz w:val="18"/>
          <w:szCs w:val="18"/>
          <w:color w:val="auto"/>
        </w:rPr>
        <w:t>) and</w:t>
      </w:r>
      <w:r>
        <w:rPr>
          <w:sz w:val="20"/>
          <w:szCs w:val="20"/>
          <w:color w:val="auto"/>
        </w:rPr>
        <w:tab/>
      </w:r>
      <w:r>
        <w:rPr>
          <w:rFonts w:ascii="Times New Roman" w:cs="Times New Roman" w:eastAsia="Times New Roman" w:hAnsi="Times New Roman"/>
          <w:sz w:val="18"/>
          <w:szCs w:val="18"/>
          <w:color w:val="auto"/>
        </w:rPr>
        <w:t>directors in Class III (expected to be</w:t>
      </w:r>
      <w:r>
        <w:rPr>
          <w:sz w:val="20"/>
          <w:szCs w:val="20"/>
          <w:color w:val="auto"/>
        </w:rPr>
        <w:tab/>
      </w:r>
      <w:r>
        <w:rPr>
          <w:rFonts w:ascii="Times New Roman" w:cs="Times New Roman" w:eastAsia="Times New Roman" w:hAnsi="Times New Roman"/>
          <w:sz w:val="17"/>
          <w:szCs w:val="17"/>
          <w:color w:val="auto"/>
        </w:rPr>
        <w:t>). See “Description of Capital Stock.”</w:t>
      </w:r>
    </w:p>
    <w:p>
      <w:pPr>
        <w:spacing w:after="0" w:line="20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stockholders agreement we expect to enter into in connection with this offering, or the stockholders agreement, Allstar will have the right to designate nominees to our board of directors subject to the maintenance of certain ownership requirements in us. See “Certain Relationships and Related Party Transactions—Stockholders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Allstar, who is party to the stockholders agreement, will continue to beneficially own shares representing more than 50% of the voting power of our shares eligible to vote in the election of directors. As a result, we will be a “controlled company” within the meaning of the corporate governance standards of the applicable stock exchange.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 For at least some period following this offering, we may utilize one or more of these exemptions since our board of directors has not yet made a determination with respect to the independence of any directors.</w:t>
      </w:r>
    </w:p>
    <w:p>
      <w:pPr>
        <w:spacing w:after="0" w:line="194"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the future, we expect that our board of directors will make a determination as to whether other directors, including directors associated with KKR,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the applicable stock exchange,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47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Board Leadership Structure and Our Board of Director’s Role in Risk Oversight </w:t>
      </w:r>
      <w:r>
        <w:rPr>
          <w:rFonts w:ascii="Times New Roman" w:cs="Times New Roman" w:eastAsia="Times New Roman" w:hAnsi="Times New Roman"/>
          <w:sz w:val="18"/>
          <w:szCs w:val="18"/>
          <w:i w:val="1"/>
          <w:iCs w:val="1"/>
          <w:color w:val="auto"/>
        </w:rPr>
        <w:t>Committees of Our Board of Directors</w:t>
      </w:r>
    </w:p>
    <w:p>
      <w:pPr>
        <w:spacing w:after="0" w:line="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standing committees of our board of directors will consist of an Audit Committee, a Compensation Committee and a Nominating and Governance Committee. Our board of directors may also establish from time to time any other committees that it deems necessary or desirable.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Allstar.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880" w:right="340" w:hanging="323"/>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we expect to have an Audit Committee, consisting of</w:t>
      </w:r>
      <w:r>
        <w:rPr>
          <w:sz w:val="20"/>
          <w:szCs w:val="20"/>
          <w:color w:val="auto"/>
        </w:rPr>
        <w:t xml:space="preserve"> </w:t>
      </w:r>
      <w:r>
        <w:rPr>
          <w:rFonts w:ascii="Times New Roman" w:cs="Times New Roman" w:eastAsia="Times New Roman" w:hAnsi="Times New Roman"/>
          <w:sz w:val="18"/>
          <w:szCs w:val="18"/>
          <w:color w:val="auto"/>
        </w:rPr>
        <w:t>, who will be serving as the Chair, and and . and qualify as independent directors under the corporate governance standards of the applicable stock</w:t>
      </w:r>
    </w:p>
    <w:p>
      <w:pPr>
        <w:ind w:left="120"/>
        <w:spacing w:after="0"/>
        <w:rPr>
          <w:sz w:val="20"/>
          <w:szCs w:val="20"/>
          <w:color w:val="auto"/>
        </w:rPr>
      </w:pPr>
      <w:r>
        <w:rPr>
          <w:rFonts w:ascii="Times New Roman" w:cs="Times New Roman" w:eastAsia="Times New Roman" w:hAnsi="Times New Roman"/>
          <w:sz w:val="18"/>
          <w:szCs w:val="18"/>
          <w:color w:val="auto"/>
        </w:rPr>
        <w:t>exchange and the independence requirements of Rule 10A-3 of the Securities Exchange Act of 1934, as amended, or the Exchange Act. Our board of</w:t>
      </w:r>
    </w:p>
    <w:p>
      <w:pPr>
        <w:spacing w:after="0" w:line="9" w:lineRule="exact"/>
        <w:rPr>
          <w:sz w:val="20"/>
          <w:szCs w:val="20"/>
          <w:color w:val="auto"/>
        </w:rPr>
      </w:pPr>
    </w:p>
    <w:p>
      <w:pPr>
        <w:ind w:left="120"/>
        <w:spacing w:after="0"/>
        <w:tabs>
          <w:tab w:leader="none" w:pos="2940" w:val="left"/>
        </w:tabs>
        <w:rPr>
          <w:sz w:val="20"/>
          <w:szCs w:val="20"/>
          <w:color w:val="auto"/>
        </w:rPr>
      </w:pPr>
      <w:r>
        <w:rPr>
          <w:rFonts w:ascii="Times New Roman" w:cs="Times New Roman" w:eastAsia="Times New Roman" w:hAnsi="Times New Roman"/>
          <w:sz w:val="18"/>
          <w:szCs w:val="18"/>
          <w:color w:val="auto"/>
        </w:rPr>
        <w:t>directors has determined that</w:t>
      </w:r>
      <w:r>
        <w:rPr>
          <w:sz w:val="20"/>
          <w:szCs w:val="20"/>
          <w:color w:val="auto"/>
        </w:rPr>
        <w:tab/>
      </w:r>
      <w:r>
        <w:rPr>
          <w:rFonts w:ascii="Times New Roman" w:cs="Times New Roman" w:eastAsia="Times New Roman" w:hAnsi="Times New Roman"/>
          <w:sz w:val="17"/>
          <w:szCs w:val="17"/>
          <w:color w:val="auto"/>
        </w:rPr>
        <w:t>qualifies as an “audit committee financial expert” as such term is defined in Item 407(d)(5) of Regulation S-K.</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will be to prepare the audit committee report required by the SEC to be included in our proxy statement and to assist our board of directors in overseeing:</w:t>
      </w:r>
    </w:p>
    <w:p>
      <w:pPr>
        <w:spacing w:after="0" w:line="67"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Audit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ectPr>
          <w:pgSz w:w="11900" w:h="16838" w:orient="portrait"/>
          <w:cols w:equalWidth="0" w:num="1">
            <w:col w:w="11040"/>
          </w:cols>
          <w:pgMar w:left="320" w:top="455" w:right="53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completion of this offering, we expect to have a Compensation Committee, consisting of</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who will</w:t>
      </w:r>
    </w:p>
    <w:p>
      <w:pPr>
        <w:spacing w:after="0" w:line="38" w:lineRule="exact"/>
        <w:rPr>
          <w:sz w:val="20"/>
          <w:szCs w:val="20"/>
          <w:color w:val="auto"/>
        </w:rPr>
      </w:pPr>
    </w:p>
    <w:p>
      <w:pPr>
        <w:sectPr>
          <w:pgSz w:w="11900" w:h="16838" w:orient="portrait"/>
          <w:cols w:equalWidth="0" w:num="4">
            <w:col w:w="7700" w:space="720"/>
            <w:col w:w="120" w:space="720"/>
            <w:col w:w="320" w:space="720"/>
            <w:col w:w="740"/>
          </w:cols>
          <w:pgMar w:left="320" w:top="455" w:right="5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serve as the Chair.</w:t>
      </w:r>
    </w:p>
    <w:p>
      <w:pPr>
        <w:sectPr>
          <w:pgSz w:w="11900" w:h="16838" w:orient="portrait"/>
          <w:cols w:equalWidth="0" w:num="1">
            <w:col w:w="11040"/>
          </w:cols>
          <w:pgMar w:left="320" w:top="455" w:right="539" w:bottom="1440" w:gutter="0" w:footer="0" w:header="0"/>
          <w:type w:val="continuous"/>
        </w:sectPr>
      </w:pP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2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40"/>
          </w:cols>
          <w:pgMar w:left="320" w:top="455" w:right="539" w:bottom="1440" w:gutter="0" w:footer="0" w:header="0"/>
          <w:type w:val="continuous"/>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the compensation rules, regulations and guidelines promulgated by the applicable stock exchange, the SEC and other law, as applicable;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Compensation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ectPr>
          <w:pgSz w:w="11900" w:h="16838" w:orient="portrait"/>
          <w:cols w:equalWidth="0" w:num="1">
            <w:col w:w="11140"/>
          </w:cols>
          <w:pgMar w:left="320" w:top="455" w:right="43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completion of this offering, we expect to have a Nominating and Governance Committee, consisting of</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ectPr>
          <w:pgSz w:w="11900" w:h="16838" w:orient="portrait"/>
          <w:cols w:equalWidth="0" w:num="3">
            <w:col w:w="8740" w:space="720"/>
            <w:col w:w="120" w:space="720"/>
            <w:col w:w="840"/>
          </w:cols>
          <w:pgMar w:left="320" w:top="455" w:right="4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7"/>
          <w:szCs w:val="17"/>
          <w:color w:val="auto"/>
        </w:rPr>
        <w:t>, who will serve as the Chair.</w:t>
      </w:r>
    </w:p>
    <w:p>
      <w:pPr>
        <w:sectPr>
          <w:pgSz w:w="11900" w:h="16838" w:orient="portrait"/>
          <w:cols w:equalWidth="0" w:num="1">
            <w:col w:w="11140"/>
          </w:cols>
          <w:pgMar w:left="320" w:top="455" w:right="439" w:bottom="1440" w:gutter="0" w:footer="0" w:header="0"/>
          <w:type w:val="continuous"/>
        </w:sectPr>
      </w:pPr>
    </w:p>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131"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Nominating and Governance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are parties to certain transactions with Allstar and its affiliates and certain of our directors described in the section of this prospectus entitled “Certain Relationships and Related Party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Business Conduct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adopt a new Code of Ethics and Business Conduct that applies to all of our directors, officers and team members, including our chief executive officer and chief financial and accounting officer. Our Code of Ethics and Business Conduct will be available on our website upon the completion of this offering. Our Code of Ethics and Business Conduct is a “code of ethics,” as defined in Item 406(b) of Regulation S-K. We will make any legally required disclosures regarding amendments to, or waivers of, provisions of our code of ethics on our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type w:val="continuous"/>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2019 were:</w:t>
      </w:r>
    </w:p>
    <w:p>
      <w:pPr>
        <w:spacing w:after="0" w:line="129"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C. Hicks,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P. Mullican, </w:t>
      </w:r>
      <w:r>
        <w:rPr>
          <w:rFonts w:ascii="Times New Roman" w:cs="Times New Roman" w:eastAsia="Times New Roman" w:hAnsi="Times New Roman"/>
          <w:sz w:val="18"/>
          <w:szCs w:val="18"/>
          <w:i w:val="1"/>
          <w:iCs w:val="1"/>
          <w:color w:val="auto"/>
        </w:rPr>
        <w:t>Executive Vice President, Chief Financial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Steven (Steve) P. Lawrence, </w:t>
      </w:r>
      <w:r>
        <w:rPr>
          <w:rFonts w:ascii="Times New Roman" w:cs="Times New Roman" w:eastAsia="Times New Roman" w:hAnsi="Times New Roman"/>
          <w:sz w:val="18"/>
          <w:szCs w:val="18"/>
          <w:i w:val="1"/>
          <w:iCs w:val="1"/>
          <w:color w:val="auto"/>
        </w:rPr>
        <w:t>Executive Vice President, Chief Merchandising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Samuel (Sam) J. Johnson, </w:t>
      </w:r>
      <w:r>
        <w:rPr>
          <w:rFonts w:ascii="Times New Roman" w:cs="Times New Roman" w:eastAsia="Times New Roman" w:hAnsi="Times New Roman"/>
          <w:sz w:val="18"/>
          <w:szCs w:val="18"/>
          <w:i w:val="1"/>
          <w:iCs w:val="1"/>
          <w:color w:val="auto"/>
        </w:rPr>
        <w:t>Executive Vice President, Retail Operations;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Kenneth (Ken) D. Attaway, </w:t>
      </w:r>
      <w:r>
        <w:rPr>
          <w:rFonts w:ascii="Times New Roman" w:cs="Times New Roman" w:eastAsia="Times New Roman" w:hAnsi="Times New Roman"/>
          <w:sz w:val="18"/>
          <w:szCs w:val="18"/>
          <w:i w:val="1"/>
          <w:iCs w:val="1"/>
          <w:color w:val="auto"/>
        </w:rPr>
        <w:t>Executive Vice President, Chief Operations Officer</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We Are and 2019 Business Performance Highlights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 footprint,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approximately 20,000 team members, three distribution centers, and our rapidly growing e-commerce platform, www.academy.com.</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Highlights from 2019 include:</w:t>
      </w:r>
    </w:p>
    <w:p>
      <w:pPr>
        <w:spacing w:after="0" w:line="131" w:lineRule="exact"/>
        <w:rPr>
          <w:sz w:val="20"/>
          <w:szCs w:val="20"/>
          <w:color w:val="auto"/>
        </w:rPr>
      </w:pPr>
    </w:p>
    <w:p>
      <w:pPr>
        <w:ind w:left="1080" w:right="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 billion of net sales, $120 million of net income, $323 million of Adjusted EBITDA (a $23 million increase over 2018), $197 million of Free Cash Flow, and return on invested capital, or ROIC Percentage, of 14.3%. See “Summary—Summary Historical Consolidated Financial and Other Data” for the definitions of Adjusted EBITDA and Free Cash Flow and reconciliations of Adjusted EBITDA to net income and Free Cash Flow to net cash provided by (used in) operating activities.</w:t>
      </w:r>
    </w:p>
    <w:p>
      <w:pPr>
        <w:spacing w:after="0" w:line="85"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we served 30 million customers and completed approximately 80 million transactions resulting in strong household penetration in our core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per store were nearly two times greater than our nearest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rolled out BOPIS to all locations, which accounted for approximately 24% of our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8" w:lineRule="exact"/>
        <w:rPr>
          <w:sz w:val="20"/>
          <w:szCs w:val="20"/>
          <w:color w:val="auto"/>
        </w:rPr>
      </w:pPr>
    </w:p>
    <w:p>
      <w:pPr>
        <w:ind w:left="1080" w:right="260" w:hanging="424"/>
        <w:spacing w:after="0" w:line="290"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Competitive</w:t>
      </w:r>
      <w:r>
        <w:rPr>
          <w:rFonts w:ascii="Times New Roman" w:cs="Times New Roman" w:eastAsia="Times New Roman" w:hAnsi="Times New Roman"/>
          <w:sz w:val="17"/>
          <w:szCs w:val="17"/>
          <w:color w:val="auto"/>
        </w:rPr>
        <w:t>: Compensation levels and programs for executive officers, including our Named Executive Officers, should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6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We believe in a pay-for-performance compensation philosophy which targets our team members to be paid 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Equityholder Aligned</w:t>
      </w:r>
      <w:r>
        <w:rPr>
          <w:rFonts w:ascii="Times New Roman" w:cs="Times New Roman" w:eastAsia="Times New Roman" w:hAnsi="Times New Roman"/>
          <w:sz w:val="18"/>
          <w:szCs w:val="18"/>
          <w:color w:val="auto"/>
        </w:rPr>
        <w:t>: Incentives should be structured to create a strong alignment between executive officers and equityholders on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a long-term basis.</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85" w:lineRule="exact"/>
        <w:rPr>
          <w:sz w:val="20"/>
          <w:szCs w:val="20"/>
          <w:color w:val="auto"/>
        </w:rPr>
      </w:pPr>
    </w:p>
    <w:p>
      <w:pPr>
        <w:ind w:left="19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Compensation Mix - CEO</w:t>
      </w:r>
      <w:r>
        <w:rPr>
          <w:sz w:val="20"/>
          <w:szCs w:val="20"/>
          <w:color w:val="auto"/>
        </w:rPr>
        <w:tab/>
      </w:r>
      <w:r>
        <w:rPr>
          <w:rFonts w:ascii="Times New Roman" w:cs="Times New Roman" w:eastAsia="Times New Roman" w:hAnsi="Times New Roman"/>
          <w:sz w:val="17"/>
          <w:szCs w:val="17"/>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1928495" cy="13201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156845</wp:posOffset>
            </wp:positionV>
            <wp:extent cx="1885950" cy="13290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8595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Executive Officer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or the Compensation Committee, of our Board of Managers, or the Board, which is comprised solely of non-employee directors, is responsible for establishing, implementing, and evaluating our executive officer compensation and benefit programs. Following this offering, the same Compensation Committee will be constituted at the level of Academy Sports and Outdoors, Inc.</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discharges the responsibilities of our Board relating to the compensation of our executive officers, including the Named Executive Officers, according to its charter. The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selecting and setting the amount of each compensation element, the Compensation Committee generally considers the following factors:</w:t>
      </w:r>
    </w:p>
    <w:p>
      <w:pPr>
        <w:spacing w:after="0" w:line="131"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objectives established by the Compensation Committee;</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executive officer’s skills, experience, and qualifications relative to other similarly-situated executive officers at the companies in our compensation peer group;</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role compared to other similarly-situated executive officers at the companies in our compensation peer group;</w:t>
      </w:r>
    </w:p>
    <w:p>
      <w:pPr>
        <w:spacing w:after="0" w:line="130"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equality among our executive officers, including the Named Executive Officers (other than our Chief Executive Officer);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compensation peer group; and</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how each executive officer’s target compensation compares to a ranking of similar positions in our compensation peer group.</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Historically, the Compensation Committee has recommended equity awards for each Named Executive Officer, and such awards are then granted by the Board (or its Executive Committee). Following this offering, all equity awards will be granted by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decision-making and final decisions regarding the compensation opportunity for each executive officer. No single factor is determinative in setting pay levels, nor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Management Team for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Prior to this offering, the Compensation Committee has not retained its own compensation consultant but we anticipate that the Compensation Committee will engage its own independent compensation consultant either in connection with or following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compensation benchmarking peer group and approach that is used to develop competitive market data 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base salary levels, annual cash bonus opportunities, long-term incentive compensation opportunities, and perquisites of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assessment of executive compensation trends within our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5" w:right="439"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Auto Parts,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Ascena Retail Group,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AutoZone,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Burlington Stores,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Caleres,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Carter’s,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Dick’s Sporting Goods,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DSW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GameStop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Michaels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Williams-Sonoma, Inc.</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to 2.5x our last four fiscal quarters’ revenue as of the third quarter of 2018;</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primarily in the retail business;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business model and/or product.</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Compensation Committee, with the input of data and analysis from Meridian, approved the same compensation peer group for 2020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We expect that each of our Named Executive Officers will execute a new employment agreement with the Company that will become effective upon the consummation of this offering, each of which will generally have the same economic terms in effect during 2019. These new employment agreements will be described in a subsequent filing. For additional information regarding our employment agreements, see “—Employment Agreements with Named Executive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Setting 2019 Compensation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 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type w:val="continuous"/>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opportunity correlated with superior performance over the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7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may consider performance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the Compensation Committee will continue to adhere to the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Policies and Practices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Either during 2019 or in connection with or following this offering where noted, we either adopted or maintained the following executive officer compensation policies and practices, which include policies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practices that we have implemented to drive performance as well as policies and practices that either prohibit or minimize behaviors that we do not believe serve our equityholders’ long-term interests:</w:t>
      </w:r>
    </w:p>
    <w:p>
      <w:pPr>
        <w:spacing w:after="0" w:line="65"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Compensation Committee</w:t>
      </w:r>
      <w:r>
        <w:rPr>
          <w:rFonts w:ascii="Times New Roman" w:cs="Times New Roman" w:eastAsia="Times New Roman" w:hAnsi="Times New Roman"/>
          <w:sz w:val="18"/>
          <w:szCs w:val="18"/>
          <w:color w:val="auto"/>
        </w:rPr>
        <w:t>. The Compensation Committee is comprised solely of nonemployee directors.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 Advisor</w:t>
      </w:r>
      <w:r>
        <w:rPr>
          <w:rFonts w:ascii="Times New Roman" w:cs="Times New Roman" w:eastAsia="Times New Roman" w:hAnsi="Times New Roman"/>
          <w:sz w:val="18"/>
          <w:szCs w:val="18"/>
          <w:color w:val="auto"/>
        </w:rPr>
        <w:t>. We anticipate that the Compensation Committee will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either in connection with or following this offering. The Company currently retains Meridian as an advisor on executive pay related items.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Officer Compensation Review</w:t>
      </w:r>
      <w:r>
        <w:rPr>
          <w:rFonts w:ascii="Times New Roman" w:cs="Times New Roman" w:eastAsia="Times New Roman" w:hAnsi="Times New Roman"/>
          <w:sz w:val="18"/>
          <w:szCs w:val="18"/>
          <w:color w:val="auto"/>
        </w:rPr>
        <w:t>. The Compensation Committee conducted an annual review and approval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 Compensation Practices</w:t>
      </w:r>
      <w:r>
        <w:rPr>
          <w:rFonts w:ascii="Times New Roman" w:cs="Times New Roman" w:eastAsia="Times New Roman" w:hAnsi="Times New Roman"/>
          <w:sz w:val="18"/>
          <w:szCs w:val="18"/>
          <w:color w:val="auto"/>
        </w:rPr>
        <w:t>. Our compensation philosophy and related corporate governance policies and practices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officer compensation with long-term equityholder interests, including the following:</w:t>
      </w:r>
    </w:p>
    <w:p>
      <w:pPr>
        <w:spacing w:after="0" w:line="78" w:lineRule="exact"/>
        <w:rPr>
          <w:rFonts w:ascii="Times New Roman" w:cs="Times New Roman" w:eastAsia="Times New Roman" w:hAnsi="Times New Roman"/>
          <w:sz w:val="18"/>
          <w:szCs w:val="18"/>
          <w:color w:val="auto"/>
        </w:rPr>
      </w:pPr>
    </w:p>
    <w:p>
      <w:pPr>
        <w:ind w:left="1540" w:right="280" w:hanging="331"/>
        <w:spacing w:after="0" w:line="284"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 Review</w:t>
      </w:r>
      <w:r>
        <w:rPr>
          <w:rFonts w:ascii="Times New Roman" w:cs="Times New Roman" w:eastAsia="Times New Roman" w:hAnsi="Times New Roman"/>
          <w:sz w:val="18"/>
          <w:szCs w:val="18"/>
          <w:color w:val="auto"/>
        </w:rPr>
        <w:t>. The Compensation Committee engages in an annual performance review of each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based on our corporate results and individual performance.</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At Risk</w:t>
      </w:r>
      <w:r>
        <w:rPr>
          <w:rFonts w:ascii="Times New Roman" w:cs="Times New Roman" w:eastAsia="Times New Roman" w:hAnsi="Times New Roman"/>
          <w:sz w:val="18"/>
          <w:szCs w:val="18"/>
          <w:color w:val="auto"/>
        </w:rPr>
        <w:t>. Our executive officer compensation program is designed so that a majority of compensation is “at risk”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performance, in the form of both short-term cash and long-term equity incentives to align the interests of our executive officers and equityholders.</w:t>
      </w:r>
    </w:p>
    <w:p>
      <w:pPr>
        <w:spacing w:after="0" w:line="78" w:lineRule="exact"/>
        <w:rPr>
          <w:rFonts w:ascii="Times New Roman" w:cs="Times New Roman" w:eastAsia="Times New Roman" w:hAnsi="Times New Roman"/>
          <w:sz w:val="18"/>
          <w:szCs w:val="18"/>
          <w:color w:val="auto"/>
        </w:rPr>
      </w:pPr>
    </w:p>
    <w:p>
      <w:pPr>
        <w:ind w:left="1540" w:right="460" w:hanging="331"/>
        <w:spacing w:after="0" w:line="267"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Defined Benefit Pension or Nonqualified Deferred Compensation Plans</w:t>
      </w:r>
      <w:r>
        <w:rPr>
          <w:rFonts w:ascii="Times New Roman" w:cs="Times New Roman" w:eastAsia="Times New Roman" w:hAnsi="Times New Roman"/>
          <w:sz w:val="18"/>
          <w:szCs w:val="18"/>
          <w:color w:val="auto"/>
        </w:rPr>
        <w:t>. We do not currently offer, nor do we have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defined benefit pension arrangements or nonqualified deferred compensation plans or arrangements to our executive officers.</w:t>
      </w:r>
    </w:p>
    <w:p>
      <w:pPr>
        <w:spacing w:after="0" w:line="78"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Nominal Special Health or Welfare Benefits</w:t>
      </w:r>
      <w:r>
        <w:rPr>
          <w:rFonts w:ascii="Times New Roman" w:cs="Times New Roman" w:eastAsia="Times New Roman" w:hAnsi="Times New Roman"/>
          <w:sz w:val="18"/>
          <w:szCs w:val="18"/>
          <w:color w:val="auto"/>
        </w:rPr>
        <w:t>. Our executive officers participate in broad-based company-sponsored health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4"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Post-Employment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or change-in-control payments or benefits.</w:t>
      </w:r>
    </w:p>
    <w:p>
      <w:pPr>
        <w:spacing w:after="0" w:line="63"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Options Granted with Exercise Price Below Fair Market Value, with Pre-Offering Fair Market Value determined based on Third-Party Valuations</w:t>
      </w:r>
      <w:r>
        <w:rPr>
          <w:rFonts w:ascii="Times New Roman" w:cs="Times New Roman" w:eastAsia="Times New Roman" w:hAnsi="Times New Roman"/>
          <w:sz w:val="18"/>
          <w:szCs w:val="18"/>
          <w:color w:val="auto"/>
        </w:rPr>
        <w:t>. All options have been granted with exercise prices equal to the fair market value of our Membership Units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this offering,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1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right="180" w:hanging="331"/>
        <w:spacing w:after="0" w:line="261"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Time Vesting and Performance Vesting Requirements for Equity Awards</w:t>
      </w:r>
      <w:r>
        <w:rPr>
          <w:rFonts w:ascii="Times New Roman" w:cs="Times New Roman" w:eastAsia="Times New Roman" w:hAnsi="Times New Roman"/>
          <w:sz w:val="18"/>
          <w:szCs w:val="18"/>
          <w:color w:val="auto"/>
        </w:rPr>
        <w:t>. The options and restricted units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4"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Pledging Prohibited</w:t>
      </w:r>
      <w:r>
        <w:rPr>
          <w:rFonts w:ascii="Times New Roman" w:cs="Times New Roman" w:eastAsia="Times New Roman" w:hAnsi="Times New Roman"/>
          <w:sz w:val="18"/>
          <w:szCs w:val="18"/>
          <w:color w:val="auto"/>
        </w:rPr>
        <w:t>. We prohibit our executive officers from hedging our securities, pledging our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for loans, or holding our securities in margin accounts.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elements of our executive officer compensation program for our Named Executive Officers:</w:t>
      </w:r>
    </w:p>
    <w:p>
      <w:pPr>
        <w:spacing w:after="0" w:line="246" w:lineRule="exact"/>
        <w:rPr>
          <w:sz w:val="20"/>
          <w:szCs w:val="20"/>
          <w:color w:val="auto"/>
        </w:rPr>
      </w:pPr>
    </w:p>
    <w:p>
      <w:pPr>
        <w:ind w:left="120"/>
        <w:spacing w:after="0"/>
        <w:tabs>
          <w:tab w:leader="none" w:pos="1980" w:val="left"/>
          <w:tab w:leader="none" w:pos="68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Purpose</w:t>
      </w:r>
      <w:r>
        <w:rPr>
          <w:sz w:val="20"/>
          <w:szCs w:val="20"/>
          <w:color w:val="auto"/>
        </w:rPr>
        <w:tab/>
      </w:r>
      <w:r>
        <w:rPr>
          <w:rFonts w:ascii="Times New Roman" w:cs="Times New Roman" w:eastAsia="Times New Roman" w:hAnsi="Times New Roman"/>
          <w:sz w:val="14"/>
          <w:szCs w:val="14"/>
          <w:b w:val="1"/>
          <w:bCs w:val="1"/>
          <w:color w:val="auto"/>
        </w:rPr>
        <w:t>Overview</w:t>
      </w:r>
    </w:p>
    <w:p>
      <w:pPr>
        <w:sectPr>
          <w:pgSz w:w="11900" w:h="16838" w:orient="portrait"/>
          <w:cols w:equalWidth="0" w:num="1">
            <w:col w:w="11100"/>
          </w:cols>
          <w:pgMar w:left="320" w:top="455" w:right="479" w:bottom="1440" w:gutter="0" w:footer="0" w:header="0"/>
        </w:sectPr>
      </w:pP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01"/>
        </w:trPr>
        <w:tc>
          <w:tcPr>
            <w:tcW w:w="18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Compensate for services rendered each year</w:t>
            </w:r>
          </w:p>
        </w:tc>
      </w:tr>
      <w:tr>
        <w:trPr>
          <w:trHeight w:val="39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Encourage achievement of our corporate performance</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 bonus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objectives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Reward those individuals who significantly impact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results</w:t>
            </w:r>
          </w:p>
        </w:tc>
      </w:tr>
      <w:tr>
        <w:trPr>
          <w:trHeight w:val="641"/>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executive officer and equityholder interests by</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creating a link between executive compensation and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1" w:right="260" w:hanging="361"/>
        <w:spacing w:after="0" w:line="261" w:lineRule="auto"/>
        <w:tabs>
          <w:tab w:leader="none" w:pos="3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position, experience, job responsibilities, and performance</w:t>
      </w:r>
    </w:p>
    <w:p>
      <w:pPr>
        <w:ind w:left="341" w:hanging="341"/>
        <w:spacing w:after="0"/>
        <w:tabs>
          <w:tab w:leader="none" w:pos="3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(90% weighting)</w:t>
      </w:r>
    </w:p>
    <w:p>
      <w:pPr>
        <w:spacing w:after="0" w:line="9" w:lineRule="exact"/>
        <w:rPr>
          <w:rFonts w:ascii="Times New Roman" w:cs="Times New Roman" w:eastAsia="Times New Roman" w:hAnsi="Times New Roman"/>
          <w:sz w:val="18"/>
          <w:szCs w:val="18"/>
          <w:color w:val="auto"/>
        </w:rPr>
      </w:pPr>
    </w:p>
    <w:p>
      <w:pPr>
        <w:ind w:left="721" w:right="740" w:hanging="361"/>
        <w:spacing w:after="0" w:line="250" w:lineRule="auto"/>
        <w:tabs>
          <w:tab w:leader="none" w:pos="70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EBITDA Dollars (40% weighting)</w:t>
      </w:r>
    </w:p>
    <w:p>
      <w:pPr>
        <w:ind w:left="701" w:hanging="341"/>
        <w:spacing w:after="0"/>
        <w:tabs>
          <w:tab w:leader="none" w:pos="70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Sales (weighted 40%)</w:t>
      </w:r>
    </w:p>
    <w:p>
      <w:pPr>
        <w:spacing w:after="0" w:line="9" w:lineRule="exact"/>
        <w:rPr>
          <w:rFonts w:ascii="Times New Roman" w:cs="Times New Roman" w:eastAsia="Times New Roman" w:hAnsi="Times New Roman"/>
          <w:sz w:val="18"/>
          <w:szCs w:val="18"/>
          <w:color w:val="auto"/>
        </w:rPr>
      </w:pPr>
    </w:p>
    <w:p>
      <w:pPr>
        <w:ind w:left="701" w:hanging="341"/>
        <w:spacing w:after="0"/>
        <w:tabs>
          <w:tab w:leader="none" w:pos="70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10%)</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(10% weighting)</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-1382395</wp:posOffset>
            </wp:positionV>
            <wp:extent cx="27260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219"/>
            <w:col w:w="4261"/>
          </w:cols>
          <w:pgMar w:left="320" w:top="455" w:right="47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our Named Executive Officers are provided certain other compensation including perquisites and other benefits, as described in “—Other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 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type w:val="continuous"/>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2018 Base</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2019 Base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to have a significant portion of the compensation of our executive officers, including the Named Executive Officers, tied to performance.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accomplish this objective, we provide our executive officers with the opportunity to earn cash bonuses to encourage the achievement of both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individual performance objectives and to reward those individuals who significantly impact our corporate results.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 EBITDA Dollars, and total Company sales, and of individual performance targets, other than his own, are recommended by Mr. Hicks to the Compensation Committee for its final approval.</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metrics, the weighting of each metric and the minimum, target, and maximum levels of achievement (in each case, expressed as a percentage of the target payout), as well as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 Payout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2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Others</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Company EBITDA Dollars</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65"/>
        </w:trPr>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Company Sales</w:t>
            </w:r>
          </w:p>
        </w:tc>
        <w:tc>
          <w:tcPr>
            <w:tcW w:w="840" w:type="dxa"/>
            <w:vAlign w:val="bottom"/>
            <w:gridSpan w:val="2"/>
            <w:vMerge w:val="restart"/>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shd w:val="clear" w:color="auto" w:fill="CCEEFF"/>
          </w:tcPr>
          <w:p>
            <w:pPr>
              <w:spacing w:after="0"/>
              <w:rPr>
                <w:sz w:val="7"/>
                <w:szCs w:val="7"/>
                <w:color w:val="auto"/>
              </w:rPr>
            </w:pPr>
          </w:p>
        </w:tc>
        <w:tc>
          <w:tcPr>
            <w:tcW w:w="290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ROIC %</w:t>
            </w:r>
          </w:p>
        </w:tc>
        <w:tc>
          <w:tcPr>
            <w:tcW w:w="84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64"/>
        </w:trPr>
        <w:tc>
          <w:tcPr>
            <w:tcW w:w="1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Does not</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Meets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9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Individual Goals</w:t>
            </w:r>
          </w:p>
        </w:tc>
        <w:tc>
          <w:tcPr>
            <w:tcW w:w="840" w:type="dxa"/>
            <w:vAlign w:val="bottom"/>
            <w:gridSpan w:val="2"/>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5"/>
                <w:szCs w:val="5"/>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meet all</w:t>
            </w:r>
          </w:p>
        </w:tc>
        <w:tc>
          <w:tcPr>
            <w:tcW w:w="94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expectations</w:t>
            </w: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expectations</w:t>
            </w:r>
          </w:p>
        </w:tc>
        <w:tc>
          <w:tcPr>
            <w:tcW w:w="9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Performance Metrics</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at 10%. The level of achievement of these targets is subject to the final determination and approval of the Compensation Committee.</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Individual Performance Metrics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Executive Team Bonus Plan, there is an individual performance component that represents 10% of each Named Executive Officer’s annual bonus opportunity. The maximum payout under the individual 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 (iv) 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 of Performance Goals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2019 Company performance metric results: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Achievement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3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tcBorders>
              <w:top w:val="single" w:sz="8" w:color="auto"/>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$317.3 million</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72"/>
        </w:trPr>
        <w:tc>
          <w:tcPr>
            <w:tcW w:w="13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Sales</w:t>
            </w:r>
          </w:p>
        </w:tc>
        <w:tc>
          <w:tcPr>
            <w:tcW w:w="320" w:type="dxa"/>
            <w:vAlign w:val="bottom"/>
            <w:shd w:val="clear" w:color="auto" w:fill="CCEEFF"/>
          </w:tcPr>
          <w:p>
            <w:pPr>
              <w:spacing w:after="0"/>
              <w:rPr>
                <w:sz w:val="6"/>
                <w:szCs w:val="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 billion</w:t>
            </w:r>
          </w:p>
        </w:tc>
        <w:tc>
          <w:tcPr>
            <w:tcW w:w="34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$4.83 billion</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0" w:type="dxa"/>
            <w:vAlign w:val="bottom"/>
          </w:tcPr>
          <w:p>
            <w:pPr>
              <w:spacing w:after="0"/>
              <w:rPr>
                <w:sz w:val="1"/>
                <w:szCs w:val="1"/>
                <w:color w:val="auto"/>
              </w:rPr>
            </w:pPr>
          </w:p>
        </w:tc>
      </w:tr>
      <w:tr>
        <w:trPr>
          <w:trHeight w:val="144"/>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20" w:type="dxa"/>
            <w:vAlign w:val="bottom"/>
            <w:shd w:val="clear" w:color="auto" w:fill="CCEEFF"/>
          </w:tcPr>
          <w:p>
            <w:pPr>
              <w:spacing w:after="0"/>
              <w:rPr>
                <w:sz w:val="12"/>
                <w:szCs w:val="12"/>
                <w:color w:val="auto"/>
              </w:rPr>
            </w:pPr>
          </w:p>
        </w:tc>
        <w:tc>
          <w:tcPr>
            <w:tcW w:w="54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 %</w:t>
            </w:r>
          </w:p>
        </w:tc>
        <w:tc>
          <w:tcPr>
            <w:tcW w:w="138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13.7%</w:t>
            </w:r>
          </w:p>
        </w:tc>
        <w:tc>
          <w:tcPr>
            <w:tcW w:w="1400" w:type="dxa"/>
            <w:vAlign w:val="bottom"/>
            <w:gridSpan w:val="2"/>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14.0%</w:t>
            </w:r>
          </w:p>
        </w:tc>
        <w:tc>
          <w:tcPr>
            <w:tcW w:w="3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80" w:type="dxa"/>
            <w:vAlign w:val="bottom"/>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was determined that each Named Executive Officers achieved his applicable individual performance goals at the targeted level of performance for 2019.</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12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8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Factor (%)</w:t>
            </w: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Achieved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1,650,000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487,822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505,353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690,730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828,876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858,663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463,840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480,509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446,495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446,495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462,541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160" w:hanging="424"/>
        <w:spacing w:after="0" w:line="25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Sign-on Bonus Payment</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12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85"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desire to motivate, retain, and reward executive talent;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remain competitive in recruiting;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dilution of equityholders’ interests.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Equity Plan, became effective on August 30, 2011 and has been subsequently amended on multiple occasions to increase the number of Membership Units available for issuance thereunder, most recently on March 5,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(defined below), no further awards will be granted under the 2011 Equity Plan. However, all outstanding awards granted under the 2011 Equity Plan will continue to be governed by the existing terms of the 2011 Equity Plan and the applicable award agreements. 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(defined below) to be adopted in connection with this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long-term equity incentive compensation, see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2011 Equity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Option Agreement</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2018 CEO Option Agreement provides: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1080" w:right="32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81"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92" w:lineRule="exact"/>
        <w:rPr>
          <w:rFonts w:ascii="Times New Roman" w:cs="Times New Roman" w:eastAsia="Times New Roman" w:hAnsi="Times New Roman"/>
          <w:sz w:val="18"/>
          <w:szCs w:val="18"/>
          <w:color w:val="auto"/>
        </w:rPr>
      </w:pPr>
    </w:p>
    <w:p>
      <w:pPr>
        <w:ind w:left="2200" w:right="40" w:hanging="545"/>
        <w:spacing w:after="0" w:line="258" w:lineRule="auto"/>
        <w:tabs>
          <w:tab w:leader="none" w:pos="22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88"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2" w:lineRule="exact"/>
        <w:rPr>
          <w:rFonts w:ascii="Times New Roman" w:cs="Times New Roman" w:eastAsia="Times New Roman" w:hAnsi="Times New Roman"/>
          <w:sz w:val="18"/>
          <w:szCs w:val="18"/>
          <w:color w:val="auto"/>
        </w:rPr>
      </w:pPr>
    </w:p>
    <w:p>
      <w:pPr>
        <w:ind w:left="2200" w:right="20" w:hanging="545"/>
        <w:spacing w:after="0" w:line="256" w:lineRule="auto"/>
        <w:tabs>
          <w:tab w:leader="none" w:pos="22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92"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during the Option Grant Year, then any then-outstanding and unvested portion of the Performance Options shall become vested and exercisable as to 100%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Membership Units that are subject to such unvested portion, immediately prior to such Change of Control.</w:t>
      </w:r>
    </w:p>
    <w:p>
      <w:pPr>
        <w:spacing w:after="0" w:line="131" w:lineRule="exact"/>
        <w:rPr>
          <w:sz w:val="20"/>
          <w:szCs w:val="20"/>
          <w:color w:val="auto"/>
        </w:rPr>
      </w:pPr>
    </w:p>
    <w:p>
      <w:pPr>
        <w:ind w:left="1540" w:hanging="331"/>
        <w:spacing w:after="0" w:line="258" w:lineRule="auto"/>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CEO Option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2019 CEO Option Agreement is substantially similar to the 2018 CEO Option Agreement, except that (i) vesting is measured from the grant date (not an earlier vesting commencement date), and (ii) with respect to 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80" w:lineRule="exact"/>
        <w:rPr>
          <w:sz w:val="20"/>
          <w:szCs w:val="20"/>
          <w:color w:val="auto"/>
        </w:rPr>
      </w:pPr>
    </w:p>
    <w:p>
      <w:pPr>
        <w:jc w:val="both"/>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Option Agreement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870,757 Time Options with an exercise price of $5.49 to Mr. Hicks pursuant to an Option Agreement under the 2011 Equity Plan, or the 2020 CEO Option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of Time Options, the 2020 CEO Option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shall be vested and exercisable on the date of such termination.</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Option immediately following the date of such termination, had he remained in service through such vesting date, will become vested and exercisable as of such termination.</w:t>
      </w:r>
    </w:p>
    <w:p>
      <w:pPr>
        <w:spacing w:after="0" w:line="67" w:lineRule="exact"/>
        <w:rPr>
          <w:sz w:val="20"/>
          <w:szCs w:val="20"/>
          <w:color w:val="auto"/>
        </w:rPr>
      </w:pPr>
    </w:p>
    <w:p>
      <w:pPr>
        <w:ind w:left="1080" w:right="200" w:hanging="424"/>
        <w:spacing w:after="0" w:line="312" w:lineRule="auto"/>
        <w:tabs>
          <w:tab w:leader="none" w:pos="10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2016 Executive Option Agreement</w:t>
      </w:r>
    </w:p>
    <w:p>
      <w:pPr>
        <w:spacing w:after="0" w:line="11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2016 Executive Option Agreement is substantially similar to the 2018 CEO Option Agreement, except that it contains the following vesting schedule with respect to the Time Options: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Mr. Attaway’s continued service through the applicable vesting date.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2017 Executive Option Agreement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67" w:lineRule="exact"/>
        <w:rPr>
          <w:sz w:val="20"/>
          <w:szCs w:val="20"/>
          <w:color w:val="auto"/>
        </w:rPr>
      </w:pPr>
    </w:p>
    <w:p>
      <w:pPr>
        <w:ind w:left="10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(repriced down from $6.03 by the Compensation Committee in 2018) to Mr. Mullican;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(repriced down from $6.03 by the Compensation Committee in 2018) to Mr. Johnson;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123,154 Time Options and 61,576 Performance Options with an exercise price of $5.30 (repriced down from $6.03 by the Compensation Committee in 2018) to Mr. Attaway.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Time Options:</w:t>
      </w:r>
    </w:p>
    <w:p>
      <w:pPr>
        <w:spacing w:after="0" w:line="131" w:lineRule="exact"/>
        <w:rPr>
          <w:sz w:val="20"/>
          <w:szCs w:val="20"/>
          <w:color w:val="auto"/>
        </w:rPr>
      </w:pPr>
    </w:p>
    <w:p>
      <w:pPr>
        <w:ind w:left="1080" w:right="1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Performance Options: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85" w:lineRule="exact"/>
        <w:rPr>
          <w:sz w:val="20"/>
          <w:szCs w:val="20"/>
          <w:color w:val="auto"/>
        </w:rPr>
      </w:pPr>
    </w:p>
    <w:p>
      <w:pPr>
        <w:ind w:left="1080" w:hanging="424"/>
        <w:spacing w:after="0" w:line="258"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-852170</wp:posOffset>
            </wp:positionV>
            <wp:extent cx="285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Option Agreement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67" w:lineRule="exact"/>
        <w:rPr>
          <w:sz w:val="20"/>
          <w:szCs w:val="20"/>
          <w:color w:val="auto"/>
        </w:rPr>
      </w:pPr>
    </w:p>
    <w:p>
      <w:pPr>
        <w:ind w:left="1080" w:right="3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128,825 Time Options and 64,412 Performance Options with an exercise price of $5.23 to Mr. Mullican;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104,670 Time Options and 52,335 Performance Options with an exercise price of $5.23 to Mr. Johnson;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112,722 Time Options and 56,361 Performance Options with an exercise price of $5.23 to Mr. Attaway.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67"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138,861 Time Options and 68,393 Performance Options with an exercise price of $5.26 to Mr. Mullican;</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121,504 Time Options and 59,844 Performance Options with an exercise price of $5.26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6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217,689 Time Options with an exercise price of $5.49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2020 Executive Option Agreement provides: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320" w:top="455" w:right="5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consummation of this offering), the Company will record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Independent Non-Employee Director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Restricted Unit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2018 CEO Restricted Unit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and (ii) the date of a Change of Control, any of the foregoing (i) and (ii) being an Initial Vesting Event, if Mr. Hicks is in continuous service on the date of the Initial Vesting Event.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60"/>
          </w:cols>
          <w:pgMar w:left="320" w:top="455" w:right="51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540" w:right="260" w:hanging="331"/>
        <w:spacing w:after="0" w:line="282"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(June 22, 2018), the total number of Restricted Units that will vest on the Initial Vesting Event shall be increased by 1/24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vesting commencement date, and</w:t>
      </w:r>
    </w:p>
    <w:p>
      <w:pPr>
        <w:spacing w:after="0" w:line="81"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all of the Restricted Units will vest on the Initial Vesting Event;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80" w:hanging="331"/>
        <w:spacing w:after="0" w:line="272" w:lineRule="auto"/>
        <w:tabs>
          <w:tab w:leader="none" w:pos="15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ind w:left="1540" w:right="120" w:hanging="331"/>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Restricted Units as of such date, vesting will continue under the Time and Service Based Requirement as set forth in clause (2) above, each vesting date a Subsequent Vesting Event. If his service is terminated at any time following this offering, any then-unvested Restricted Units shall be forfeited as of the date of his termination of service.</w:t>
      </w:r>
    </w:p>
    <w:p>
      <w:pPr>
        <w:spacing w:after="0" w:line="180"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w:t>
      </w:r>
    </w:p>
    <w:p>
      <w:pPr>
        <w:spacing w:after="0" w:line="2" w:lineRule="exact"/>
        <w:rPr>
          <w:sz w:val="20"/>
          <w:szCs w:val="20"/>
          <w:color w:val="auto"/>
        </w:rPr>
      </w:pPr>
    </w:p>
    <w:p>
      <w:pPr>
        <w:ind w:left="120" w:right="80" w:hanging="4"/>
        <w:spacing w:after="0" w:line="260" w:lineRule="auto"/>
        <w:tabs>
          <w:tab w:leader="none" w:pos="3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after the consummation of the IPO or (y) March 15th of the calendar year following the calendar year in which the IPO is consummated.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Restricted Unit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303,279 Restricted Units to Mr. Hicks pursuant to a Restricted Unit Agreement under the 2011 Equity Plan, or the 2020 CEO Restricted Unit Agreement.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2020 CEO Restricted Unit Agreement provides that only “Earned Restricted Units” are eligible to become vested in accordance with the vesting schedule set forth therein. Restricted Units become “Earned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Company’s actual consolidated Adjusted EBITDA for the RU Grant Year is: (i) equal to or greater than the “high performance target,” then</w:t>
      </w:r>
    </w:p>
    <w:p>
      <w:pPr>
        <w:spacing w:after="0" w:line="27"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8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1"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Mr. Hicks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line="258" w:lineRule="auto"/>
        <w:tabs>
          <w:tab w:leader="none" w:pos="22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the total number of Earned Restricted Units that will vest on the Initial Vesting Event shall be increased by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Earned Restricted Units will vest on the Initial Vesting Event, and</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all of the Earned Restricted Units will vest on the Initial Vesting Event;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(such as this offering),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88"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after IPO.</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Earned Restricted Units as of such date, vesting will continue under the Time and Service Based Requirement schedule as set forth in clause (2) above, each vesting date, a Subsequent Vesting Event. If his service is terminated at any time following this offering, any then-unvested Earned Restricted Units shall be forfeited as of the date of his termination of service.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2020 CEO Restricted Unit Agreement provides that within 30 days following the occurrence of the Initial Vesting Event or any Subsequent Vesting Event as set forth above, Earned Restricted Units that vest as of the Initial Vesting Event or any Subsequent Vesting Event shall be settled; provided, that if the Initial Vesting Event is an IPO (such as this offering),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67"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2018,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377,359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235,850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6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Requirement and (ii) a liquidity event requirement, or the Liquidity Event Requirement, each as described in clauses (1) and (2) below:</w:t>
      </w:r>
    </w:p>
    <w:p>
      <w:pPr>
        <w:spacing w:after="0" w:line="131" w:lineRule="exact"/>
        <w:rPr>
          <w:sz w:val="20"/>
          <w:szCs w:val="20"/>
          <w:color w:val="auto"/>
        </w:rPr>
      </w:pPr>
    </w:p>
    <w:p>
      <w:pPr>
        <w:ind w:left="1540" w:right="40" w:hanging="331"/>
        <w:spacing w:after="0" w:line="266"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the grantee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on or after the first anniversary of the grant date but prior to the second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 on or after the second anniversary of the grant date but prior to the third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 on or after the third anniversary of the grant date but prior to the fourth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25% on or after the fourth anniversary of the grant date;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72" w:lineRule="auto"/>
        <w:tabs>
          <w:tab w:leader="none" w:pos="15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is in continuous service on the date of the Initial Vesting Event, then (i) if the Initial Vesting Event is a Change of Control, all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jc w:val="both"/>
        <w:ind w:left="1540" w:right="160" w:hanging="331"/>
        <w:spacing w:after="0" w:line="266"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at any time following this offering, any then-unvested Restricted Units shall be forfeited as of the date of the grantee’s termination of service.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Restricted Unit Agreement</w:t>
      </w:r>
    </w:p>
    <w:p>
      <w:pPr>
        <w:spacing w:after="0" w:line="11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Restricted Unit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Lawrence, Johnson, and Attaway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2020 Executive Restricted Unit Agreement:</w:t>
      </w:r>
    </w:p>
    <w:p>
      <w:pPr>
        <w:spacing w:after="0" w:line="112"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 Restricted Units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39,427 Restricted Units to Mr. Attaway.</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67" w:lineRule="exact"/>
        <w:rPr>
          <w:sz w:val="20"/>
          <w:szCs w:val="20"/>
          <w:color w:val="auto"/>
        </w:rPr>
      </w:pPr>
    </w:p>
    <w:p>
      <w:pPr>
        <w:ind w:left="1080" w:right="86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1540" w:right="520" w:hanging="331"/>
        <w:spacing w:after="0" w:line="312" w:lineRule="auto"/>
        <w:tabs>
          <w:tab w:leader="none" w:pos="154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45" w:lineRule="exact"/>
        <w:rPr>
          <w:rFonts w:ascii="Times New Roman" w:cs="Times New Roman" w:eastAsia="Times New Roman" w:hAnsi="Times New Roman"/>
          <w:sz w:val="17"/>
          <w:szCs w:val="17"/>
          <w:color w:val="auto"/>
        </w:rPr>
      </w:pPr>
    </w:p>
    <w:p>
      <w:pPr>
        <w:ind w:left="1540" w:right="520" w:hanging="331"/>
        <w:spacing w:after="0" w:line="282"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75% on or after the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100% on or after the fourth anniversary of the vesting commencement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Awards under 2020 Equity Plan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Company’s 2020 Omnibus Incentive Plan, or the 2020 Equity Plan. Equity awards under the 2020 Equity Plan will be designed to reward our Named Executive Officers for long-term equityholder value creation. In determining equity awards, we anticipate that our Compensation Committee will take into account the Company’s overall financial performance as well as its performance versus competitor firms.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Pension Benefits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Nonqualified Deferred Compensation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Benefits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Benefits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Hicks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80" w:hanging="4"/>
        <w:spacing w:after="0" w:line="282" w:lineRule="auto"/>
        <w:tabs>
          <w:tab w:leader="none" w:pos="7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have use of a company-owned vehicle when in Katy, Texas with satellite radio and all maintenance and insurance costs with respect to such vehicle; and</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Johnson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pursuant to his employment agreement, the Company provided Mr. Johnson reimbursement for relocation expenses, with a tax gross-up.</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Attaway</w:t>
      </w:r>
    </w:p>
    <w:p>
      <w:pPr>
        <w:spacing w:after="0" w:line="119"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In 2019, Mr. Attaway received tax preparation reimbursement regarding his Allstar Managers LLC unit subscription, which was offered to all employees who subscribed for units at that time. This benefit will cease to apply in 2020 by mutual agreement of the Company and Mr. Attaway.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total compensation earned by our Named Executive Officers in the fiscal year ended February 1, 2020 (or</w:t>
      </w:r>
    </w:p>
    <w:p>
      <w:pPr>
        <w:spacing w:after="0" w:line="27" w:lineRule="exact"/>
        <w:rPr>
          <w:sz w:val="20"/>
          <w:szCs w:val="20"/>
          <w:color w:val="auto"/>
        </w:rPr>
      </w:pPr>
    </w:p>
    <w:p>
      <w:pPr>
        <w:ind w:left="120" w:right="540"/>
        <w:spacing w:after="0" w:line="260" w:lineRule="auto"/>
        <w:rPr>
          <w:sz w:val="20"/>
          <w:szCs w:val="20"/>
          <w:color w:val="auto"/>
        </w:rPr>
      </w:pPr>
      <w:r>
        <w:rPr>
          <w:rFonts w:ascii="Times New Roman" w:cs="Times New Roman" w:eastAsia="Times New Roman" w:hAnsi="Times New Roman"/>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86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Ken C. Hicks</w:t>
            </w:r>
          </w:p>
        </w:tc>
        <w:tc>
          <w:tcPr>
            <w:tcW w:w="36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1,100,000</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2,808,290</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1,868,667</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1,089,042</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6,865,999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P. Mullican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487,827</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571,336</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505,353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1,588,183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Chief Financial Officer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P. Lawrence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677,596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1,428,983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858,663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3,165,242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Merchandising Officer(7)</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J. Johnson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463,884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480,509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1,498,182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Retail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D. Attaway</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446,500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464,211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462,541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1,399,456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Operations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Named Executive Officer’s base salary earned during 2019.</w:t>
      </w:r>
    </w:p>
    <w:p>
      <w:pPr>
        <w:spacing w:after="0" w:line="26" w:lineRule="exact"/>
        <w:rPr>
          <w:rFonts w:ascii="Times New Roman" w:cs="Times New Roman" w:eastAsia="Times New Roman" w:hAnsi="Times New Roman"/>
          <w:sz w:val="16"/>
          <w:szCs w:val="16"/>
          <w:color w:val="auto"/>
        </w:rPr>
      </w:pPr>
    </w:p>
    <w:p>
      <w:pPr>
        <w:ind w:left="540" w:right="40" w:hanging="424"/>
        <w:spacing w:after="0" w:line="264" w:lineRule="auto"/>
        <w:tabs>
          <w:tab w:leader="none" w:pos="5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ind w:left="540" w:right="140" w:hanging="424"/>
        <w:spacing w:after="0" w:line="264" w:lineRule="auto"/>
        <w:tabs>
          <w:tab w:leader="none" w:pos="5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w:t>
      </w:r>
    </w:p>
    <w:p>
      <w:pPr>
        <w:ind w:left="540" w:right="20" w:hanging="424"/>
        <w:spacing w:after="0" w:line="268" w:lineRule="auto"/>
        <w:tabs>
          <w:tab w:leader="none" w:pos="54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6"/>
          <w:szCs w:val="16"/>
          <w:i w:val="1"/>
          <w:iCs w:val="1"/>
          <w:color w:val="auto"/>
        </w:rPr>
        <w:t>Equity and Unit-Based Compensation</w:t>
      </w:r>
      <w:r>
        <w:rPr>
          <w:rFonts w:ascii="Times New Roman" w:cs="Times New Roman" w:eastAsia="Times New Roman" w:hAnsi="Times New Roman"/>
          <w:sz w:val="16"/>
          <w:szCs w:val="16"/>
          <w:color w:val="auto"/>
        </w:rPr>
        <w:t xml:space="preserve"> to our audited consolidated financial statements included in our Annual Report,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6" w:lineRule="exact"/>
        <w:rPr>
          <w:sz w:val="20"/>
          <w:szCs w:val="20"/>
          <w:color w:val="auto"/>
        </w:rPr>
      </w:pPr>
    </w:p>
    <w:p>
      <w:pPr>
        <w:ind w:left="540" w:right="380" w:hanging="424"/>
        <w:spacing w:after="0" w:line="269" w:lineRule="auto"/>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description of our perquisites, see “Other Compensation—Perquisites and Other Benefits” in this Compensation Discussion and Analysis.</w:t>
      </w:r>
    </w:p>
    <w:p>
      <w:pPr>
        <w:spacing w:after="0" w:line="118" w:lineRule="exact"/>
        <w:rPr>
          <w:rFonts w:ascii="Times New Roman" w:cs="Times New Roman" w:eastAsia="Times New Roman" w:hAnsi="Times New Roman"/>
          <w:sz w:val="16"/>
          <w:szCs w:val="16"/>
          <w:color w:val="auto"/>
        </w:rPr>
      </w:pPr>
    </w:p>
    <w:p>
      <w:pPr>
        <w:ind w:left="560" w:right="42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for Mr. Hicks includes the following perquisites, pursuant to Mr. Hicks’ employment agreement and which were approved by the Compensation Committee:</w:t>
      </w:r>
    </w:p>
    <w:p>
      <w:pPr>
        <w:spacing w:after="0" w:line="56" w:lineRule="exact"/>
        <w:rPr>
          <w:rFonts w:ascii="Times New Roman" w:cs="Times New Roman" w:eastAsia="Times New Roman" w:hAnsi="Times New Roman"/>
          <w:sz w:val="16"/>
          <w:szCs w:val="16"/>
          <w:color w:val="auto"/>
        </w:rPr>
      </w:pPr>
    </w:p>
    <w:p>
      <w:pPr>
        <w:ind w:left="1000" w:right="80" w:hanging="3"/>
        <w:spacing w:after="0" w:line="298" w:lineRule="auto"/>
        <w:tabs>
          <w:tab w:leader="none" w:pos="1194"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56" w:lineRule="exact"/>
        <w:rPr>
          <w:rFonts w:ascii="Times New Roman" w:cs="Times New Roman" w:eastAsia="Times New Roman" w:hAnsi="Times New Roman"/>
          <w:sz w:val="16"/>
          <w:szCs w:val="16"/>
          <w:color w:val="auto"/>
        </w:rPr>
      </w:pPr>
    </w:p>
    <w:p>
      <w:pPr>
        <w:ind w:left="1000" w:right="340" w:hanging="3"/>
        <w:spacing w:after="0" w:line="298" w:lineRule="auto"/>
        <w:tabs>
          <w:tab w:leader="none" w:pos="1239"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56" w:lineRule="exact"/>
        <w:rPr>
          <w:rFonts w:ascii="Times New Roman" w:cs="Times New Roman" w:eastAsia="Times New Roman" w:hAnsi="Times New Roman"/>
          <w:sz w:val="16"/>
          <w:szCs w:val="16"/>
          <w:color w:val="auto"/>
        </w:rPr>
      </w:pPr>
    </w:p>
    <w:p>
      <w:pPr>
        <w:jc w:val="both"/>
        <w:ind w:left="1000" w:right="60" w:hanging="3"/>
        <w:spacing w:after="0" w:line="281" w:lineRule="auto"/>
        <w:tabs>
          <w:tab w:leader="none" w:pos="1284"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69"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56" w:lineRule="exact"/>
        <w:rPr>
          <w:sz w:val="20"/>
          <w:szCs w:val="20"/>
          <w:color w:val="auto"/>
        </w:rPr>
      </w:pPr>
    </w:p>
    <w:p>
      <w:pPr>
        <w:ind w:left="560" w:right="40"/>
        <w:spacing w:after="0" w:line="281" w:lineRule="auto"/>
        <w:rPr>
          <w:sz w:val="20"/>
          <w:szCs w:val="20"/>
          <w:color w:val="auto"/>
        </w:rPr>
      </w:pPr>
      <w:r>
        <w:rPr>
          <w:rFonts w:ascii="Times New Roman" w:cs="Times New Roman" w:eastAsia="Times New Roman" w:hAnsi="Times New Roman"/>
          <w:sz w:val="16"/>
          <w:szCs w:val="16"/>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69"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56"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56" w:lineRule="exact"/>
        <w:rPr>
          <w:sz w:val="20"/>
          <w:szCs w:val="20"/>
          <w:color w:val="auto"/>
        </w:rPr>
      </w:pPr>
    </w:p>
    <w:p>
      <w:pPr>
        <w:ind w:left="560" w:right="260"/>
        <w:spacing w:after="0" w:line="298" w:lineRule="auto"/>
        <w:rPr>
          <w:sz w:val="20"/>
          <w:szCs w:val="20"/>
          <w:color w:val="auto"/>
        </w:rPr>
      </w:pPr>
      <w:r>
        <w:rPr>
          <w:rFonts w:ascii="Times New Roman" w:cs="Times New Roman" w:eastAsia="Times New Roman" w:hAnsi="Times New Roman"/>
          <w:sz w:val="16"/>
          <w:szCs w:val="16"/>
          <w:color w:val="auto"/>
        </w:rPr>
        <w:t>“All Other Compensation” for Mr. Attaway includes: (i) $16,859 for the employer matching contribution by the Company under our 401(k) plan; (ii) $1,800 in connection with an executive physical; (iii) $5,000 in connection with financial planning; and (iv) $2,545 in connection with tax preparation assistance.</w:t>
      </w:r>
    </w:p>
    <w:p>
      <w:pPr>
        <w:spacing w:after="0" w:line="56"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88"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 commenced employment with us on February 11, 2019, after the beginning of the 2019 fiscal year. He did not participate in the 401(k) plan in 2019.</w:t>
      </w:r>
    </w:p>
    <w:p>
      <w:pPr>
        <w:spacing w:after="0" w:line="162" w:lineRule="exact"/>
        <w:rPr>
          <w:rFonts w:ascii="Times New Roman" w:cs="Times New Roman" w:eastAsia="Times New Roman" w:hAnsi="Times New Roman"/>
          <w:sz w:val="16"/>
          <w:szCs w:val="16"/>
          <w:color w:val="auto"/>
        </w:rPr>
      </w:pPr>
    </w:p>
    <w:p>
      <w:pPr>
        <w:ind w:left="5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WITH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Each of Messrs. Hicks, Mullican, Lawrence, and Johnson are subject to the following restrictive covenants under their applicable employment agreements: (i) confidentiality during employment and perpetually upon termination, (ii) irrevocable assignment of all rights of any intellectual property created during employment to the Company, (iii) non-competition during employment and for 24 months following termination, and</w:t>
      </w:r>
    </w:p>
    <w:p>
      <w:pPr>
        <w:spacing w:after="0" w:line="1" w:lineRule="exact"/>
        <w:rPr>
          <w:sz w:val="20"/>
          <w:szCs w:val="20"/>
          <w:color w:val="auto"/>
        </w:rPr>
      </w:pPr>
    </w:p>
    <w:p>
      <w:pPr>
        <w:ind w:left="120" w:right="640" w:hanging="4"/>
        <w:spacing w:after="0" w:line="250" w:lineRule="auto"/>
        <w:tabs>
          <w:tab w:leader="none" w:pos="42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no hire, and non-solicitation of customers for 24 months following termination. Mr. Attaway is subject to the following restrictive covenants under his employment agreement: (i) confidentiality during employment and perpetually upon termination,</w:t>
      </w:r>
    </w:p>
    <w:p>
      <w:pPr>
        <w:ind w:left="120" w:right="140" w:hanging="4"/>
        <w:spacing w:after="0" w:line="253" w:lineRule="auto"/>
        <w:tabs>
          <w:tab w:leader="none" w:pos="3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below, each of the employment agreements also provides for certain severance payments that may be due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Hicks Employment Agreement</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Hicks Employment Agreement has no specified employment term and may be terminated by either the Company or Mr. Hicks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During Mr. Hicks’ employment: (i) the Company shall pay directly or reimburse him for reasonable monthly rent and utilities costs (including electric, gas, water, alarm, cable, housekeeping and internet but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excluding meals and laundry) for a furnished rental apartment in the Katy, Texas area, (ii) 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Mullican Employment Agreement</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Employment Agreement</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Lawrence Employment Agreement has no specified employment term and may be terminated by either the Company or Mr. Lawrence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Johnson Employment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Johnson Employment Agreement provides that Mr. Johnson’s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Johnson.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Attaway Employment Agreement</w:t>
      </w:r>
    </w:p>
    <w:p>
      <w:pPr>
        <w:spacing w:after="0" w:line="121"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60"/>
          </w:cols>
          <w:pgMar w:left="320" w:top="455" w:right="51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 BASED AWARDS IN 2019</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 information regarding equity incentive plan awards, please see “Long-Term Equity Incentive Compensation—Equity Awards under 2011 Equity Plan.”</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 Based Awards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2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Plan Awards(3)</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Annual</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694,301</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1,881,555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341,969</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926,735</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Mullican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243,911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487,822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975,644</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138,861</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383,256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68,393</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188,080</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414,438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828,876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1,657,752</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411,270</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1,135,105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37,488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106,865</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293,878</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142,586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 J. Johnson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231,920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463,840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927,680</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121,504</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335,351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59,844</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164,571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223,247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446,495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892,990</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112,824</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311,394</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55,570</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line="226" w:lineRule="auto"/>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 Named Executive Officers are set forth in the “Summary Compensation Table” above and the calculation of the actual amounts paid is discussed more fully in “—Executive Team Bonus Plan” above.</w:t>
      </w:r>
    </w:p>
    <w:p>
      <w:pPr>
        <w:ind w:left="540" w:hanging="424"/>
        <w:spacing w:after="0" w:line="221" w:lineRule="auto"/>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applicable to each Time Option, Performance Option, and Restricted Unit award is set forth in the “—Outstanding Equity Awards at Fiscal Year End Table” table.</w:t>
      </w:r>
    </w:p>
    <w:p>
      <w:pPr>
        <w:ind w:left="540" w:hanging="424"/>
        <w:spacing w:after="0" w:line="221" w:lineRule="auto"/>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level of achievement is the highest level of achievement possible under the equity incentive plan awards listed in this table.</w:t>
      </w:r>
    </w:p>
    <w:p>
      <w:pPr>
        <w:ind w:left="540" w:right="80" w:hanging="424"/>
        <w:spacing w:after="0" w:line="221" w:lineRule="auto"/>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4"/>
          <w:szCs w:val="14"/>
          <w:i w:val="1"/>
          <w:iCs w:val="1"/>
          <w:color w:val="auto"/>
        </w:rPr>
        <w:t>Equity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Unit-Based Compensation </w:t>
      </w:r>
      <w:r>
        <w:rPr>
          <w:rFonts w:ascii="Times New Roman" w:cs="Times New Roman" w:eastAsia="Times New Roman" w:hAnsi="Times New Roman"/>
          <w:sz w:val="14"/>
          <w:szCs w:val="14"/>
          <w:color w:val="auto"/>
        </w:rPr>
        <w:t>to our audited consolidated financial statements incorporated by reference in this prospectus. The grant date fair value of the Performance Options,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 w:lineRule="exact"/>
        <w:rPr>
          <w:rFonts w:ascii="Times New Roman" w:cs="Times New Roman" w:eastAsia="Times New Roman" w:hAnsi="Times New Roman"/>
          <w:sz w:val="14"/>
          <w:szCs w:val="14"/>
          <w:color w:val="auto"/>
        </w:rPr>
      </w:pPr>
    </w:p>
    <w:p>
      <w:pPr>
        <w:ind w:left="540" w:right="100" w:hanging="424"/>
        <w:spacing w:after="0" w:line="228" w:lineRule="auto"/>
        <w:tabs>
          <w:tab w:leader="none" w:pos="5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regard to each outstanding equity award held by the Named Executive Officers on February 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040" w:type="dxa"/>
            <w:vAlign w:val="bottom"/>
            <w:gridSpan w:val="3"/>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Date(4)</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1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9/16/2018</w:t>
            </w:r>
          </w:p>
        </w:tc>
        <w:tc>
          <w:tcPr>
            <w:tcW w:w="1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18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735,295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4,036,769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226,674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291,461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259,068</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144,640</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3/7/2019(10)</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341,969</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P. Mullican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9"/>
              </w:rPr>
              <w:t>3/23/2017(11)</w:t>
            </w:r>
          </w:p>
        </w:tc>
        <w:tc>
          <w:tcPr>
            <w:tcW w:w="180" w:type="dxa"/>
            <w:vAlign w:val="bottom"/>
          </w:tcPr>
          <w:p>
            <w:pPr>
              <w:spacing w:after="0"/>
              <w:rPr>
                <w:sz w:val="10"/>
                <w:szCs w:val="10"/>
                <w:color w:val="auto"/>
              </w:rPr>
            </w:pP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49,261</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49,262</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3/23/2017(12)</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21,429</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4/5/2018(13)</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32,206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96,619</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4/5/2018(14)</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64,412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3/7/2019(15)</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138,861</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3/7/2019(16)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68,393</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3/7/2019</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142,586</w:t>
            </w:r>
          </w:p>
        </w:tc>
        <w:tc>
          <w:tcPr>
            <w:tcW w:w="7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411,270</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106,865</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Sam J. Johnson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6/6/2017(19)</w:t>
            </w:r>
          </w:p>
        </w:tc>
        <w:tc>
          <w:tcPr>
            <w:tcW w:w="9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6/6/2017(20)</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10,436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16,072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4/5/2018(21)</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26,167</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78,503</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52,335</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1,294,816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3/7/2019(23)</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121,504</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3/7/2019(24)</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59,844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7/2/2015(25)</w:t>
            </w:r>
          </w:p>
        </w:tc>
        <w:tc>
          <w:tcPr>
            <w:tcW w:w="9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7/2/2015(26)</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3/27/2016(27)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88,752</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29,585</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3/27/2026</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61,576</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61,578</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26,786</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28,180</w:t>
            </w:r>
          </w:p>
        </w:tc>
        <w:tc>
          <w:tcPr>
            <w:tcW w:w="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84,542</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56,361</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141,510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776,889</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3/7/2019(32)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112,824</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55,570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vested Time Options and vested Performance Options as of February 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(i) unvested Time Options as of February 1, 2020, or (ii) Performance Options which became Earned and are subject to time vesting.</w:t>
      </w:r>
    </w:p>
    <w:p>
      <w:pPr>
        <w:ind w:left="540" w:hanging="424"/>
        <w:spacing w:after="0" w:line="221" w:lineRule="auto"/>
        <w:tabs>
          <w:tab w:leader="none" w:pos="5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unvested Performance Options that are not Earned as of February 1, 2020.</w:t>
      </w:r>
    </w:p>
    <w:p>
      <w:pPr>
        <w:ind w:left="540" w:hanging="424"/>
        <w:spacing w:after="0" w:line="221" w:lineRule="auto"/>
        <w:tabs>
          <w:tab w:leader="none" w:pos="5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for each of the Options is the date that is ten years after the initial grant date.</w:t>
      </w:r>
    </w:p>
    <w:p>
      <w:pPr>
        <w:ind w:left="540" w:right="160" w:hanging="424"/>
        <w:spacing w:after="0" w:line="239" w:lineRule="auto"/>
        <w:tabs>
          <w:tab w:leader="none" w:pos="5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Units granted to each Named Executive Officer are reported in this column because they are subject to a liquidity event-based vesting condition which will only be satisfied upon the closing of this offering, in addition to any other vesting conditions that continue to</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300"/>
        <w:spacing w:after="0" w:line="233" w:lineRule="auto"/>
        <w:rPr>
          <w:sz w:val="20"/>
          <w:szCs w:val="20"/>
          <w:color w:val="auto"/>
        </w:rPr>
      </w:pPr>
      <w:r>
        <w:rPr>
          <w:rFonts w:ascii="Times New Roman" w:cs="Times New Roman" w:eastAsia="Times New Roman" w:hAnsi="Times New Roman"/>
          <w:sz w:val="14"/>
          <w:szCs w:val="14"/>
          <w:color w:val="auto"/>
        </w:rPr>
        <w:t>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ind w:left="540" w:right="22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ind w:left="540" w:right="66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2018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vesting commencement date (April 5, 2018), subject to continued employment through the applicable vesting date.</w:t>
      </w:r>
    </w:p>
    <w:p>
      <w:pPr>
        <w:ind w:left="540" w:right="10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66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2019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grant date, subject to continued employment through the applicable vesting date.</w:t>
      </w:r>
    </w:p>
    <w:p>
      <w:pPr>
        <w:ind w:left="540" w:right="6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39" w:lineRule="auto"/>
        <w:tabs>
          <w:tab w:leader="none" w:pos="5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80" w:hanging="424"/>
        <w:spacing w:after="0" w:line="224"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jc w:val="both"/>
        <w:ind w:left="540" w:right="44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ind w:left="540" w:right="4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ind w:left="540" w:right="12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8" w:lineRule="auto"/>
        <w:tabs>
          <w:tab w:leader="none" w:pos="5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right="100" w:hanging="424"/>
        <w:spacing w:after="0" w:line="233" w:lineRule="auto"/>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120" w:hanging="424"/>
        <w:spacing w:after="0" w:line="228" w:lineRule="auto"/>
        <w:tabs>
          <w:tab w:leader="none" w:pos="54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2019 Restricted Units Vested Table</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Units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80" w:hanging="424"/>
        <w:spacing w:after="0" w:line="261"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ind w:left="540" w:right="160" w:hanging="424"/>
        <w:spacing w:after="0" w:line="290" w:lineRule="auto"/>
        <w:tabs>
          <w:tab w:leader="none" w:pos="5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 (i) exercise all of the powers granted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it under the 2011 Equity Plan, (ii) construe, interpret and implement the 2011 Equity Plan and any award agreement, (iii) prescribe, amend and rescind rules and regulations relating to the 2011 Equity Plan, including rules governing its own operations, (iv) 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Membership Unit Reserve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a total of 36,933,859 Membership Units available for awards under the 2011 Equity Plan.</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2011 Equity Plan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 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and Distributions of Awards</w:t>
      </w:r>
    </w:p>
    <w:p>
      <w:pPr>
        <w:spacing w:after="0" w:line="11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2011 Equity Plan and Awards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 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Treatment of Awards upon Change of Control</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the 2011 Equity Plan, “Change of Control” is generally defined as (a) the sale of all or substantially all of the assets of the Company or Allstar LLC, or the Managing Member, to any “Person,” as such 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 (B) 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21"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Prior to the completion of this offering, the Compensation Committee will adopt, and we expect our equityholders to approve, the 2020 Equity Plan. Equity awards under the 2020 Equity Plan will be designed to reward our Named Executive Officers for long-term equityholder value creation.</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2020 Equity Plan will be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 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2020 Equity Plan</w:t>
      </w:r>
    </w:p>
    <w:p>
      <w:pPr>
        <w:sectPr>
          <w:pgSz w:w="11900" w:h="16838" w:orient="portrait"/>
          <w:cols w:equalWidth="0" w:num="1">
            <w:col w:w="11060"/>
          </w:cols>
          <w:pgMar w:left="320" w:top="455" w:right="519" w:bottom="1440" w:gutter="0" w:footer="0" w:header="0"/>
        </w:sectPr>
      </w:pP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2020 Equity Plan provides that the total number of shares of common stock that may be issued under the 2020 Equity Plan 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Absolute Share Limit. No more than the number of shares of common stock equal to the Absolute Share Limit may be issued in the aggregate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exercise of incentive stock options. The maximum number of shares of common stock granted during a single fiscal year to</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or</w:t>
      </w:r>
    </w:p>
    <w:p>
      <w:pPr>
        <w:spacing w:after="0" w:line="600" w:lineRule="exact"/>
        <w:rPr>
          <w:sz w:val="20"/>
          <w:szCs w:val="20"/>
          <w:color w:val="auto"/>
        </w:rPr>
      </w:pPr>
    </w:p>
    <w:p>
      <w:pPr>
        <w:sectPr>
          <w:pgSz w:w="11900" w:h="16838" w:orient="portrait"/>
          <w:cols w:equalWidth="0" w:num="2">
            <w:col w:w="10580" w:space="60"/>
            <w:col w:w="420"/>
          </w:cols>
          <w:pgMar w:left="320" w:top="455" w:right="51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5" w:right="519" w:bottom="1440" w:gutter="0" w:footer="0" w:header="0"/>
          <w:type w:val="continuous"/>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any non-employee director, taken together with any cash fees paid to such non-employee director during the fiscal year, may not exceed $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effective date (as defined therein), but awards granted before then may extend beyond that date.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The Compensation Committee may grant non-qualified stock options and incentive stock options, under the 2020 Equity Plan, with terms and conditions determined by the Compensation Committee that are not 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will be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w:t>
      </w:r>
    </w:p>
    <w:p>
      <w:pPr>
        <w:spacing w:after="0" w:line="7" w:lineRule="exact"/>
        <w:rPr>
          <w:sz w:val="20"/>
          <w:szCs w:val="20"/>
          <w:color w:val="auto"/>
        </w:rPr>
      </w:pPr>
    </w:p>
    <w:p>
      <w:pPr>
        <w:ind w:left="120" w:right="180" w:hanging="4"/>
        <w:spacing w:after="0" w:line="260" w:lineRule="auto"/>
        <w:tabs>
          <w:tab w:leader="none" w:pos="4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“net exercise” procedure effected by withholding the minimum number of shares needed to pay the exercise price. Any fractional shares of common stock will be settled in cash.</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Equity-Based Awards and Cash-Based Awards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2020 Equity Plan and Awards</w:t>
      </w:r>
    </w:p>
    <w:p>
      <w:pPr>
        <w:spacing w:after="0" w:line="11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any change of control, the Compensation Committee may, in its sole discretion, provide for any one or more of the following:</w:t>
      </w:r>
    </w:p>
    <w:p>
      <w:pPr>
        <w:spacing w:after="0" w:line="27" w:lineRule="exact"/>
        <w:rPr>
          <w:sz w:val="20"/>
          <w:szCs w:val="20"/>
          <w:color w:val="auto"/>
        </w:rPr>
      </w:pPr>
    </w:p>
    <w:p>
      <w:pPr>
        <w:ind w:left="120" w:hanging="4"/>
        <w:spacing w:after="0" w:line="252" w:lineRule="auto"/>
        <w:tabs>
          <w:tab w:leader="none" w:pos="33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substitution or assumption of awards, or to the extent the surviving entity does not substitute or assume the awards, the acceleration of vesting of, the exercisability of, or lapse of restrictions on awards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Clawback/Repayment</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the Board will adopt, and we expect our equityholders to approve, the Company’s 2020 Employee Stock Purchase Plan, or the ESPP. The ESPP is intended to give eligible employees an opportunity to acquire shares of our common stock and promote our best interests and enhance our long-term performance.</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ESPP is intended to qualify as an “employee stock purchase plan” under Section 423 of the Code. We may also authorize offerings under the ESPP that are not intended to comply with the requirements of Section 423 of the Code, which may, but are not required to, be made pursuant to any rules, procedures or sub-plans adopted by the Compensation Committee for such purpose.</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Shares Reserved for the ESPP</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aggregate number of shares of our common stock that may be issued under the ESPP may not exceed shares, which number will be automatically increased on the first day of each fiscal year beginning in in an amount equal to the least of (i) shares of our common</w:t>
      </w: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unless the Board elects to administer the ESPP. For the purposes of this summary, references to the “Compensation Committee” include the Compensation Committee and the Board, as applicable.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Effective Date</w:t>
      </w:r>
    </w:p>
    <w:p>
      <w:pPr>
        <w:spacing w:after="0" w:line="119" w:lineRule="exact"/>
        <w:rPr>
          <w:sz w:val="20"/>
          <w:szCs w:val="20"/>
          <w:color w:val="auto"/>
        </w:rPr>
      </w:pPr>
    </w:p>
    <w:p>
      <w:pPr>
        <w:ind w:left="560"/>
        <w:spacing w:after="0"/>
        <w:tabs>
          <w:tab w:leader="none" w:pos="3860" w:val="left"/>
        </w:tabs>
        <w:rPr>
          <w:sz w:val="20"/>
          <w:szCs w:val="20"/>
          <w:color w:val="auto"/>
        </w:rPr>
      </w:pPr>
      <w:r>
        <w:rPr>
          <w:rFonts w:ascii="Times New Roman" w:cs="Times New Roman" w:eastAsia="Times New Roman" w:hAnsi="Times New Roman"/>
          <w:sz w:val="18"/>
          <w:szCs w:val="18"/>
          <w:color w:val="auto"/>
        </w:rPr>
        <w:t>The ESPP will become effective on</w:t>
      </w:r>
      <w:r>
        <w:rPr>
          <w:sz w:val="20"/>
          <w:szCs w:val="20"/>
          <w:color w:val="auto"/>
        </w:rPr>
        <w:tab/>
      </w:r>
      <w:r>
        <w:rPr>
          <w:rFonts w:ascii="Times New Roman" w:cs="Times New Roman" w:eastAsia="Times New Roman" w:hAnsi="Times New Roman"/>
          <w:sz w:val="18"/>
          <w:szCs w:val="18"/>
          <w:color w:val="auto"/>
        </w:rPr>
        <w:t>, 2020. The term of the ESPP will continue until terminated by our Board or until the date on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shares available for issuance under the ESPP have been issued.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Eligible Participants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Subject to the Compensation Committee’s ability to exclude certain groups of employees on a uniform and nondiscriminatory 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the Company, whether now existing or existing in the future, that has been designated by the Compensation Committee from time to time in its sole discretion as eligible to participate in the ESPP. The Compensation Committee may designate subsidiaries or affiliates of the Company as designated companies in an offering that does not satisfy the requirements of Section 423 of the Code. For offerings that, when taken together with the ESPP, comply with Section 423 of the Code and the regulations thereunder, only the Company and its subsidiaries may be designated companies;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given time, a subsidiary that is a designated company under a Section 423 Code-compliant offering will not be a designated company under an offering that does not comply with Section 423 of the Code.</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participant may acquire common stock under the ESPP by authorizing the use of contributions to purchase shares of common stock. 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Price</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ESPP provides for two six-month offering periods, with one purchase period in each offering period. The Compensation Committee has the authority to change the duration of a purchase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change is announced a reasonable period of time prior to its effective date and the purchase period is not greater than 27 months.</w:t>
      </w:r>
    </w:p>
    <w:p>
      <w:pPr>
        <w:spacing w:after="0" w:line="176"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no participant may purchase shares of common stock with a fair market value (as of the date of purchase right grant) in excess of $25,000 per calendar year; and (b) in no event will the aggregate number of shares subject to purchase rights during a purchase period exceed the number of shares then available under the ESPP or the maximum number of shares available for any single purchase period (as described below). In addition, the number of shares of our common stock that may be</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purchased by all participants in any particular purchase period is limited to shares (subject to adjustment as provided in the ESPP), and the maximum number of shares of our common stock that may be purchased by any participant during any purchase period is limited to $ divided</w:t>
      </w: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by the fair market value per share of our common stock on the purchase period start date. The Compensation Committee may modify this limit from time to time by resolution or otherwise.</w:t>
      </w:r>
    </w:p>
    <w:p>
      <w:pPr>
        <w:spacing w:after="0" w:line="18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purchase price will be 95% (or such greater percentage as may be determined by the Compensation Committee prior to the start of any purchase period) of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as Equityholder</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have no rights as an equityholder with respect to our shares that the participant has a purchase right to purchase in any offering until those shares are issued to the participant.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Not Transferable</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participant’s rights under the ESPP will be exercisable only by the participant and are not transferable other than by will or the laws of descent or distribution.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 of a Change of Control; Adjustments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there is any change in the outstanding shares of our common stock because of a merger, change in control, consolidation, recapitalization or reorganization involving the Company, or if our Board declares a stock dividend, stock split distributable in shares of common stock or reverse stock split, other distribution or combination or reclassification of our common stock, or if there is a similar change in the capital stock structure of the Company affecting our common stock, then the number and class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of control, the Compensation Committee’s discretion includes, but is not limited to, the authority to provide for any of, or a combination of any of, the following:</w:t>
      </w:r>
    </w:p>
    <w:p>
      <w:pPr>
        <w:spacing w:after="0" w:line="97"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or substitution of purchase rights by a successor entity (or parent or subsidiary of such successor);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a date on which all outstanding purchase rights will be exercised on or before the consummation date of the change of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outstanding purchase rights and refund of accumulated contributions to each participant prior to the change of control;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outstanding purchase rights unchanged.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1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ESPP may be amended, altered, suspended and/or terminated at any time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approval of an amendment to the ESPP by our equityholders will be required to the extent, if any, that equityholder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S-8</w:t>
      </w:r>
    </w:p>
    <w:p>
      <w:pPr>
        <w:spacing w:after="0" w:line="121"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w:t>
      </w:r>
    </w:p>
    <w:p>
      <w:pPr>
        <w:spacing w:after="0" w:line="9" w:lineRule="exact"/>
        <w:rPr>
          <w:sz w:val="20"/>
          <w:szCs w:val="20"/>
          <w:color w:val="auto"/>
        </w:rPr>
      </w:pPr>
    </w:p>
    <w:p>
      <w:pPr>
        <w:ind w:left="120"/>
        <w:spacing w:after="0"/>
        <w:tabs>
          <w:tab w:leader="none" w:pos="3140" w:val="left"/>
        </w:tabs>
        <w:rPr>
          <w:sz w:val="20"/>
          <w:szCs w:val="20"/>
          <w:color w:val="auto"/>
        </w:rPr>
      </w:pPr>
      <w:r>
        <w:rPr>
          <w:rFonts w:ascii="Times New Roman" w:cs="Times New Roman" w:eastAsia="Times New Roman" w:hAnsi="Times New Roman"/>
          <w:sz w:val="18"/>
          <w:szCs w:val="18"/>
          <w:color w:val="auto"/>
        </w:rPr>
        <w:t>statement on Form S-8 will cover</w:t>
      </w:r>
      <w:r>
        <w:rPr>
          <w:sz w:val="20"/>
          <w:szCs w:val="20"/>
          <w:color w:val="auto"/>
        </w:rPr>
        <w:tab/>
      </w:r>
      <w:r>
        <w:rPr>
          <w:rFonts w:ascii="Times New Roman" w:cs="Times New Roman" w:eastAsia="Times New Roman" w:hAnsi="Times New Roman"/>
          <w:sz w:val="18"/>
          <w:szCs w:val="18"/>
          <w:color w:val="auto"/>
        </w:rPr>
        <w:t>shares of our common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calculated the acceleration value of Options and Restricted Units in the tables below using the Market Value Per Membership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Hicks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Hicks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100" w:hanging="4"/>
        <w:spacing w:after="0" w:line="255" w:lineRule="auto"/>
        <w:tabs>
          <w:tab w:leader="none" w:pos="3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w:t>
      </w:r>
    </w:p>
    <w:p>
      <w:pPr>
        <w:spacing w:after="0" w:line="54" w:lineRule="exact"/>
        <w:rPr>
          <w:sz w:val="20"/>
          <w:szCs w:val="20"/>
          <w:color w:val="auto"/>
        </w:rPr>
      </w:pPr>
    </w:p>
    <w:p>
      <w:pPr>
        <w:ind w:left="560" w:hanging="4"/>
        <w:spacing w:after="0" w:line="253" w:lineRule="auto"/>
        <w:tabs>
          <w:tab w:leader="none" w:pos="77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83" w:lineRule="exact"/>
        <w:rPr>
          <w:rFonts w:ascii="Times New Roman" w:cs="Times New Roman" w:eastAsia="Times New Roman" w:hAnsi="Times New Roman"/>
          <w:sz w:val="18"/>
          <w:szCs w:val="18"/>
          <w:color w:val="auto"/>
        </w:rPr>
      </w:pPr>
    </w:p>
    <w:p>
      <w:pPr>
        <w:ind w:left="560" w:right="20" w:hanging="4"/>
        <w:spacing w:after="0" w:line="253" w:lineRule="auto"/>
        <w:tabs>
          <w:tab w:leader="none" w:pos="8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00" w:hanging="4"/>
        <w:spacing w:after="0" w:line="266" w:lineRule="auto"/>
        <w:tabs>
          <w:tab w:leader="none" w:pos="87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 his employment agreement, Mr. Hicks will have 30 days after receiving notice of a termination for Cause to cure or remedy any breach pursuant to items (iii) or (iv) of the preceding sentence.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the 2019 CEO Option Agreement. The Time Options vest as 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hanging="331"/>
        <w:spacing w:after="0"/>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80" w:hanging="545"/>
        <w:spacing w:after="0" w:line="266" w:lineRule="auto"/>
        <w:tabs>
          <w:tab w:leader="none" w:pos="22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200" w:hanging="545"/>
        <w:spacing w:after="0" w:line="258" w:lineRule="auto"/>
        <w:tabs>
          <w:tab w:leader="none" w:pos="220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Hicks upon Termination or Change of Control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20" w:type="dxa"/>
            <w:vAlign w:val="bottom"/>
            <w:vMerge w:val="restart"/>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for Termination</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5,937,334</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(4)</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1,703,900</w:t>
            </w:r>
            <w:r>
              <w:rPr>
                <w:rFonts w:ascii="Times New Roman" w:cs="Times New Roman" w:eastAsia="Times New Roman" w:hAnsi="Times New Roman"/>
                <w:sz w:val="15"/>
                <w:szCs w:val="15"/>
                <w:color w:val="auto"/>
              </w:rPr>
              <w:t>(1)</w:t>
            </w:r>
          </w:p>
        </w:tc>
        <w:tc>
          <w:tcPr>
            <w:tcW w:w="170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1,868,667</w:t>
            </w:r>
            <w:r>
              <w:rPr>
                <w:rFonts w:ascii="Times New Roman" w:cs="Times New Roman" w:eastAsia="Times New Roman" w:hAnsi="Times New Roman"/>
                <w:sz w:val="15"/>
                <w:szCs w:val="15"/>
                <w:color w:val="auto"/>
              </w:rPr>
              <w:t>(5)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w:t>
            </w: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5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140,995</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78,652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4,036,769</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1,708,035</w:t>
            </w:r>
          </w:p>
        </w:tc>
        <w:tc>
          <w:tcPr>
            <w:tcW w:w="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  7,806,239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4,256,416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200" w:hanging="424"/>
        <w:spacing w:after="0" w:line="282" w:lineRule="auto"/>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5" w:lineRule="exact"/>
        <w:rPr>
          <w:sz w:val="20"/>
          <w:szCs w:val="20"/>
          <w:color w:val="auto"/>
        </w:rPr>
      </w:pPr>
    </w:p>
    <w:p>
      <w:pPr>
        <w:ind w:left="540" w:right="40" w:hanging="424"/>
        <w:spacing w:after="0" w:line="250"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 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3"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 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2"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65" w:lineRule="auto"/>
        <w:tabs>
          <w:tab w:leader="none" w:pos="5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291,461 Time Options (the unvested portion under the 2018 CEO Option Agreement immediately prior to February 1, 2020); and (ii)</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$126,422, which is the product of (A) the difference between the Market Value Per Membership Interest</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60"/>
        <w:spacing w:after="0" w:line="261" w:lineRule="auto"/>
        <w:rPr>
          <w:sz w:val="20"/>
          <w:szCs w:val="20"/>
          <w:color w:val="auto"/>
        </w:rPr>
      </w:pPr>
      <w:r>
        <w:rPr>
          <w:rFonts w:ascii="Times New Roman" w:cs="Times New Roman" w:eastAsia="Times New Roman" w:hAnsi="Times New Roman"/>
          <w:sz w:val="18"/>
          <w:szCs w:val="18"/>
          <w:color w:val="auto"/>
        </w:rPr>
        <w:t>and the exercise price ($5.26), and (B) 549,661 Time Options (the unvested portion under the 2019 CEO Option Agreement immediately prior to February 1, 2020).</w:t>
      </w:r>
    </w:p>
    <w:p>
      <w:pPr>
        <w:ind w:left="540" w:right="40" w:hanging="424"/>
        <w:spacing w:after="0" w:line="250"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Mullican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Mullican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Mullican’s employment without Cause or Mr. Mullican resigns for Good Reason, the Company shall pay:</w:t>
      </w:r>
    </w:p>
    <w:p>
      <w:pPr>
        <w:spacing w:after="0" w:line="117" w:lineRule="exact"/>
        <w:rPr>
          <w:sz w:val="20"/>
          <w:szCs w:val="20"/>
          <w:color w:val="auto"/>
        </w:rPr>
      </w:pPr>
    </w:p>
    <w:p>
      <w:pPr>
        <w:ind w:left="560" w:right="40" w:hanging="4"/>
        <w:spacing w:after="0" w:line="255" w:lineRule="auto"/>
        <w:tabs>
          <w:tab w:leader="none" w:pos="7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60"/>
          </w:cols>
          <w:pgMar w:left="320" w:top="455" w:right="51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hanging="4"/>
        <w:spacing w:after="0" w:line="254" w:lineRule="auto"/>
        <w:tabs>
          <w:tab w:leader="none" w:pos="8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180" w:hanging="4"/>
        <w:spacing w:after="0" w:line="253" w:lineRule="auto"/>
        <w:tabs>
          <w:tab w:leader="none" w:pos="8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Mullican and his covered dependents medical insurance benefits, contingent on Mr. Mullican electing continuation 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5" w:lineRule="exact"/>
        <w:rPr>
          <w:rFonts w:ascii="Times New Roman" w:cs="Times New Roman" w:eastAsia="Times New Roman" w:hAnsi="Times New Roman"/>
          <w:sz w:val="18"/>
          <w:szCs w:val="18"/>
          <w:color w:val="auto"/>
        </w:rPr>
      </w:pPr>
    </w:p>
    <w:p>
      <w:pPr>
        <w:jc w:val="both"/>
        <w:ind w:left="56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Mullican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1,327,936</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456,570</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92,908</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21,037</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66,418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1,322</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18,374</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2,071,700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$ 478,929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2,156,492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 portion under the 2019 Executive Option Agreement that would have become vested on the vesting date immediately following termination had Mr. Mullican remained employed).</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($489,500 for 2019) and (B) the average annual bonus paid to (or earned by, to the extent not yet paid as of the termination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date) him under the Executive Team Bonus Plan for the two fiscal years of the Company immediately preceding the fiscal year in which the termination date occurs ($256,028 for 2017 and $92,908 for 2018).</w:t>
      </w:r>
    </w:p>
    <w:p>
      <w:pPr>
        <w:ind w:left="540" w:right="20" w:hanging="424"/>
        <w:spacing w:after="0" w:line="250"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ind w:left="540" w:right="1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Mullican’s portion of such premiums as if Mr. Mullican was an active employee, which payment shall be paid in advance on the first payroll day of each month during the such 24-month period ($912 per month).</w:t>
      </w:r>
    </w:p>
    <w:p>
      <w:pPr>
        <w:ind w:left="540" w:right="100" w:hanging="424"/>
        <w:spacing w:after="0" w:line="250"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 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Lawrence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Lawrence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 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Lawrence’s employment without Cause or Mr. Lawrence resigns for Good Reason, the Company shall pay:</w:t>
      </w:r>
    </w:p>
    <w:p>
      <w:pPr>
        <w:spacing w:after="0" w:line="117" w:lineRule="exact"/>
        <w:rPr>
          <w:sz w:val="20"/>
          <w:szCs w:val="20"/>
          <w:color w:val="auto"/>
        </w:rPr>
      </w:pPr>
    </w:p>
    <w:p>
      <w:pPr>
        <w:ind w:left="560" w:right="100" w:hanging="4"/>
        <w:spacing w:after="0" w:line="255" w:lineRule="auto"/>
        <w:tabs>
          <w:tab w:leader="none" w:pos="7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hanging="4"/>
        <w:spacing w:after="0" w:line="254" w:lineRule="auto"/>
        <w:tabs>
          <w:tab w:leader="none" w:pos="8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Lawrence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2019, the Company granted 411,270 Time Options and 106,865 Performance Options with an exercise price of $5.26 to</w:t>
      </w:r>
    </w:p>
    <w:p>
      <w:pPr>
        <w:spacing w:after="0" w:line="27"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1" w:lineRule="auto"/>
        <w:tabs>
          <w:tab w:leader="none" w:pos="220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5" w:right="49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9" w:lineRule="exact"/>
        <w:rPr>
          <w:sz w:val="20"/>
          <w:szCs w:val="20"/>
          <w:color w:val="auto"/>
        </w:rPr>
      </w:pPr>
    </w:p>
    <w:p>
      <w:pPr>
        <w:ind w:left="1540" w:hanging="331"/>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Lawrence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1,410,000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756,646</w:t>
            </w:r>
            <w:r>
              <w:rPr>
                <w:rFonts w:ascii="Times New Roman" w:cs="Times New Roman" w:eastAsia="Times New Roman" w:hAnsi="Times New Roman"/>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23,647</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94,592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24,578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782,797</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$ 780,293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1,432,248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901,967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840" w:hanging="424"/>
        <w:spacing w:after="0" w:line="282"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 Mr. Lawrence or his designated beneficiary or legal representative (if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w:t>
      </w:r>
    </w:p>
    <w:p>
      <w:pPr>
        <w:spacing w:after="0" w:line="3" w:lineRule="exact"/>
        <w:rPr>
          <w:sz w:val="20"/>
          <w:szCs w:val="20"/>
          <w:color w:val="auto"/>
        </w:rPr>
      </w:pPr>
    </w:p>
    <w:p>
      <w:pPr>
        <w:ind w:left="540" w:right="60"/>
        <w:spacing w:after="0" w:line="250" w:lineRule="auto"/>
        <w:rPr>
          <w:sz w:val="20"/>
          <w:szCs w:val="20"/>
          <w:color w:val="auto"/>
        </w:rPr>
      </w:pPr>
      <w:r>
        <w:rPr>
          <w:rFonts w:ascii="Times New Roman" w:cs="Times New Roman" w:eastAsia="Times New Roman" w:hAnsi="Times New Roman"/>
          <w:sz w:val="18"/>
          <w:szCs w:val="18"/>
          <w:color w:val="auto"/>
        </w:rPr>
        <w:t>(y) a fraction, the numerator of which is equal to the number of days between and including his commencement date of February 11, 2019 and the termination date (356 days), and the denominator of which is equal to 365.</w:t>
      </w:r>
    </w:p>
    <w:p>
      <w:pPr>
        <w:ind w:left="540" w:right="14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right="4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 date) him under the Executive Team Bonus Plan for the two fiscal years of the Company immediately preceding the fiscal year in which the termination date occurs ($0 for 2017 and $0 for 2018).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Options (the unvested portion under the 2019 Executive Option Agreement immediately prior to February 1, 2020, which is the entire grant).</w:t>
      </w:r>
    </w:p>
    <w:p>
      <w:pPr>
        <w:spacing w:after="0" w:line="27" w:lineRule="exact"/>
        <w:rPr>
          <w:sz w:val="20"/>
          <w:szCs w:val="20"/>
          <w:color w:val="auto"/>
        </w:rPr>
      </w:pPr>
    </w:p>
    <w:p>
      <w:pPr>
        <w:ind w:left="540" w:right="220" w:hanging="424"/>
        <w:spacing w:after="0" w:line="253" w:lineRule="auto"/>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Johnson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Johnson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80" w:hanging="4"/>
        <w:spacing w:after="0" w:line="255" w:lineRule="auto"/>
        <w:tabs>
          <w:tab w:leader="none" w:pos="37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Johnson’s employment without Cause or Mr. Johnson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61" w:lineRule="auto"/>
        <w:tabs>
          <w:tab w:leader="none" w:pos="82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5" w:lineRule="exact"/>
        <w:rPr>
          <w:sz w:val="20"/>
          <w:szCs w:val="20"/>
          <w:color w:val="auto"/>
        </w:rPr>
      </w:pPr>
    </w:p>
    <w:p>
      <w:pPr>
        <w:ind w:left="560" w:hanging="4"/>
        <w:spacing w:after="0" w:line="253" w:lineRule="auto"/>
        <w:tabs>
          <w:tab w:leader="none" w:pos="87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during the 24 month period following the termination date; and</w:t>
      </w:r>
    </w:p>
    <w:p>
      <w:pPr>
        <w:spacing w:after="0" w:line="98" w:lineRule="exact"/>
        <w:rPr>
          <w:rFonts w:ascii="Times New Roman" w:cs="Times New Roman" w:eastAsia="Times New Roman" w:hAnsi="Times New Roman"/>
          <w:sz w:val="18"/>
          <w:szCs w:val="18"/>
          <w:color w:val="auto"/>
        </w:rPr>
      </w:pPr>
    </w:p>
    <w:p>
      <w:pPr>
        <w:ind w:left="560" w:right="140" w:hanging="4"/>
        <w:spacing w:after="0" w:line="266" w:lineRule="auto"/>
        <w:tabs>
          <w:tab w:leader="none" w:pos="86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 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9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60"/>
          </w:cols>
          <w:pgMar w:left="320" w:top="455" w:right="51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00" w:hanging="545"/>
        <w:spacing w:after="0" w:line="266" w:lineRule="auto"/>
        <w:tabs>
          <w:tab w:leader="none" w:pos="22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20" w:hanging="545"/>
        <w:spacing w:after="0" w:line="258" w:lineRule="auto"/>
        <w:tabs>
          <w:tab w:leader="none" w:pos="22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60"/>
          </w:cols>
          <w:pgMar w:left="320" w:top="455" w:right="51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Johnson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1,316,378</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434,125</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87,284</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17,299</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55,376</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15,747</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1,294,816</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$ 452,415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1,425,910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1,365,939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2"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6"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20" w:hanging="424"/>
        <w:spacing w:after="0" w:line="254"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Johnson’s portion of such premiums as if Mr. Johnson was an active employee, which payment shall be paid in advance on the first payroll day of each month during the such 24-month period ($912 per month).</w:t>
      </w:r>
    </w:p>
    <w:p>
      <w:pPr>
        <w:ind w:left="540" w:right="20" w:hanging="424"/>
        <w:spacing w:after="0" w:line="250"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36,946 Time Options (the unvested portion under the 2017 Executive Option Agreement immediately prior to February 1, 2020); (ii)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Attaway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Attaway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54" w:lineRule="exact"/>
        <w:rPr>
          <w:sz w:val="20"/>
          <w:szCs w:val="20"/>
          <w:color w:val="auto"/>
        </w:rPr>
      </w:pPr>
    </w:p>
    <w:p>
      <w:pPr>
        <w:ind w:left="560" w:right="20" w:hanging="4"/>
        <w:spacing w:after="0" w:line="261" w:lineRule="auto"/>
        <w:tabs>
          <w:tab w:leader="none" w:pos="7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times his base salary as in effect on the termination date, payable in equal installments ratably over 12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1" w:lineRule="exact"/>
        <w:rPr>
          <w:rFonts w:ascii="Times New Roman" w:cs="Times New Roman" w:eastAsia="Times New Roman" w:hAnsi="Times New Roman"/>
          <w:sz w:val="18"/>
          <w:szCs w:val="18"/>
          <w:color w:val="auto"/>
        </w:rPr>
      </w:pPr>
    </w:p>
    <w:p>
      <w:pPr>
        <w:ind w:left="560" w:hanging="4"/>
        <w:spacing w:after="0" w:line="256" w:lineRule="auto"/>
        <w:tabs>
          <w:tab w:leader="none" w:pos="82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bonus earned by him under the Executive Team Bonus Plan for the fiscal year of the Company immediately preceding the fiscal year of the Company in which the termination date occurs, payable in equal installments ratably over 12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Such payment is in lieu of the bonus that would have otherwise been due to him under the Executive Team Bonus Plan for the performance period in which the termination date occurs.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Attaway’s employment without Cause or Mr. Attaway resigns for Good Reason, the Company shall pay:</w:t>
      </w:r>
    </w:p>
    <w:p>
      <w:pPr>
        <w:spacing w:after="0" w:line="117" w:lineRule="exact"/>
        <w:rPr>
          <w:sz w:val="20"/>
          <w:szCs w:val="20"/>
          <w:color w:val="auto"/>
        </w:rPr>
      </w:pPr>
    </w:p>
    <w:p>
      <w:pPr>
        <w:ind w:left="560" w:right="60" w:hanging="4"/>
        <w:spacing w:after="0" w:line="255" w:lineRule="auto"/>
        <w:tabs>
          <w:tab w:leader="none" w:pos="77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12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380" w:hanging="4"/>
        <w:spacing w:after="0" w:line="282" w:lineRule="auto"/>
        <w:tabs>
          <w:tab w:leader="none" w:pos="87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Attaway and his covered dependents medical insurance benefits, contingent on Mr. Attaway electing continuation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 Mr. Attaway during the 24 month period following the termination date; and</w:t>
      </w:r>
    </w:p>
    <w:p>
      <w:pPr>
        <w:spacing w:after="0" w:line="81" w:lineRule="exact"/>
        <w:rPr>
          <w:sz w:val="20"/>
          <w:szCs w:val="20"/>
          <w:color w:val="auto"/>
        </w:rPr>
      </w:pPr>
    </w:p>
    <w:p>
      <w:pPr>
        <w:ind w:left="560" w:right="180" w:hanging="4"/>
        <w:spacing w:after="0" w:line="266" w:lineRule="auto"/>
        <w:tabs>
          <w:tab w:leader="none" w:pos="86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Attaway Employment Agreement contains the same definition of “Cause” provided in the Hicks Employment Agreement.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 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6" w:lineRule="auto"/>
        <w:tabs>
          <w:tab w:leader="none" w:pos="22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1" w:lineRule="auto"/>
        <w:tabs>
          <w:tab w:leader="none" w:pos="22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20" w:hanging="545"/>
        <w:spacing w:after="0" w:line="266" w:lineRule="auto"/>
        <w:tabs>
          <w:tab w:leader="none" w:pos="22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40" w:hanging="545"/>
        <w:spacing w:after="0" w:line="258" w:lineRule="auto"/>
        <w:tabs>
          <w:tab w:leader="none" w:pos="220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5" w:right="49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Attaway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531,677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1,244,520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83,677</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20,856</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25,285</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65,251</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1,652</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16,086</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776,889</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$ 558,614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1,349,413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858,226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12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12 months following the termination date in accordance with the Company’s normal payroll cycle and procedures ($83,677 for 2018).</w:t>
      </w:r>
    </w:p>
    <w:p>
      <w:pPr>
        <w:spacing w:after="0" w:line="5"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 the exercise price ($5.30), and (B) 30,789 Time Options (the portion under the 2017 Executive Option Agreement that would have become vested on the vesting date immediately following termination had 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1" w:lineRule="exact"/>
        <w:rPr>
          <w:rFonts w:ascii="Times New Roman" w:cs="Times New Roman" w:eastAsia="Times New Roman" w:hAnsi="Times New Roman"/>
          <w:sz w:val="17"/>
          <w:szCs w:val="17"/>
          <w:color w:val="auto"/>
        </w:rPr>
      </w:pPr>
    </w:p>
    <w:p>
      <w:pPr>
        <w:ind w:left="540" w:right="220" w:hanging="424"/>
        <w:spacing w:after="0" w:line="25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40" w:hanging="424"/>
        <w:spacing w:after="0" w:line="265" w:lineRule="auto"/>
        <w:tabs>
          <w:tab w:leader="none" w:pos="5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ind w:left="540" w:right="3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at the rate in effect as of the last day of the year immediately preceding the termination date ($448,000 as of the last day of 2018) and (B) the average annual bonus paid to (or earned by, to the extent not yet paid as of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40" w:right="380"/>
        <w:spacing w:after="0" w:line="261" w:lineRule="auto"/>
        <w:rPr>
          <w:sz w:val="20"/>
          <w:szCs w:val="20"/>
          <w:color w:val="auto"/>
        </w:rPr>
      </w:pPr>
      <w:r>
        <w:rPr>
          <w:rFonts w:ascii="Times New Roman" w:cs="Times New Roman" w:eastAsia="Times New Roman" w:hAnsi="Times New Roman"/>
          <w:sz w:val="18"/>
          <w:szCs w:val="18"/>
          <w:color w:val="auto"/>
        </w:rPr>
        <w:t>termination date) him under the Executive Team Bonus Plan for the two fiscal years of the Company immediately preceding the fiscal year in which the termination date occurs ($264,844 for 2017 and $83,677 for 2018).</w:t>
      </w:r>
    </w:p>
    <w:p>
      <w:pPr>
        <w:ind w:left="540" w:right="20" w:hanging="424"/>
        <w:spacing w:after="0" w:line="25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00" w:hanging="424"/>
        <w:spacing w:after="0" w:line="25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ind w:left="540" w:right="40" w:firstLine="8"/>
        <w:spacing w:after="0" w:line="265" w:lineRule="auto"/>
        <w:tabs>
          <w:tab w:leader="none" w:pos="825"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29,585 Time Options (the unvested portion under the 2016 Executive Option Agreement immediately prior to February 1, 2020); (ii) $11,699, which is the product of (A) the difference between the Market Value Per Membership Interest and the exercise price ($5.30), and (B) 61,578 Time Options (the unvested portion under the 2017 Executive 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w:t>
      </w:r>
    </w:p>
    <w:p>
      <w:pPr>
        <w:ind w:left="540" w:right="60" w:firstLine="8"/>
        <w:spacing w:after="0" w:line="250" w:lineRule="auto"/>
        <w:tabs>
          <w:tab w:leader="none" w:pos="835"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Market Value Per Membership Interest and the exercise price ($5.26), and (B) 112,824 Time Options (the unvested portion under the 2019 Executive Option Agreement immediately prior to February 1, 2020, which is the entire grant).</w:t>
      </w:r>
    </w:p>
    <w:p>
      <w:pPr>
        <w:ind w:left="540" w:hanging="424"/>
        <w:spacing w:after="0" w:line="250"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3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Director Compensation Table for 2019</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tcPr>
          <w:p>
            <w:pPr>
              <w:spacing w:after="0"/>
              <w:rPr>
                <w:sz w:val="15"/>
                <w:szCs w:val="15"/>
                <w:color w:val="auto"/>
              </w:rPr>
            </w:pP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amount of cash retainers paid during 2019.</w:t>
      </w:r>
    </w:p>
    <w:p>
      <w:pPr>
        <w:spacing w:after="0" w:line="27"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Times New Roman" w:cs="Times New Roman" w:eastAsia="Times New Roman" w:hAnsi="Times New Roman"/>
          <w:sz w:val="18"/>
          <w:szCs w:val="18"/>
          <w:i w:val="1"/>
          <w:iCs w:val="1"/>
          <w:color w:val="auto"/>
        </w:rPr>
        <w:t>Equity and Unit-Based Compensation</w:t>
      </w:r>
      <w:r>
        <w:rPr>
          <w:rFonts w:ascii="Times New Roman" w:cs="Times New Roman" w:eastAsia="Times New Roman" w:hAnsi="Times New Roman"/>
          <w:sz w:val="18"/>
          <w:szCs w:val="18"/>
          <w:color w:val="auto"/>
        </w:rPr>
        <w:t xml:space="preserve"> to our consolidated financial statements included in this prospectus for the assumptions used in calculating these values.</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has been granted Restricted Units pursuant to a Restricted Unit Agreement under the 2011 Equity Plan, which contains the following vesting terms: subject to the grantee’s continued service on such date, 100% of the Restricted Units vest on the earliest of</w:t>
      </w: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 Marley and Simon was granted 18,215 Restricted Units, all of which vest on the earliest of (i) the first anniversary of the grant date, (ii) the grantee’s death or disability or (iii) a Change of Control.</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60"/>
          </w:cols>
          <w:pgMar w:left="320" w:top="455" w:right="51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stockholders agreement with our stockholders party thereto. We intend to describe the material terms of this agreement in a subsequent pre-effective amendment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the registration rights agreement among New Academy Holding Company, LLC and Allstar and Allstar Managers to add Academy Sports and Outdoors, Inc. as a party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and approximately $0.9 million in each of the thirteen weeks ended May 2, 2020 and May 4, 2019. These expenses are included in SG&amp;A expenses in the consolidated statements of income.</w:t>
      </w:r>
    </w:p>
    <w:p>
      <w:pPr>
        <w:spacing w:after="0" w:line="188"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Monitoring Agreement terminates automatically upon the consummation of an initial public offering, including this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In connection with this offering, the Monitoring Agreement will terminate automatically in accordance with its terms and we expect to pay termination fees</w:t>
      </w:r>
    </w:p>
    <w:p>
      <w:pPr>
        <w:spacing w:after="0" w:line="3"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18"/>
          <w:szCs w:val="18"/>
          <w:color w:val="auto"/>
        </w:rPr>
        <w:t>of approximately $</w:t>
      </w:r>
      <w:r>
        <w:rPr>
          <w:sz w:val="20"/>
          <w:szCs w:val="20"/>
          <w:color w:val="auto"/>
        </w:rPr>
        <w:tab/>
      </w:r>
      <w:r>
        <w:rPr>
          <w:rFonts w:ascii="Times New Roman" w:cs="Times New Roman" w:eastAsia="Times New Roman" w:hAnsi="Times New Roman"/>
          <w:sz w:val="17"/>
          <w:szCs w:val="17"/>
          <w:color w:val="auto"/>
        </w:rPr>
        <w:t>million to Adviser.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Purchases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2019, Allstar Managers repurchased at fair market value approximately $0.5 million of Redeemable Membership Units from a director and an executive of the Company for cash. New Academy Holding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LLC concurrently repurchased from Allstar Managers for cash, at fair market value, a number of its membership units equal to the number for Redeemable Membership Units repurchased from the director and executive.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KKR Capstone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Receivable from Member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current limited liability company agreement for New Academy Holding Company, LLC, each of the Gochman Investors may require the Company to provide a tax loan on their behalf under certain circumstances. On April 10, 2019, the Company loaned $4.0 million with a note receivable issued to one of the Gochman Investors. The note receivable bears semi-annual compounding interest at 2.5% per annum with outstanding principal and interest due on April 10, 2022, and is recorded in other non-current assets in the consolidated balance sheet. On April 5, 2018, the Company loaned $4.1 million with a note receivable issued to one of the Gochman Investors. The note receivable bears semi-annual compounding interest at 2.1% per annum, with outstanding principal and interest due on April 5, 2021. These notes receivable have been recorded in other non-current assets in the consolidated balance sheets.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certain agreements with our officers which are described in the section entitled “Executive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Unitholders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 LLC,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following the initial public offering of our common stock, the directors and executive officers party to the Management Unitholders Agreement will have limited “piggyback” registration rights with respect to their shares of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Prior to the completion of this offering, our board of directors will adopt a written statement of policy regarding transactions with related persons, which we refer to as our “related person policy,” that is in conformity with the requirements upon issuers having publicly-held common stock that is listed on the applicable stock exchange.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related person policy will require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(1) each person known to us to beneficially own more than 5% of our voting securities, (2) each of our directors, (3) each of our named executive officers and (4) all directors and executive officers as a group.</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outstanding and percentage of beneficial ownership before this offering are based on the number of shares to be issued and outstanding immediately prior to the consummation of this offering. The number of shares of common stock and percentage of beneficial ownership after the consummation of this offering set forth below are based on the number of shares to be issued and outstanding immediately after the consummation of this offering.</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8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8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tcPr>
          <w:p>
            <w:pPr>
              <w:spacing w:after="0"/>
              <w:rPr>
                <w:sz w:val="10"/>
                <w:szCs w:val="10"/>
                <w:color w:val="auto"/>
              </w:rPr>
            </w:pPr>
          </w:p>
        </w:tc>
        <w:tc>
          <w:tcPr>
            <w:tcW w:w="1780" w:type="dxa"/>
            <w:vAlign w:val="bottom"/>
            <w:tcBorders>
              <w:top w:val="single" w:sz="8" w:color="auto"/>
            </w:tcBorders>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After the</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860" w:type="dxa"/>
            <w:vAlign w:val="bottom"/>
          </w:tcPr>
          <w:p>
            <w:pPr>
              <w:spacing w:after="0"/>
              <w:rPr>
                <w:sz w:val="12"/>
                <w:szCs w:val="12"/>
                <w:color w:val="auto"/>
              </w:rPr>
            </w:pPr>
          </w:p>
        </w:tc>
        <w:tc>
          <w:tcPr>
            <w:tcW w:w="178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860" w:type="dxa"/>
            <w:vAlign w:val="bottom"/>
          </w:tcPr>
          <w:p>
            <w:pPr>
              <w:spacing w:after="0"/>
              <w:rPr>
                <w:sz w:val="12"/>
                <w:szCs w:val="12"/>
                <w:color w:val="auto"/>
              </w:rPr>
            </w:pPr>
          </w:p>
        </w:tc>
        <w:tc>
          <w:tcPr>
            <w:tcW w:w="17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Option is Not</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7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3240" w:type="dxa"/>
            <w:vAlign w:val="bottom"/>
            <w:vMerge w:val="restart"/>
          </w:tcPr>
          <w:p>
            <w:pPr>
              <w:spacing w:after="0"/>
              <w:rPr>
                <w:sz w:val="15"/>
                <w:szCs w:val="15"/>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Pr>
          <w:p>
            <w:pPr>
              <w:spacing w:after="0"/>
              <w:rPr>
                <w:sz w:val="15"/>
                <w:szCs w:val="15"/>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2"/>
                <w:szCs w:val="12"/>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6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8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Allstar LLC</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MSI 2011 LLC</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 C. Hicks</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P. Mullican</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Steven P. Lawrence</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J. Johnson</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Kenneth D. Attaway</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T. Marley</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Vishal V. Patel</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William S. Simon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Nathaniel H. Taylor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Aileen X. Yan</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Directors and executive officers as a group (fourteen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 of common stock outstanding.</w:t>
      </w:r>
    </w:p>
    <w:p>
      <w:pPr>
        <w:spacing w:after="0" w:line="27" w:lineRule="exact"/>
        <w:rPr>
          <w:sz w:val="20"/>
          <w:szCs w:val="20"/>
          <w:color w:val="auto"/>
        </w:rPr>
      </w:pPr>
    </w:p>
    <w:p>
      <w:pPr>
        <w:ind w:left="540" w:right="560" w:hanging="424"/>
        <w:spacing w:after="0" w:line="26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below, the address of each of the individuals named above is: c/o Academy Sports + Outdoors, Attention: General Counsel, 1800 North Mason Road, Katy, Texas 77449.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Upon</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consummation of this offering, our authorized capital stock will consist of shares of common stock, par value $0.01 per share, and shares of preferred stock. Immediately following the completion of this offering, there are expected to be outstanding shares of common stock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vote of the then outstanding shares of our common stock is required, the affirmative vote of a majority in voting power of shares present at a meeting of the holders of our common stock is required.</w:t>
      </w:r>
    </w:p>
    <w:p>
      <w:pPr>
        <w:spacing w:after="0" w:line="19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amended and restated certificate of incorporation will authorize our board of directors to establish one or more series of preferred stock (including convertible preferred stock). Unless required by law or by the applicable stock exchange, the authorized shares of preferred stock will be available for issuance without further action by you. Our board of directors will be able to determine, with respect to any series of preferred stock, the terms and rights of that series, including:</w:t>
      </w:r>
    </w:p>
    <w:p>
      <w:pPr>
        <w:spacing w:after="0" w:line="85" w:lineRule="exact"/>
        <w:rPr>
          <w:sz w:val="20"/>
          <w:szCs w:val="20"/>
          <w:color w:val="auto"/>
        </w:rPr>
      </w:pPr>
    </w:p>
    <w:p>
      <w:pPr>
        <w:ind w:left="1080" w:hanging="532"/>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hanging="532"/>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applicable stock exchange, which would apply if and so long as our common stock remains listed on the applicable stock exchange,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40" w:hanging="532"/>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7"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Allstar and its affiliates and any of their respective direct or indirect transferees and any group as to which such persons are a party do not constitute “interested stockholders”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Allstar and its affiliates beneficially own, in the aggregate, less than 50% of the voting power of all outstanding shares of stock entitled to vote generally in the election of directors, directors may only be removed for cause and only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Allstar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Allstar and its affiliates beneficially own, in the aggregate, less than 50%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Allstar and its affiliates are permitted to call special meetings of our stockholders for so long as they hold, in the aggregate, at least 50%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Allstar and its affiliates for as long as the stockholders agreement to be entered into in connection with this offering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Allstar and its affiliates beneficially own, in the aggregate, less than 50% of the voting power of all outstanding shares of stock entitled to vote generally in the election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21" w:lineRule="exact"/>
        <w:rPr>
          <w:sz w:val="20"/>
          <w:szCs w:val="20"/>
          <w:color w:val="auto"/>
        </w:rPr>
      </w:pPr>
    </w:p>
    <w:p>
      <w:pPr>
        <w:ind w:left="120" w:right="60" w:firstLine="44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Allstar and its affiliates beneficially own, in the aggregate, at least 50%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Allstar and its affiliates beneficially own, in the aggregate, less than 50%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all the then-outstanding shares of stock entitled to vote generally in the election of directors, voting together as a single class.</w:t>
      </w:r>
    </w:p>
    <w:p>
      <w:pPr>
        <w:spacing w:after="0" w:line="19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once Allstar and its affiliates beneficially own, in the aggregate, less than 50% of the voting power of all outstanding shares of stock entitled to vote generally in the election of directors, the following provisions in our amended and restated certificate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63"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1"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color w:val="auto"/>
        </w:rPr>
        <w:t>incorporation may be amended, altered, repealed or rescinded only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 for stockholders to amend our amended and restated bylaws;</w:t>
      </w:r>
    </w:p>
    <w:p>
      <w:pPr>
        <w:spacing w:after="0" w:line="1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2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w:t>
      </w:r>
    </w:p>
    <w:p>
      <w:pPr>
        <w:spacing w:after="0" w:line="1" w:lineRule="exact"/>
        <w:rPr>
          <w:sz w:val="20"/>
          <w:szCs w:val="20"/>
          <w:color w:val="auto"/>
        </w:rPr>
      </w:pPr>
    </w:p>
    <w:p>
      <w:pPr>
        <w:ind w:left="120" w:right="20" w:hanging="4"/>
        <w:spacing w:after="0" w:line="251" w:lineRule="auto"/>
        <w:tabs>
          <w:tab w:leader="none" w:pos="3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shall be the exclusive forum for the resolution of any actions or proceedings asserting claims arising under the Securities Act. Any person or entity purchasing or otherwise acquiring any interest in shares of capital stock of the Company shall be deemed to have notice of and consented to the forum provisions in our amended and restated certificate of incorporation.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Allstar or any of its affiliates or any director who is not employed by us (including any non-employee director who serves as one of our officers in both his or her director and officer capacities) or his or her affiliates will not have any duty to refrain from</w:t>
      </w:r>
    </w:p>
    <w:p>
      <w:pPr>
        <w:spacing w:after="0" w:line="2" w:lineRule="exact"/>
        <w:rPr>
          <w:sz w:val="20"/>
          <w:szCs w:val="20"/>
          <w:color w:val="auto"/>
        </w:rPr>
      </w:pPr>
    </w:p>
    <w:p>
      <w:pPr>
        <w:ind w:left="380" w:hanging="264"/>
        <w:spacing w:after="0"/>
        <w:tabs>
          <w:tab w:leader="none" w:pos="3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 corporate opportunity in the same or similar lines of business in which we or our affiliates now engage or propose to engage or</w:t>
      </w:r>
    </w:p>
    <w:p>
      <w:pPr>
        <w:spacing w:after="0" w:line="9" w:lineRule="exact"/>
        <w:rPr>
          <w:rFonts w:ascii="Times New Roman" w:cs="Times New Roman" w:eastAsia="Times New Roman" w:hAnsi="Times New Roman"/>
          <w:sz w:val="18"/>
          <w:szCs w:val="18"/>
          <w:color w:val="auto"/>
        </w:rPr>
      </w:pPr>
    </w:p>
    <w:p>
      <w:pPr>
        <w:ind w:left="120" w:right="20" w:hanging="4"/>
        <w:spacing w:after="0" w:line="251" w:lineRule="auto"/>
        <w:tabs>
          <w:tab w:leader="none" w:pos="37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competing with us or our affiliates. In addition, to the fullest extent permitted by law, in the event that Allstar or any of its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tabs>
          <w:tab w:leader="none" w:pos="5320" w:val="left"/>
        </w:tabs>
        <w:rPr>
          <w:sz w:val="20"/>
          <w:szCs w:val="20"/>
          <w:color w:val="auto"/>
        </w:rPr>
      </w:pPr>
      <w:r>
        <w:rPr>
          <w:rFonts w:ascii="Times New Roman" w:cs="Times New Roman" w:eastAsia="Times New Roman" w:hAnsi="Times New Roman"/>
          <w:sz w:val="18"/>
          <w:szCs w:val="18"/>
          <w:color w:val="auto"/>
        </w:rPr>
        <w:t>The transfer agent and registrar for our common stock is</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tabs>
          <w:tab w:leader="none" w:pos="5580" w:val="left"/>
        </w:tabs>
        <w:rPr>
          <w:sz w:val="20"/>
          <w:szCs w:val="20"/>
          <w:color w:val="auto"/>
        </w:rPr>
      </w:pPr>
      <w:r>
        <w:rPr>
          <w:rFonts w:ascii="Times New Roman" w:cs="Times New Roman" w:eastAsia="Times New Roman" w:hAnsi="Times New Roman"/>
          <w:sz w:val="18"/>
          <w:szCs w:val="18"/>
          <w:color w:val="auto"/>
        </w:rPr>
        <w:t>We intend to apply to have our common stock listed on the</w:t>
      </w:r>
      <w:r>
        <w:rPr>
          <w:sz w:val="20"/>
          <w:szCs w:val="20"/>
          <w:color w:val="auto"/>
        </w:rPr>
        <w:tab/>
      </w:r>
      <w:r>
        <w:rPr>
          <w:rFonts w:ascii="Times New Roman" w:cs="Times New Roman" w:eastAsia="Times New Roman" w:hAnsi="Times New Roman"/>
          <w:sz w:val="17"/>
          <w:szCs w:val="17"/>
          <w:color w:val="auto"/>
        </w:rPr>
        <w:t>under the symbol “ASO.”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or as amended, the ABL Facility, to increase the commitments under the facility from $650 million to $1 billion. The ABL Facility matures on May 22, 2023, subject to a springing maturity clause which is triggered 91 days before the July 2, 2022 maturity of the Term Loan Facility should it not be paid off or extended at least 91 days beyond the May 22, 2023 maturity date of the ABL Facility. Academy, Ltd. has the option to increase the commitments under the ABL Facility by $250 million, subject to the satisfaction of certain conditions under the credit agreement governing the ABL Facility.</w:t>
      </w:r>
    </w:p>
    <w:p>
      <w:pPr>
        <w:spacing w:after="0" w:line="18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90% of the net orderly liquidation value percentage of our eligible inventory on a consolidated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then applicable amount of all reserves.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May 2, 2020, we had outstanding letters of credit of approximately $17.3 million, of which $15.9 million were issued under the ABL Facility, and had borrowings of $500.0 million outstanding under the ABL Facility, leaving the available borrowing capacity under the ABL Facility of $270.2 million (which is subject to customary borrowing conditions, including a borrowing base). We repaid the $500 million of borrowings in full in June 2020.</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weighted average interest rate of the ABL Facility as of May 2, 2020 was 1.93%. The terms and conditions of the ABL Facility also require that we prepay outstanding loans under the ABL Facility under certain circumstances. As of May 2, 2020, no future prepayments of outstanding loans have been triggered under the terms and conditions of the ABL Facility.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Term Loan Facility, with Morgan Stanley Senior Funding, Inc., as the administrative and collateral agent, and other lenders. The Term Loan Facility matures on July 2, 2022. The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May 2, 2020, the weighted average interest rate was 5.00%, with interest payable monthly. The terms and conditions of the Term Loan Facility also require that outstanding loans under the Term Loan Facility are prepaid under certain circumstances. As of May 2, 2020, a $15.9 million prepayment was due under the terms and conditions of the Term Loan Facility.</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Beginning in the third quarter of 2017 through the end of 2017, we repurchased a total of $26.2 million of principal of the Term Loan Facility, which was trading at a discount, for $19.7 million in open market transactions and recognized a related net gain of $6.3 million. In 2019, we repurchased $147.7 million of principal of the Term Loan Facility, which was trading at a discount, for $104.6 million in open market transactions and recognized a net gain of $42.3 million. As of May 2, 2020, there was $1,462.1 million of principal outstanding under the Term Loan Facility, net of discount.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Liens and Guarantees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All obligations under the Term Loan Facility and the guarantees of those obligations are secured by:</w:t>
      </w:r>
    </w:p>
    <w:p>
      <w:pPr>
        <w:spacing w:after="0" w:line="81" w:lineRule="exact"/>
        <w:rPr>
          <w:sz w:val="20"/>
          <w:szCs w:val="20"/>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ABL Facility and the Term Loan Facility are each guaranteed on a senior secured basis by New Academy Holding Company, LLC and all of its subsidiaries, except for Academy International Limited, a Hong Kong limited liability company and subsidiary of Academy,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agreements governing ABL Facility and the Term Loan Facility contain covenants, including, among other things, covenants that restrict Academy, Ltd.’s and its restricted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certain minimum adjusted fixed charge coverage ratio. These covenants are subject to certain qualifications and limitations. We were in compliance with these covenants as of May 2,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ABL Facility and the Term Loan Facility contain customary events of default including, but not limited to,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Future 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owners in the public market following this offering could cause the market price of our common stock to decline.”</w:t>
      </w:r>
    </w:p>
    <w:p>
      <w:pPr>
        <w:spacing w:after="0" w:line="188" w:lineRule="exact"/>
        <w:rPr>
          <w:sz w:val="20"/>
          <w:szCs w:val="20"/>
          <w:color w:val="auto"/>
        </w:rPr>
      </w:pPr>
    </w:p>
    <w:p>
      <w:pPr>
        <w:ind w:left="880" w:right="60" w:hanging="323"/>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 total of</w:t>
      </w:r>
      <w:r>
        <w:rPr>
          <w:sz w:val="20"/>
          <w:szCs w:val="20"/>
          <w:color w:val="auto"/>
        </w:rPr>
        <w:t xml:space="preserve"> </w:t>
      </w:r>
      <w:r>
        <w:rPr>
          <w:rFonts w:ascii="Times New Roman" w:cs="Times New Roman" w:eastAsia="Times New Roman" w:hAnsi="Times New Roman"/>
          <w:sz w:val="18"/>
          <w:szCs w:val="18"/>
          <w:color w:val="auto"/>
        </w:rPr>
        <w:t>shares of our common stock outstanding. Of the outstanding shares, the shares sold in this offering (or shares if the underwriters exercise in full their over-allotment option) will be freely tradable without</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In connection with this offering, we, our executive officers, directors and certain of our existing owners will agree, subject to certain exceptions, not to sell, dispose of or hedge any shares of our common stock or securities convertible into or exchangeable for shares of our common stock, without,</w:t>
      </w:r>
    </w:p>
    <w:p>
      <w:pPr>
        <w:spacing w:after="0" w:line="1" w:lineRule="exact"/>
        <w:rPr>
          <w:sz w:val="20"/>
          <w:szCs w:val="20"/>
          <w:color w:val="auto"/>
        </w:rPr>
      </w:pPr>
    </w:p>
    <w:p>
      <w:pPr>
        <w:ind w:left="120"/>
        <w:spacing w:after="0"/>
        <w:tabs>
          <w:tab w:leader="none" w:pos="3780" w:val="left"/>
        </w:tabs>
        <w:rPr>
          <w:sz w:val="20"/>
          <w:szCs w:val="20"/>
          <w:color w:val="auto"/>
        </w:rPr>
      </w:pPr>
      <w:r>
        <w:rPr>
          <w:rFonts w:ascii="Times New Roman" w:cs="Times New Roman" w:eastAsia="Times New Roman" w:hAnsi="Times New Roman"/>
          <w:sz w:val="18"/>
          <w:szCs w:val="18"/>
          <w:color w:val="auto"/>
        </w:rPr>
        <w:t>in each case, the prior written consent of</w:t>
      </w:r>
      <w:r>
        <w:rPr>
          <w:sz w:val="20"/>
          <w:szCs w:val="20"/>
          <w:color w:val="auto"/>
        </w:rPr>
        <w:tab/>
      </w:r>
      <w:r>
        <w:rPr>
          <w:rFonts w:ascii="Times New Roman" w:cs="Times New Roman" w:eastAsia="Times New Roman" w:hAnsi="Times New Roman"/>
          <w:sz w:val="17"/>
          <w:szCs w:val="17"/>
          <w:color w:val="auto"/>
        </w:rPr>
        <w:t>, for a period of 180 days after the date of this prospectus. See “Underwriting.”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beginning 90 days after the date of this prospectus, a number of shares that does not exceed the greater of:</w:t>
      </w:r>
    </w:p>
    <w:p>
      <w:pPr>
        <w:sectPr>
          <w:pgSz w:w="11900" w:h="16838" w:orient="portrait"/>
          <w:cols w:equalWidth="0" w:num="1">
            <w:col w:w="11120"/>
          </w:cols>
          <w:pgMar w:left="320" w:top="455" w:right="459" w:bottom="1440" w:gutter="0" w:footer="0" w:header="0"/>
        </w:sectPr>
      </w:pP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w:t>
      </w:r>
    </w:p>
    <w:p>
      <w:pPr>
        <w:spacing w:after="0" w:line="357" w:lineRule="exact"/>
        <w:rPr>
          <w:sz w:val="20"/>
          <w:szCs w:val="20"/>
          <w:color w:val="auto"/>
        </w:rPr>
      </w:pPr>
    </w:p>
    <w:p>
      <w:pPr>
        <w:sectPr>
          <w:pgSz w:w="11900" w:h="16838" w:orient="portrait"/>
          <w:cols w:equalWidth="0" w:num="3">
            <w:col w:w="620" w:space="460"/>
            <w:col w:w="7280" w:space="720"/>
            <w:col w:w="2040"/>
          </w:cols>
          <w:pgMar w:left="320" w:top="455" w:right="459" w:bottom="1440" w:gutter="0" w:footer="0" w:header="0"/>
          <w:type w:val="continuous"/>
        </w:sectPr>
      </w:pPr>
    </w:p>
    <w:p>
      <w:pPr>
        <w:ind w:left="1080" w:right="580" w:hanging="532"/>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the applicable stock exchange during the four calendar weeks preceding the filing of a notice on Form 144 with respect to such sale.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type w:val="continuous"/>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2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issuance under the existing 2011 Equity Plan and the 2020 Equity Plan and the ESPP to be adopted in connection with this offering. Any such Form S-8 registration statement will automatically become effective upon filing. Accordingly shares of our common stock registered under such registration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statements will be available for sale in the open market. We expect that the initial registration statement on Form S-8 will cover shares of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rights some holders of common stock will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of common stock also</w:t>
      </w: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may be sold under Rule 144, depending on their holding period and subject to restrictions in the case of shares held by persons deemed to be our affiliates.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67" w:lineRule="exact"/>
        <w:rPr>
          <w:sz w:val="20"/>
          <w:szCs w:val="20"/>
          <w:color w:val="auto"/>
        </w:rPr>
      </w:pPr>
    </w:p>
    <w:p>
      <w:pPr>
        <w:ind w:left="1080" w:right="420" w:hanging="532"/>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not and do not anticipate becoming a “U.S. real property holding corporation” for U.S. federal income tax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4"/>
        </w:trPr>
        <w:tc>
          <w:tcPr>
            <w:tcW w:w="74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 2020, we have agreed to sell to the</w:t>
            </w:r>
          </w:p>
        </w:tc>
      </w:tr>
      <w:tr>
        <w:trPr>
          <w:trHeight w:val="234"/>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underwriters named below, for whom</w:t>
            </w:r>
          </w:p>
        </w:tc>
        <w:tc>
          <w:tcPr>
            <w:tcW w:w="730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are acting as representatives, the following respective numbers of shares of common stock:</w:t>
            </w:r>
          </w:p>
        </w:tc>
      </w:tr>
      <w:tr>
        <w:trPr>
          <w:trHeight w:val="398"/>
        </w:trPr>
        <w:tc>
          <w:tcPr>
            <w:tcW w:w="3100" w:type="dxa"/>
            <w:vAlign w:val="bottom"/>
            <w:gridSpan w:val="3"/>
          </w:tcPr>
          <w:p>
            <w:pPr>
              <w:ind w:left="1760"/>
              <w:spacing w:after="0"/>
              <w:rPr>
                <w:sz w:val="20"/>
                <w:szCs w:val="20"/>
                <w:color w:val="auto"/>
              </w:rPr>
            </w:pPr>
            <w:r>
              <w:rPr>
                <w:rFonts w:ascii="Times New Roman" w:cs="Times New Roman" w:eastAsia="Times New Roman" w:hAnsi="Times New Roman"/>
                <w:sz w:val="14"/>
                <w:szCs w:val="14"/>
                <w:color w:val="auto"/>
              </w:rPr>
              <w:t>Underwriter</w:t>
            </w:r>
          </w:p>
        </w:tc>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16"/>
        </w:trPr>
        <w:tc>
          <w:tcPr>
            <w:tcW w:w="1760" w:type="dxa"/>
            <w:vAlign w:val="bottom"/>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additional shares at the initial public offering price less the underwriting discounts and commissions. The option may be exercised only to cover any over-allotments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w:t>
      </w:r>
    </w:p>
    <w:p>
      <w:pPr>
        <w:spacing w:after="0" w:line="2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selling group members at that price less a selling concession of up to $ per share. After the initial public offering the representatives may change the public offering price and concession.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spacing w:after="0"/>
              <w:rPr>
                <w:sz w:val="15"/>
                <w:szCs w:val="15"/>
                <w:color w:val="auto"/>
              </w:rPr>
            </w:pPr>
          </w:p>
        </w:tc>
        <w:tc>
          <w:tcPr>
            <w:tcW w:w="22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900" w:type="dxa"/>
            <w:vAlign w:val="bottom"/>
          </w:tcPr>
          <w:p>
            <w:pPr>
              <w:spacing w:after="0"/>
              <w:rPr>
                <w:sz w:val="10"/>
                <w:szCs w:val="10"/>
                <w:color w:val="auto"/>
              </w:rPr>
            </w:pP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0" w:type="dxa"/>
            <w:vAlign w:val="bottom"/>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2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8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Underwriting Discounts and Commissions</w:t>
            </w: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shd w:val="clear" w:color="auto" w:fill="CCEEFF"/>
          </w:tcPr>
          <w:p>
            <w:pPr>
              <w:spacing w:after="0"/>
              <w:rPr>
                <w:sz w:val="15"/>
                <w:szCs w:val="15"/>
                <w:color w:val="auto"/>
              </w:rPr>
            </w:pPr>
          </w:p>
        </w:tc>
        <w:tc>
          <w:tcPr>
            <w:tcW w:w="420" w:type="dxa"/>
            <w:vAlign w:val="bottom"/>
          </w:tcPr>
          <w:p>
            <w:pPr>
              <w:spacing w:after="0"/>
              <w:rPr>
                <w:sz w:val="15"/>
                <w:szCs w:val="15"/>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41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have also agreed to reimburse the underwriters for up to $</w:t>
            </w:r>
          </w:p>
        </w:tc>
        <w:tc>
          <w:tcPr>
            <w:tcW w:w="5700" w:type="dxa"/>
            <w:vAlign w:val="bottom"/>
            <w:gridSpan w:val="7"/>
          </w:tcPr>
          <w:p>
            <w:pPr>
              <w:jc w:val="center"/>
              <w:ind w:left="275"/>
              <w:spacing w:after="0"/>
              <w:rPr>
                <w:sz w:val="20"/>
                <w:szCs w:val="20"/>
                <w:color w:val="auto"/>
              </w:rPr>
            </w:pPr>
            <w:r>
              <w:rPr>
                <w:rFonts w:ascii="Times New Roman" w:cs="Times New Roman" w:eastAsia="Times New Roman" w:hAnsi="Times New Roman"/>
                <w:sz w:val="18"/>
                <w:szCs w:val="18"/>
                <w:color w:val="auto"/>
              </w:rPr>
              <w:t>of expenses related to the review of this offering by the Financial Industry</w:t>
            </w:r>
          </w:p>
        </w:tc>
      </w:tr>
    </w:tbl>
    <w:p>
      <w:pPr>
        <w:ind w:left="120" w:right="620"/>
        <w:spacing w:after="0" w:line="260" w:lineRule="auto"/>
        <w:rPr>
          <w:sz w:val="20"/>
          <w:szCs w:val="20"/>
          <w:color w:val="auto"/>
        </w:rPr>
      </w:pPr>
      <w:r>
        <w:rPr>
          <w:rFonts w:ascii="Times New Roman" w:cs="Times New Roman" w:eastAsia="Times New Roman" w:hAnsi="Times New Roman"/>
          <w:sz w:val="18"/>
          <w:szCs w:val="18"/>
          <w:color w:val="auto"/>
        </w:rPr>
        <w:t>Regulatory Authority, Inc., or FINRA. In accordance with FINRA Rule 5110, this reimbursed fee is deemed underwriting compensation for this offering.</w:t>
      </w:r>
    </w:p>
    <w:p>
      <w:pPr>
        <w:spacing w:after="0" w:line="18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w:t>
      </w:r>
    </w:p>
    <w:p>
      <w:pPr>
        <w:spacing w:after="0" w:line="2" w:lineRule="exact"/>
        <w:rPr>
          <w:sz w:val="20"/>
          <w:szCs w:val="20"/>
          <w:color w:val="auto"/>
        </w:rPr>
      </w:pPr>
    </w:p>
    <w:p>
      <w:pPr>
        <w:ind w:left="120"/>
        <w:spacing w:after="0"/>
        <w:tabs>
          <w:tab w:leader="none" w:pos="3460" w:val="left"/>
        </w:tabs>
        <w:rPr>
          <w:sz w:val="20"/>
          <w:szCs w:val="20"/>
          <w:color w:val="auto"/>
        </w:rPr>
      </w:pPr>
      <w:r>
        <w:rPr>
          <w:rFonts w:ascii="Times New Roman" w:cs="Times New Roman" w:eastAsia="Times New Roman" w:hAnsi="Times New Roman"/>
          <w:sz w:val="18"/>
          <w:szCs w:val="18"/>
          <w:color w:val="auto"/>
        </w:rPr>
        <w:t>without the prior written consent of</w:t>
      </w:r>
      <w:r>
        <w:rPr>
          <w:sz w:val="20"/>
          <w:szCs w:val="20"/>
          <w:color w:val="auto"/>
        </w:rPr>
        <w:tab/>
      </w:r>
      <w:r>
        <w:rPr>
          <w:rFonts w:ascii="Times New Roman" w:cs="Times New Roman" w:eastAsia="Times New Roman" w:hAnsi="Times New Roman"/>
          <w:sz w:val="17"/>
          <w:szCs w:val="17"/>
          <w:color w:val="auto"/>
        </w:rPr>
        <w:t>for a period of 180 days after the date of this prospectus.</w:t>
      </w:r>
    </w:p>
    <w:p>
      <w:pPr>
        <w:spacing w:after="0" w:line="20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certain of our existing owners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publicly disclose the intention to make any such offer, sale, pledge or disposition, or to enter into any such transaction, swap, hedge or other</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arrangement, without, in each case, the prior written consent of for a period of 180 days after the date of this prospectus, subject to certain exceptions.</w:t>
      </w:r>
    </w:p>
    <w:p>
      <w:pPr>
        <w:spacing w:after="0" w:line="181" w:lineRule="exact"/>
        <w:rPr>
          <w:sz w:val="20"/>
          <w:szCs w:val="20"/>
          <w:color w:val="auto"/>
        </w:rPr>
      </w:pPr>
    </w:p>
    <w:p>
      <w:pPr>
        <w:ind w:left="560"/>
        <w:spacing w:after="0"/>
        <w:tabs>
          <w:tab w:leader="none" w:pos="5040" w:val="left"/>
        </w:tabs>
        <w:rPr>
          <w:sz w:val="20"/>
          <w:szCs w:val="20"/>
          <w:color w:val="auto"/>
        </w:rPr>
      </w:pPr>
      <w:r>
        <w:rPr>
          <w:rFonts w:ascii="Times New Roman" w:cs="Times New Roman" w:eastAsia="Times New Roman" w:hAnsi="Times New Roman"/>
          <w:sz w:val="18"/>
          <w:szCs w:val="18"/>
          <w:color w:val="auto"/>
        </w:rPr>
        <w:t>We will apply to list the shares of common stock on</w:t>
      </w:r>
      <w:r>
        <w:rPr>
          <w:sz w:val="20"/>
          <w:szCs w:val="20"/>
          <w:color w:val="auto"/>
        </w:rPr>
        <w:tab/>
      </w:r>
      <w:r>
        <w:rPr>
          <w:rFonts w:ascii="Times New Roman" w:cs="Times New Roman" w:eastAsia="Times New Roman" w:hAnsi="Times New Roman"/>
          <w:sz w:val="17"/>
          <w:szCs w:val="17"/>
          <w:color w:val="auto"/>
        </w:rPr>
        <w:t>, under the symbol “ASO”.</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among us and the representatives and will not necessarily reflect the market price of the common stock following this offering. The principal factors that were considered in determining the initial public offering price included:</w:t>
      </w:r>
    </w:p>
    <w:p>
      <w:pPr>
        <w:spacing w:after="0" w:line="81" w:lineRule="exact"/>
        <w:rPr>
          <w:sz w:val="20"/>
          <w:szCs w:val="20"/>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532"/>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720" w:hanging="532"/>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applicable stock exchange or otherwise and, if commenced, may be discontinued at any time.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1080" w:hanging="532"/>
        <w:spacing w:after="0" w:line="261"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85"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SFA,</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080" w:right="300" w:hanging="532"/>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hanging="532"/>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will be subject to the informational reporting requirements of the Exchange Act and, in accordance with the Exchange Act, we will file annual, quarterly and current reports, proxy statements and other information with the SEC. Our filings with the SEC will be available to the public on the SEC’s website at http://www.sec.gov. Those filings will also be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available to our common stockholders annual reports containing consolidated financial statements audited by an independent registered public accounting firm.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0"/>
                <w:szCs w:val="20"/>
                <w:color w:val="auto"/>
              </w:rPr>
            </w:pPr>
          </w:p>
        </w:tc>
      </w:tr>
      <w:tr>
        <w:trPr>
          <w:trHeight w:val="441"/>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tc>
        <w:tc>
          <w:tcPr>
            <w:tcW w:w="520" w:type="dxa"/>
            <w:vAlign w:val="bottom"/>
          </w:tcPr>
          <w:p>
            <w:pPr>
              <w:spacing w:after="0"/>
              <w:rPr>
                <w:sz w:val="24"/>
                <w:szCs w:val="24"/>
                <w:color w:val="auto"/>
              </w:rPr>
            </w:pPr>
          </w:p>
        </w:tc>
      </w:tr>
      <w:tr>
        <w:trPr>
          <w:trHeight w:val="21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20" w:type="dxa"/>
            <w:vAlign w:val="bottom"/>
          </w:tcPr>
          <w:p>
            <w:pPr>
              <w:spacing w:after="0"/>
              <w:rPr>
                <w:sz w:val="18"/>
                <w:szCs w:val="18"/>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Unaudited Consolidated Balance Sheets as of May 2, 2020, February 1,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Unaudited Consolidated Statements of Income (Loss)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Unaudited Consolidated Statements of Comprehensive Income (Loss)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Unaudited Consolidated Statement of Partners’ Equity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Unaudited Consolidated Statements of Cash Flows for the thirteen weeks ended May 2, 2020 and May 4,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34"/>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Condensed 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0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520" w:type="dxa"/>
            <w:vAlign w:val="bottom"/>
          </w:tcPr>
          <w:p>
            <w:pPr>
              <w:spacing w:after="0"/>
              <w:rPr>
                <w:sz w:val="24"/>
                <w:szCs w:val="24"/>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Consolidated Balance Sheets as of February 1, 2020 and February 2,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Consolidated Statements of Income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94"/>
        </w:trPr>
        <w:tc>
          <w:tcPr>
            <w:tcW w:w="10440" w:type="dxa"/>
            <w:vAlign w:val="bottom"/>
            <w:gridSpan w:val="5"/>
          </w:tcPr>
          <w:p>
            <w:pPr>
              <w:ind w:left="360"/>
              <w:spacing w:after="0" w:line="194" w:lineRule="exact"/>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Consolidated Statements of Comprehensive Income (Loss) for the fiscal year ended February 1, 2020, February 2, 2019 and February 3,</w:t>
              </w:r>
            </w:hyperlink>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2018</w:t>
              </w:r>
            </w:hyperlink>
          </w:p>
        </w:tc>
        <w:tc>
          <w:tcPr>
            <w:tcW w:w="9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2">
              <w:r>
                <w:rPr>
                  <w:rFonts w:ascii="Times New Roman" w:cs="Times New Roman" w:eastAsia="Times New Roman" w:hAnsi="Times New Roman"/>
                  <w:sz w:val="18"/>
                  <w:szCs w:val="18"/>
                  <w:u w:val="single" w:color="auto"/>
                  <w:color w:val="0000EE"/>
                </w:rPr>
                <w:t>Consolidated Statements of Partners’ Equity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3">
              <w:r>
                <w:rPr>
                  <w:rFonts w:ascii="Times New Roman" w:cs="Times New Roman" w:eastAsia="Times New Roman" w:hAnsi="Times New Roman"/>
                  <w:sz w:val="18"/>
                  <w:szCs w:val="18"/>
                  <w:u w:val="single" w:color="auto"/>
                  <w:color w:val="0000EE"/>
                </w:rPr>
                <w:t>Consolidated Statements of Cash Flows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44">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10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520" w:type="dxa"/>
            <w:vAlign w:val="bottom"/>
          </w:tcPr>
          <w:p>
            <w:pPr>
              <w:spacing w:after="0"/>
              <w:rPr>
                <w:sz w:val="24"/>
                <w:szCs w:val="24"/>
                <w:color w:val="auto"/>
              </w:rPr>
            </w:pP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72">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73">
              <w:r>
                <w:rPr>
                  <w:rFonts w:ascii="Times New Roman" w:cs="Times New Roman" w:eastAsia="Times New Roman" w:hAnsi="Times New Roman"/>
                  <w:sz w:val="18"/>
                  <w:szCs w:val="18"/>
                  <w:u w:val="single" w:color="auto"/>
                  <w:color w:val="0000EE"/>
                </w:rPr>
                <w:t>Balance Sheet as of June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440" w:type="dxa"/>
            <w:vAlign w:val="bottom"/>
            <w:gridSpan w:val="5"/>
          </w:tcPr>
          <w:p>
            <w:pPr>
              <w:ind w:left="360"/>
              <w:spacing w:after="0"/>
              <w:rPr>
                <w:rFonts w:ascii="Times New Roman" w:cs="Times New Roman" w:eastAsia="Times New Roman" w:hAnsi="Times New Roman"/>
                <w:sz w:val="18"/>
                <w:szCs w:val="18"/>
                <w:u w:val="single" w:color="auto"/>
                <w:color w:val="0000EE"/>
              </w:rPr>
            </w:pPr>
            <w:hyperlink w:anchor="page274">
              <w:r>
                <w:rPr>
                  <w:rFonts w:ascii="Times New Roman" w:cs="Times New Roman" w:eastAsia="Times New Roman" w:hAnsi="Times New Roman"/>
                  <w:sz w:val="18"/>
                  <w:szCs w:val="18"/>
                  <w:u w:val="single" w:color="auto"/>
                  <w:color w:val="0000EE"/>
                </w:rPr>
                <w:t>Notes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6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8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96"/>
        </w:trPr>
        <w:tc>
          <w:tcPr>
            <w:tcW w:w="7360" w:type="dxa"/>
            <w:vAlign w:val="bottom"/>
            <w:tcBorders>
              <w:top w:val="single" w:sz="8" w:color="CCEEFF"/>
            </w:tcBorders>
            <w:shd w:val="clear" w:color="auto" w:fill="CCEEFF"/>
          </w:tcPr>
          <w:p>
            <w:pPr>
              <w:ind w:left="31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725,615</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149,385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41,424</w:t>
            </w:r>
          </w:p>
        </w:tc>
        <w:tc>
          <w:tcPr>
            <w:tcW w:w="0" w:type="dxa"/>
            <w:vAlign w:val="bottom"/>
          </w:tcPr>
          <w:p>
            <w:pPr>
              <w:spacing w:after="0"/>
              <w:rPr>
                <w:sz w:val="1"/>
                <w:szCs w:val="1"/>
                <w:color w:val="auto"/>
              </w:rPr>
            </w:pPr>
          </w:p>
        </w:tc>
      </w:tr>
      <w:tr>
        <w:trPr>
          <w:trHeight w:val="198"/>
        </w:trPr>
        <w:tc>
          <w:tcPr>
            <w:tcW w:w="7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 less allowance for doubtful accounts of $4,432, $3,275 and $2,988,</w:t>
            </w:r>
          </w:p>
        </w:tc>
        <w:tc>
          <w:tcPr>
            <w:tcW w:w="100" w:type="dxa"/>
            <w:vAlign w:val="bottom"/>
          </w:tcPr>
          <w:p>
            <w:pPr>
              <w:spacing w:after="0"/>
              <w:rPr>
                <w:sz w:val="17"/>
                <w:szCs w:val="17"/>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13,999</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1,012,680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1,099,749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1,216,588</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27,824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24,548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1,777,653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1,297,075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418,476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441,407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479,926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1,125,933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1,145,705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1,164,779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577,000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577,000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861,920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15,845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19,723</w:t>
            </w:r>
          </w:p>
        </w:tc>
        <w:tc>
          <w:tcPr>
            <w:tcW w:w="0" w:type="dxa"/>
            <w:vAlign w:val="bottom"/>
          </w:tcPr>
          <w:p>
            <w:pPr>
              <w:spacing w:after="0"/>
              <w:rPr>
                <w:sz w:val="1"/>
                <w:szCs w:val="1"/>
                <w:color w:val="auto"/>
              </w:rPr>
            </w:pP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4,772,325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4,400,423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411,263</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428,823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468,780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187,736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211,381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177,717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76,329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84,850</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738,214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750,649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749,597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1,924,641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1,428,542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1,582,603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1,106,225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1,141,896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1,146,736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22,697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19,197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3,791,777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3,340,284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3,497,388</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228,306,033;</w:t>
            </w: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988,178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228,274,749 and 228,289,163, respectively</w:t>
            </w:r>
          </w:p>
        </w:tc>
        <w:tc>
          <w:tcPr>
            <w:tcW w:w="10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996,285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881,094</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(10,607)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988,219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885,150</w:t>
            </w:r>
          </w:p>
        </w:tc>
        <w:tc>
          <w:tcPr>
            <w:tcW w:w="0" w:type="dxa"/>
            <w:vAlign w:val="bottom"/>
          </w:tcPr>
          <w:p>
            <w:pPr>
              <w:spacing w:after="0"/>
              <w:rPr>
                <w:sz w:val="1"/>
                <w:szCs w:val="1"/>
                <w:color w:val="auto"/>
              </w:rPr>
            </w:pP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4,772,325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4,400,423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26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8360" w:type="dxa"/>
            <w:vAlign w:val="bottom"/>
          </w:tcPr>
          <w:p>
            <w:pPr>
              <w:spacing w:after="0"/>
              <w:rPr>
                <w:sz w:val="12"/>
                <w:szCs w:val="12"/>
                <w:color w:val="auto"/>
              </w:rPr>
            </w:pPr>
          </w:p>
        </w:tc>
        <w:tc>
          <w:tcPr>
            <w:tcW w:w="154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10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20" w:type="dxa"/>
            <w:vAlign w:val="bottom"/>
          </w:tcPr>
          <w:p>
            <w:pPr>
              <w:spacing w:after="0"/>
              <w:rPr>
                <w:sz w:val="12"/>
                <w:szCs w:val="12"/>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1,136,301</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1,076,792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838,356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763,796</w:t>
            </w:r>
          </w:p>
        </w:tc>
      </w:tr>
      <w:tr>
        <w:trPr>
          <w:trHeight w:val="27"/>
        </w:trPr>
        <w:tc>
          <w:tcPr>
            <w:tcW w:w="8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5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297,945</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312,996</w:t>
            </w: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283,923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-5080</wp:posOffset>
            </wp:positionV>
            <wp:extent cx="16116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Gain on early retirement of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46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br w:type="column"/>
      </w: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14,022</w:t>
      </w:r>
      <w:r>
        <w:rPr>
          <w:sz w:val="20"/>
          <w:szCs w:val="20"/>
          <w:color w:val="auto"/>
        </w:rPr>
        <w:tab/>
      </w:r>
      <w:r>
        <w:rPr>
          <w:rFonts w:ascii="Times New Roman" w:cs="Times New Roman" w:eastAsia="Times New Roman" w:hAnsi="Times New Roman"/>
          <w:sz w:val="18"/>
          <w:szCs w:val="18"/>
          <w:color w:val="auto"/>
        </w:rPr>
        <w:t>11,394</w:t>
      </w:r>
    </w:p>
    <w:p>
      <w:pPr>
        <w:spacing w:after="0" w:line="3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24,522</w:t>
      </w:r>
      <w:r>
        <w:rPr>
          <w:sz w:val="20"/>
          <w:szCs w:val="20"/>
          <w:color w:val="auto"/>
        </w:rPr>
        <w:tab/>
      </w:r>
      <w:r>
        <w:rPr>
          <w:rFonts w:ascii="Times New Roman" w:cs="Times New Roman" w:eastAsia="Times New Roman" w:hAnsi="Times New Roman"/>
          <w:sz w:val="18"/>
          <w:szCs w:val="18"/>
          <w:color w:val="auto"/>
        </w:rPr>
        <w:t>27,037</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(41,138)</w:t>
      </w:r>
    </w:p>
    <w:p>
      <w:pPr>
        <w:spacing w:after="0" w:line="23" w:lineRule="exact"/>
        <w:rPr>
          <w:sz w:val="20"/>
          <w:szCs w:val="20"/>
          <w:color w:val="auto"/>
        </w:rPr>
      </w:pPr>
    </w:p>
    <w:p>
      <w:pPr>
        <w:ind w:left="1700" w:hanging="1545"/>
        <w:spacing w:after="0"/>
        <w:tabs>
          <w:tab w:leader="none" w:pos="1700"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(441)</w:t>
      </w:r>
    </w:p>
    <w:p>
      <w:pPr>
        <w:spacing w:after="0" w:line="41" w:lineRule="exact"/>
        <w:rPr>
          <w:sz w:val="20"/>
          <w:szCs w:val="20"/>
          <w:color w:val="auto"/>
        </w:rPr>
      </w:pPr>
    </w:p>
    <w:p>
      <w:pPr>
        <w:sectPr>
          <w:pgSz w:w="11900" w:h="16838" w:orient="portrait"/>
          <w:cols w:equalWidth="0" w:num="2">
            <w:col w:w="8280" w:space="720"/>
            <w:col w:w="21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8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(9,507)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25,936</w:t>
            </w: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228,289,163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235,292,995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type w:val="continuous"/>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886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2019</w:t>
            </w:r>
          </w:p>
        </w:tc>
        <w:tc>
          <w:tcPr>
            <w:tcW w:w="120" w:type="dxa"/>
            <w:vAlign w:val="bottom"/>
          </w:tcPr>
          <w:p>
            <w:pPr>
              <w:spacing w:after="0"/>
              <w:rPr>
                <w:sz w:val="12"/>
                <w:szCs w:val="12"/>
                <w:color w:val="auto"/>
              </w:rPr>
            </w:pP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25,406</w:t>
            </w: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swaps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(4,434)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(3,510)</w:t>
            </w: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1,893</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(12,561)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21,014</w:t>
            </w:r>
          </w:p>
        </w:tc>
      </w:tr>
      <w:tr>
        <w:trPr>
          <w:trHeight w:val="20"/>
        </w:trPr>
        <w:tc>
          <w:tcPr>
            <w:tcW w:w="8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5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3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$996,285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$ 988,219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(10,020)</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 to Redeemable Units for settlement of vested Restricted Units</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38,024</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38,024</w:t>
            </w:r>
          </w:p>
        </w:tc>
        <w:tc>
          <w:tcPr>
            <w:tcW w:w="0" w:type="dxa"/>
            <w:vAlign w:val="bottom"/>
          </w:tcPr>
          <w:p>
            <w:pPr>
              <w:spacing w:after="0"/>
              <w:rPr>
                <w:sz w:val="1"/>
                <w:szCs w:val="1"/>
                <w:color w:val="auto"/>
              </w:rPr>
            </w:pPr>
          </w:p>
        </w:tc>
      </w:tr>
      <w:tr>
        <w:trPr>
          <w:trHeight w:val="126"/>
        </w:trPr>
        <w:tc>
          <w:tcPr>
            <w:tcW w:w="490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6,740</w:t>
            </w: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Managers</w:t>
            </w: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7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2, 2020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542,808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2,977</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$988,178</w:t>
            </w: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(10,607)</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$ 977,571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228,306,033</w:t>
            </w: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4,289,056</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17,885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224,000,107</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$848,591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8,448</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$ 857,039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228,289,163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25,406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25,406</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90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w:t>
            </w:r>
          </w:p>
        </w:tc>
        <w:tc>
          <w:tcPr>
            <w:tcW w:w="8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5,075</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Standard</w:t>
            </w: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as of May 4, 2019</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17,885</w:t>
            </w:r>
          </w:p>
        </w:tc>
        <w:tc>
          <w:tcPr>
            <w:tcW w:w="20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224,000,107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$881,094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$ 885,150</w:t>
            </w:r>
          </w:p>
        </w:tc>
        <w:tc>
          <w:tcPr>
            <w:tcW w:w="2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4,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(10,020)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25,406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27,447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12,871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2,109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gain on early retirement of debt,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4,229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87,069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(82,432)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1,048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(12,149)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35,079</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(26,428)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3,741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0"/>
        </w:trPr>
        <w:tc>
          <w:tcPr>
            <w:tcW w:w="8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90,756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(9,926)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receivable from member</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30"/>
        </w:trPr>
        <w:tc>
          <w:tcPr>
            <w:tcW w:w="8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187,700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(65,400)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(4,563)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(106,081)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Redeemable Membership Units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495,400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576,230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(34,267)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149,385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75,691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725,615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41,424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28,258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28,297</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state and local income taxes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2,330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NEW ACADEMY HOLDING COMPANY, LLC CONDENSED NOTES TO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60" w:right="8940" w:hanging="444"/>
        <w:spacing w:after="0" w:line="400" w:lineRule="auto"/>
        <w:tabs>
          <w:tab w:leader="none" w:pos="552"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2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May 2,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324" w:lineRule="exact"/>
        <w:rPr>
          <w:sz w:val="20"/>
          <w:szCs w:val="20"/>
          <w:color w:val="auto"/>
        </w:rPr>
      </w:pPr>
    </w:p>
    <w:p>
      <w:pPr>
        <w:ind w:left="540" w:hanging="424"/>
        <w:spacing w:after="0"/>
        <w:tabs>
          <w:tab w:leader="none" w:pos="54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or GAAP, for complete financial statements. The information furnished herein reflects all normal recurring adjustments which are, in the opinion of management, necessary for a fair presentation of the results for the interim periods presented. The results of operations for the thirteen weeks ended May 2,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for the year ended February 1, 2020.</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affect the financial statements involve difficult, subjective or complex judgments by management include the valuation of merchandise inventories, performing goodwill, intangible and long-lived asset impairment analyses, establishing self-insurance reserves related to workers’ compensation, employee health benefits and general liability matters, and establishing reserves for vendor allowances. Given the global economic climate and additional unforseen effects from the COVID-19 pandemic, these estimates are becoming more challenging, and actual results could differ materially from our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weeks ended May 4, 2019 for comparability purposes. This reclassification is in divisional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6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333" w:lineRule="exact"/>
        <w:rPr>
          <w:sz w:val="20"/>
          <w:szCs w:val="20"/>
          <w:color w:val="auto"/>
        </w:rPr>
      </w:pPr>
    </w:p>
    <w:p>
      <w:pPr>
        <w:ind w:left="540" w:hanging="424"/>
        <w:spacing w:after="0"/>
        <w:tabs>
          <w:tab w:leader="none" w:pos="5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00" w:right="2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sets forth the approximate amount of sales by merchandise divisions for the periods presented (amounts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020" w:type="dxa"/>
            <w:vAlign w:val="bottom"/>
          </w:tcPr>
          <w:p>
            <w:pPr>
              <w:spacing w:after="0"/>
              <w:rPr>
                <w:sz w:val="12"/>
                <w:szCs w:val="12"/>
                <w:color w:val="auto"/>
              </w:rPr>
            </w:pPr>
          </w:p>
        </w:tc>
        <w:tc>
          <w:tcPr>
            <w:tcW w:w="9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5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40" w:type="dxa"/>
            <w:vAlign w:val="bottom"/>
          </w:tcPr>
          <w:p>
            <w:pPr>
              <w:spacing w:after="0"/>
              <w:rPr>
                <w:sz w:val="12"/>
                <w:szCs w:val="12"/>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454,483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321,501</w:t>
            </w: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264,666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225,330</w:t>
            </w: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213,055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274,761</w:t>
            </w: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196,425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250,637</w:t>
            </w:r>
          </w:p>
        </w:tc>
      </w:tr>
      <w:tr>
        <w:trPr>
          <w:trHeight w:val="223"/>
        </w:trPr>
        <w:tc>
          <w:tcPr>
            <w:tcW w:w="6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1,128,629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1,072,229</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7,672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4,563</w:t>
            </w:r>
          </w:p>
        </w:tc>
      </w:tr>
      <w:tr>
        <w:trPr>
          <w:trHeight w:val="223"/>
        </w:trPr>
        <w:tc>
          <w:tcPr>
            <w:tcW w:w="6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1,136,301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1,076,792</w:t>
            </w:r>
          </w:p>
        </w:tc>
        <w:tc>
          <w:tcPr>
            <w:tcW w:w="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20" w:hanging="224"/>
        <w:spacing w:after="0" w:line="255" w:lineRule="auto"/>
        <w:tabs>
          <w:tab w:leader="none" w:pos="34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weeks ended May 4, 2019 for comparability purposes. This reclassification is in divisional presentation only and did not impact the overall net sales balances previously disclosed (see Note 2).</w:t>
      </w:r>
    </w:p>
    <w:p>
      <w:pPr>
        <w:spacing w:after="0" w:line="2"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13.1% and 2.8% of merchandise sales for the thirteen weeks ended May 2, 2020 and May 4, 2019, respectively.</w:t>
      </w:r>
    </w:p>
    <w:p>
      <w:pPr>
        <w:spacing w:after="0" w:line="9" w:lineRule="exact"/>
        <w:rPr>
          <w:rFonts w:ascii="Times New Roman" w:cs="Times New Roman" w:eastAsia="Times New Roman" w:hAnsi="Times New Roman"/>
          <w:sz w:val="15"/>
          <w:szCs w:val="15"/>
          <w:color w:val="auto"/>
        </w:rPr>
      </w:pPr>
    </w:p>
    <w:p>
      <w:pPr>
        <w:ind w:left="340" w:right="340" w:hanging="224"/>
        <w:spacing w:after="0" w:line="260" w:lineRule="auto"/>
        <w:tabs>
          <w:tab w:leader="none" w:pos="34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9"/>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top w:val="single" w:sz="8" w:color="auto"/>
            </w:tcBorders>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7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67,993</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6"/>
              </w:rPr>
              <w:t>11,606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18,439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(21,010)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(29,143)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6"/>
              </w:rPr>
              <w:t>57,786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200" w:type="dxa"/>
            <w:vAlign w:val="bottom"/>
          </w:tcPr>
          <w:p>
            <w:pPr>
              <w:spacing w:after="0"/>
              <w:rPr>
                <w:sz w:val="24"/>
                <w:szCs w:val="24"/>
                <w:color w:val="auto"/>
              </w:rPr>
            </w:pPr>
          </w:p>
        </w:tc>
        <w:tc>
          <w:tcPr>
            <w:tcW w:w="15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 of $2.3 million, $2.6 million and $3.4 million,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1,462,111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1,483,476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1,962,111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7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(3,744)</w:t>
            </w:r>
          </w:p>
        </w:tc>
        <w:tc>
          <w:tcPr>
            <w:tcW w:w="16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1,924,641</w:t>
            </w:r>
          </w:p>
        </w:tc>
        <w:tc>
          <w:tcPr>
            <w:tcW w:w="26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1,428,542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1,582,603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right"/>
        <w:ind w:left="5500" w:right="5220" w:hanging="5384"/>
        <w:spacing w:after="0" w:line="367" w:lineRule="auto"/>
        <w:tabs>
          <w:tab w:leader="none" w:pos="346"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These costs are related to the 2015 Term Loan Facility (as defined below). F-9</w:t>
      </w:r>
    </w:p>
    <w:p>
      <w:pPr>
        <w:sectPr>
          <w:pgSz w:w="11900" w:h="16838" w:orient="portrait"/>
          <w:cols w:equalWidth="0" w:num="1">
            <w:col w:w="10960"/>
          </w:cols>
          <w:pgMar w:left="320" w:top="455" w:right="61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seven-year $1.8 billion senior secured term loan facility, or the</w:t>
      </w:r>
    </w:p>
    <w:p>
      <w:pPr>
        <w:spacing w:after="0" w:line="31" w:lineRule="exact"/>
        <w:rPr>
          <w:sz w:val="20"/>
          <w:szCs w:val="20"/>
          <w:color w:val="auto"/>
        </w:rPr>
      </w:pPr>
    </w:p>
    <w:p>
      <w:pPr>
        <w:ind w:left="560"/>
        <w:spacing w:after="0" w:line="252" w:lineRule="auto"/>
        <w:rPr>
          <w:sz w:val="20"/>
          <w:szCs w:val="20"/>
          <w:color w:val="auto"/>
        </w:rPr>
      </w:pPr>
      <w:r>
        <w:rPr>
          <w:rFonts w:ascii="Times New Roman" w:cs="Times New Roman" w:eastAsia="Times New Roman" w:hAnsi="Times New Roman"/>
          <w:sz w:val="18"/>
          <w:szCs w:val="18"/>
          <w:color w:val="auto"/>
        </w:rPr>
        <w:t>2015 Term Loan Facility. The 2015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May 2, 2020, the weighted average interest rate was 5.00%, with interest payable monthly. The terms and conditions of the 2015 Term Loan Facility also require that we prepay outstanding loans under the 2015 Term Loan Facility under certain circumstances. As of May 2, 2020, a $15.9 million prepayment was due under the terms and conditions of the 2015 Term Loan Facility.</w:t>
      </w:r>
    </w:p>
    <w:p>
      <w:pPr>
        <w:spacing w:after="0" w:line="188" w:lineRule="exact"/>
        <w:rPr>
          <w:sz w:val="20"/>
          <w:szCs w:val="20"/>
          <w:color w:val="auto"/>
        </w:rPr>
      </w:pPr>
    </w:p>
    <w:p>
      <w:pPr>
        <w:ind w:left="560" w:right="660" w:firstLine="423"/>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we repurchased $143.5 million of principal on the 2015 Term Loan Facility, which was trading at a discount, in open market transactions for $101.5 million and recognized a net gain of $41.1 million.</w:t>
      </w:r>
    </w:p>
    <w:p>
      <w:pPr>
        <w:spacing w:after="0" w:line="158"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five-year $650 million secured asset-based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2015 ABL Facility.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Academy, Ltd. has the option to increase the commitments under the Amended ABL Facility by $250 million, subject to the satisfaction of certain conditions under the agreement.</w:t>
      </w:r>
    </w:p>
    <w:p>
      <w:pPr>
        <w:spacing w:after="0" w:line="192"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Amended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May 2, 2020, we had outstanding letters of credit of approximately $17.3 million, of which $15.9 million were issued under the Amended ABL Facility, borrowings of $500.0 million, and an available borrowing capacity under the Amended ABL Facility of $270.2 million.</w:t>
      </w:r>
    </w:p>
    <w:p>
      <w:pPr>
        <w:spacing w:after="0" w:line="183"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weighted average interest rate of the Amended ABL Facility as of May 2, 2020 was 1.93%. The terms and conditions of the Amended ABL Facility also require that we prepay outstanding loans under the Amended ABL Facility under certain circumstances. As of May 2, 2020, no future prepayments of outstanding loans have been triggered under the terms and conditions of the Amended ABL Facility.</w:t>
      </w:r>
    </w:p>
    <w:p>
      <w:pPr>
        <w:spacing w:after="0" w:line="183" w:lineRule="exact"/>
        <w:rPr>
          <w:sz w:val="20"/>
          <w:szCs w:val="20"/>
          <w:color w:val="auto"/>
        </w:rPr>
      </w:pPr>
    </w:p>
    <w:p>
      <w:pPr>
        <w:ind w:left="560" w:right="8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certain minimum adjusted fixed charge coverage ratio. These covenants are subject to certain qualifications and limitations. We were in compliance with these covenants as of May 2, 2020.</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right="800" w:firstLine="423"/>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capitalized interest primarily related to construction of new stores and store renovations in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$0.1 million and $0.2 million for the thirteen weeks ended May 2, 2020 and May 4, 2019, respectively.</w:t>
      </w:r>
    </w:p>
    <w:p>
      <w:pPr>
        <w:spacing w:after="0" w:line="303" w:lineRule="exact"/>
        <w:rPr>
          <w:sz w:val="20"/>
          <w:szCs w:val="20"/>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jc w:val="right"/>
              <w:ind w:right="715"/>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2017, 2018, 2019 and 2020, respectively.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these interest rate swaps is as follows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5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7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56"/>
        </w:trPr>
        <w:tc>
          <w:tcPr>
            <w:tcW w:w="48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 current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(10,647)</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(8,106)</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Amounts included in accumulated other comprehensive income (loss), or AOCI, are reclassified to interest expense in the same period during which the hedged transaction affects earnings, which is as interest expense is recorded on the underlying 2015 Term Loan Facility. As of May 2, 2020, we estimate that approximately $9.3 million of the balance in AOCI will be reclassified as an increase in interest expense during the next 12 months.</w:t>
      </w:r>
    </w:p>
    <w:p>
      <w:pPr>
        <w:spacing w:after="0" w:line="180"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40" w:type="dxa"/>
            <w:vAlign w:val="bottom"/>
            <w:tcBorders>
              <w:top w:val="single" w:sz="8" w:color="auto"/>
            </w:tcBorders>
            <w:gridSpan w:val="3"/>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2, 2020</w:t>
            </w: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100" w:type="dxa"/>
            <w:vAlign w:val="bottom"/>
          </w:tcPr>
          <w:p>
            <w:pPr>
              <w:spacing w:after="0"/>
              <w:rPr>
                <w:sz w:val="12"/>
                <w:szCs w:val="12"/>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deferred into AOCI</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(4,434)</w:t>
            </w: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7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1,893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r>
    </w:tbl>
    <w:p>
      <w:pPr>
        <w:spacing w:after="0" w:line="320" w:lineRule="exact"/>
        <w:rPr>
          <w:sz w:val="20"/>
          <w:szCs w:val="20"/>
          <w:color w:val="auto"/>
        </w:rPr>
      </w:pPr>
    </w:p>
    <w:p>
      <w:pPr>
        <w:ind w:left="540" w:hanging="424"/>
        <w:spacing w:after="0"/>
        <w:tabs>
          <w:tab w:leader="none" w:pos="5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240" w:firstLine="423"/>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540" w:right="60" w:hanging="331"/>
        <w:spacing w:after="0" w:line="282" w:lineRule="auto"/>
        <w:tabs>
          <w:tab w:leader="none" w:pos="1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May 4, 2019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400" w:type="dxa"/>
            <w:vAlign w:val="bottom"/>
            <w:gridSpan w:val="3"/>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10,647</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8,106</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560" w:right="400" w:firstLine="423"/>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May 2, 2020 and February 1, 2020, we held $662.0 million and $113.3 million in money market funds, respectively. We held no investments in money market funds as of May 4, 2019.</w:t>
      </w:r>
    </w:p>
    <w:p>
      <w:pPr>
        <w:spacing w:after="0" w:line="176" w:lineRule="exact"/>
        <w:rPr>
          <w:sz w:val="20"/>
          <w:szCs w:val="20"/>
          <w:color w:val="auto"/>
        </w:rPr>
      </w:pPr>
    </w:p>
    <w:p>
      <w:pPr>
        <w:ind w:left="560" w:right="160" w:firstLine="423"/>
        <w:spacing w:after="0" w:line="281" w:lineRule="auto"/>
        <w:rPr>
          <w:sz w:val="20"/>
          <w:szCs w:val="20"/>
          <w:color w:val="auto"/>
        </w:rPr>
      </w:pPr>
      <w:r>
        <w:rPr>
          <w:rFonts w:ascii="Times New Roman" w:cs="Times New Roman" w:eastAsia="Times New Roman" w:hAnsi="Times New Roman"/>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May 2, 2020, February 1, 2020 and May 4, 2019, the estimated fair value of our 2015 Term Loan Facility was $0.9 billion, $1.2 billion and $1.1 billion, respectively. As borrowings on the Amended ABL Facility are generally repaid in less than 12 months, we believe that fair value approximates the carrying value.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8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May 4, 2019</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433,981</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539,357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511,972</w:t>
            </w: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316,295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305,232</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8"/>
                <w:szCs w:val="18"/>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1,313,393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1,270,719</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(894,917)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(870,521)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(790,793)</w:t>
            </w: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418,476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479,926</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Depreciation expense was $27.4 million and $29.8 million in the thirteen weeks ended May 2, 2020 and May 4, 2019, respectively.</w:t>
      </w:r>
    </w:p>
    <w:p>
      <w:pPr>
        <w:spacing w:after="0" w:line="370"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May 2, 2020</w:t>
            </w:r>
          </w:p>
        </w:tc>
        <w:tc>
          <w:tcPr>
            <w:tcW w:w="16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May 4, 2019</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3,191</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13,463</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61,361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55,651</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8,912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4,300</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28,303</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40" w:type="dxa"/>
            <w:vAlign w:val="bottom"/>
            <w:shd w:val="clear" w:color="auto" w:fill="CCEEFF"/>
          </w:tcPr>
          <w:p>
            <w:pPr>
              <w:spacing w:after="0"/>
              <w:rPr>
                <w:sz w:val="18"/>
                <w:szCs w:val="18"/>
                <w:color w:val="auto"/>
              </w:rPr>
            </w:pP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187,736</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177,717</w:t>
            </w: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had 228,306,033 Membership Units authorized, issued and outstanding as of May 2, 2020.</w:t>
      </w:r>
    </w:p>
    <w:p>
      <w:pPr>
        <w:spacing w:after="0" w:line="225" w:lineRule="exact"/>
        <w:rPr>
          <w:sz w:val="20"/>
          <w:szCs w:val="20"/>
          <w:color w:val="auto"/>
        </w:rPr>
      </w:pPr>
    </w:p>
    <w:p>
      <w:pPr>
        <w:ind w:left="560" w:right="180" w:firstLine="423"/>
        <w:spacing w:after="0" w:line="289" w:lineRule="auto"/>
        <w:rPr>
          <w:sz w:val="20"/>
          <w:szCs w:val="20"/>
          <w:color w:val="auto"/>
        </w:rPr>
      </w:pPr>
      <w:r>
        <w:rPr>
          <w:rFonts w:ascii="Times New Roman" w:cs="Times New Roman" w:eastAsia="Times New Roman" w:hAnsi="Times New Roman"/>
          <w:sz w:val="17"/>
          <w:szCs w:val="17"/>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50"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20"/>
          </w:cols>
          <w:pgMar w:left="320" w:top="455" w:right="55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liquidity event-based requirements and a time-based requirement and/or performance-based requirement, or each, a Liquidity Event Restricted Unit. In each case, vesting of the Company’s outstanding and unvested Unit Options and Restricted Units is contingent upon the holder’s continued service through the date of each applicable vesting event.</w:t>
      </w:r>
    </w:p>
    <w:p>
      <w:pPr>
        <w:spacing w:after="0" w:line="183"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As of May 2, 2020, the number of Holdco Membership Units authorized for the grant of Awards under the 2011 Unit Incentive Plan was 36,933,859 Membership Units. As of May 2, 2020, there were 278,885 Holdco Membership Units that were authorized and available for the grant of Awards under the 2011 Unit Incentive Plan.</w:t>
      </w:r>
    </w:p>
    <w:p>
      <w:pPr>
        <w:spacing w:after="0" w:line="176"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Equity compensation expense was $2.1 million and $2.0 million in the thirteen weeks ended May 2, 2020 and May 4, 2019, respectively, and is included in selling, general and administrative expenses in the statements of income.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the thirteen weeks ended May 2, 2020:</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0.74% to 0.75%</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Unit grants during the thirteen weeks ended May 2, 2020:</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4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8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40" w:type="dxa"/>
            <w:vAlign w:val="bottom"/>
            <w:gridSpan w:val="5"/>
            <w:vMerge w:val="continue"/>
          </w:tcPr>
          <w:p>
            <w:pPr>
              <w:spacing w:after="0"/>
              <w:rPr>
                <w:sz w:val="15"/>
                <w:szCs w:val="15"/>
                <w:color w:val="auto"/>
              </w:rPr>
            </w:pPr>
          </w:p>
        </w:tc>
        <w:tc>
          <w:tcPr>
            <w:tcW w:w="14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16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4,024,172</w:t>
            </w: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tcPr>
          <w:p>
            <w:pPr>
              <w:spacing w:after="0"/>
              <w:rPr>
                <w:sz w:val="18"/>
                <w:szCs w:val="18"/>
                <w:color w:val="auto"/>
              </w:rPr>
            </w:pPr>
          </w:p>
        </w:tc>
        <w:tc>
          <w:tcPr>
            <w:tcW w:w="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24"/>
        </w:trPr>
        <w:tc>
          <w:tcPr>
            <w:tcW w:w="6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May 2, 2020: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8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expense</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$ 23,634,775</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$1,426,478</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168,220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color w:val="auto"/>
                <w:w w:val="99"/>
              </w:rPr>
              <w:t>F-14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1040"/>
              <w:spacing w:after="0" w:line="142" w:lineRule="exact"/>
              <w:rPr>
                <w:sz w:val="20"/>
                <w:szCs w:val="20"/>
                <w:color w:val="auto"/>
              </w:rPr>
            </w:pPr>
            <w:r>
              <w:rPr>
                <w:rFonts w:ascii="Times New Roman" w:cs="Times New Roman" w:eastAsia="Times New Roman" w:hAnsi="Times New Roman"/>
                <w:sz w:val="14"/>
                <w:szCs w:val="14"/>
                <w:b w:val="1"/>
                <w:bCs w:val="1"/>
                <w:color w:val="auto"/>
              </w:rPr>
              <w:t>May 2, 2020</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May 4,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(10,020)</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228,289,163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26,605</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0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2,573,094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Performance Options</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4,404,133</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228,294,223</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235,292,995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86"/>
        </w:trPr>
        <w:tc>
          <w:tcPr>
            <w:tcW w:w="5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100" w:type="dxa"/>
            <w:vAlign w:val="bottom"/>
            <w:shd w:val="clear" w:color="auto" w:fill="CCEEFF"/>
          </w:tcPr>
          <w:p>
            <w:pPr>
              <w:spacing w:after="0"/>
              <w:rPr>
                <w:sz w:val="17"/>
                <w:szCs w:val="17"/>
                <w:color w:val="auto"/>
              </w:rPr>
            </w:pPr>
          </w:p>
        </w:tc>
        <w:tc>
          <w:tcPr>
            <w:tcW w:w="1820" w:type="dxa"/>
            <w:vAlign w:val="bottom"/>
            <w:gridSpan w:val="2"/>
            <w:vMerge w:val="restart"/>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29,757,857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calculation</w:t>
            </w:r>
          </w:p>
        </w:tc>
        <w:tc>
          <w:tcPr>
            <w:tcW w:w="100" w:type="dxa"/>
            <w:vAlign w:val="bottom"/>
            <w:shd w:val="clear" w:color="auto" w:fill="CCEEFF"/>
          </w:tcPr>
          <w:p>
            <w:pPr>
              <w:spacing w:after="0"/>
              <w:rPr>
                <w:sz w:val="20"/>
                <w:szCs w:val="20"/>
                <w:color w:val="auto"/>
              </w:rPr>
            </w:pPr>
          </w:p>
        </w:tc>
        <w:tc>
          <w:tcPr>
            <w:tcW w:w="18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1,211,334</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tab/>
        <w:t>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Monitoring Agreement</w:t>
      </w:r>
    </w:p>
    <w:p>
      <w:pPr>
        <w:spacing w:after="0" w:line="121"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$0.9 million in each of the thirteen weeks ended May 2, 2020 and May 4, 2019. These expenses are included in selling, general and administrative expenses in the consolidated statements of income.</w:t>
      </w:r>
    </w:p>
    <w:p>
      <w:pPr>
        <w:spacing w:after="0" w:line="188"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equity purchases for the thirteen weeks ended May 2, 2020 and May 4, 2019.</w:t>
      </w:r>
    </w:p>
    <w:p>
      <w:pPr>
        <w:spacing w:after="0" w:line="117" w:lineRule="exact"/>
        <w:rPr>
          <w:sz w:val="20"/>
          <w:szCs w:val="20"/>
          <w:color w:val="auto"/>
        </w:rPr>
      </w:pPr>
    </w:p>
    <w:p>
      <w:pPr>
        <w:jc w:val="both"/>
        <w:ind w:left="560" w:right="22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2, 2020, Managers repurchased at fair market value approximately $37.0 thousand of Redeemable Membership Units from a director of the Company for cash. Holdco concurrently repurchased from Managers for cash, at fair market value, a number of Holdco membership units equal to the number of Redeemable Membership Units repurchased from the director.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has been recorded in other non-current assets on the balance sheet.</w:t>
      </w:r>
    </w:p>
    <w:p>
      <w:pPr>
        <w:spacing w:after="0" w:line="324" w:lineRule="exact"/>
        <w:rPr>
          <w:sz w:val="20"/>
          <w:szCs w:val="20"/>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Commitments and Other</w:t>
      </w:r>
    </w:p>
    <w:p>
      <w:pPr>
        <w:spacing w:after="0" w:line="121" w:lineRule="exact"/>
        <w:rPr>
          <w:sz w:val="20"/>
          <w:szCs w:val="20"/>
          <w:color w:val="auto"/>
        </w:rPr>
      </w:pPr>
    </w:p>
    <w:p>
      <w:pPr>
        <w:ind w:left="560" w:right="20" w:firstLine="423"/>
        <w:spacing w:after="0" w:line="312" w:lineRule="auto"/>
        <w:rPr>
          <w:sz w:val="20"/>
          <w:szCs w:val="20"/>
          <w:color w:val="auto"/>
        </w:rPr>
      </w:pPr>
      <w:r>
        <w:rPr>
          <w:rFonts w:ascii="Times New Roman" w:cs="Times New Roman" w:eastAsia="Times New Roman" w:hAnsi="Times New Roman"/>
          <w:sz w:val="17"/>
          <w:szCs w:val="17"/>
          <w:color w:val="auto"/>
        </w:rPr>
        <w:t>As of May 2, 2020, we have obligations under technology related contractual commitments as well as other commitments, such as construction commitments, in the amount of $23.1 million. Of such commitments, approximately $18.8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As of May 2, 2020, we have obligations under the Monitoring Agreement (see Note 11), in the amount of $14.4 million, of which $5.1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20"/>
          </w:cols>
          <w:pgMar w:left="320" w:top="455" w:right="5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May 2, 2020, we have $7.5 million in related commitments through 2027, of which $3.4 million is payable in the next 12 months.</w:t>
      </w:r>
    </w:p>
    <w:p>
      <w:pPr>
        <w:spacing w:after="0" w:line="328" w:lineRule="exact"/>
        <w:rPr>
          <w:sz w:val="20"/>
          <w:szCs w:val="20"/>
          <w:color w:val="auto"/>
        </w:rPr>
      </w:pPr>
    </w:p>
    <w:p>
      <w:pPr>
        <w:ind w:left="540" w:hanging="424"/>
        <w:spacing w:after="0"/>
        <w:tabs>
          <w:tab w:leader="none" w:pos="54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52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May 2, 2020 through July 10, 2020. We identified the following matters to report:</w:t>
      </w:r>
    </w:p>
    <w:p>
      <w:pPr>
        <w:spacing w:after="0" w:line="162"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During the second quarter of 2020, we repurchased $23.9 million in principal amount of loans under the 2015 Term Loan Facility, which loans were trading at a discount, in open market transactions for $16.0 million and recognized a net gain of $7.8 million.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June 2020, we repaid the entire $500 million outstanding balance under our Amended ABL Facility.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Notes 2 and 14 to the financial statements, the Company adopted Financial Accounting Standards Board (FASB)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2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149,385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428,823</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122,795</w:t>
            </w:r>
          </w:p>
        </w:tc>
        <w:tc>
          <w:tcPr>
            <w:tcW w:w="0" w:type="dxa"/>
            <w:vAlign w:val="bottom"/>
          </w:tcPr>
          <w:p>
            <w:pPr>
              <w:spacing w:after="0"/>
              <w:rPr>
                <w:sz w:val="1"/>
                <w:szCs w:val="1"/>
                <w:color w:val="auto"/>
              </w:rPr>
            </w:pPr>
          </w:p>
        </w:tc>
      </w:tr>
      <w:tr>
        <w:trPr>
          <w:trHeight w:val="232"/>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3,340,284</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260" w:type="dxa"/>
            <w:vAlign w:val="bottom"/>
          </w:tcPr>
          <w:p>
            <w:pPr>
              <w:spacing w:after="0"/>
              <w:rPr>
                <w:sz w:val="12"/>
                <w:szCs w:val="12"/>
                <w:color w:val="auto"/>
              </w:rPr>
            </w:pPr>
          </w:p>
        </w:tc>
        <w:tc>
          <w:tcPr>
            <w:tcW w:w="1600" w:type="dxa"/>
            <w:vAlign w:val="bottom"/>
            <w:gridSpan w:val="3"/>
          </w:tcPr>
          <w:p>
            <w:pPr>
              <w:jc w:val="center"/>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3,398,743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3,415,941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3,436,618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1,431,154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1,367,952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1,398,964</w:t>
            </w:r>
          </w:p>
        </w:tc>
        <w:tc>
          <w:tcPr>
            <w:tcW w:w="0" w:type="dxa"/>
            <w:vAlign w:val="bottom"/>
          </w:tcPr>
          <w:p>
            <w:pPr>
              <w:spacing w:after="0"/>
              <w:rPr>
                <w:sz w:val="1"/>
                <w:szCs w:val="1"/>
                <w:color w:val="auto"/>
              </w:rPr>
            </w:pPr>
          </w:p>
        </w:tc>
      </w:tr>
      <w:tr>
        <w:trPr>
          <w:trHeight w:val="3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1,251,733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1,239,002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1,241,643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179,421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157,321</w:t>
            </w:r>
          </w:p>
        </w:tc>
        <w:tc>
          <w:tcPr>
            <w:tcW w:w="0" w:type="dxa"/>
            <w:vAlign w:val="bottom"/>
          </w:tcPr>
          <w:p>
            <w:pPr>
              <w:spacing w:after="0"/>
              <w:rPr>
                <w:sz w:val="1"/>
                <w:szCs w:val="1"/>
                <w:color w:val="auto"/>
              </w:rPr>
            </w:pPr>
          </w:p>
        </w:tc>
      </w:tr>
      <w:tr>
        <w:trPr>
          <w:trHeight w:val="3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104,857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3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2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21,442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58,501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21,442</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8,238</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$822,720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34,704</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34,704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0" w:type="dxa"/>
            <w:vAlign w:val="bottom"/>
          </w:tcPr>
          <w:p>
            <w:pPr>
              <w:spacing w:after="0"/>
              <w:rPr>
                <w:sz w:val="1"/>
                <w:szCs w:val="1"/>
                <w:color w:val="auto"/>
              </w:rPr>
            </w:pPr>
          </w:p>
        </w:tc>
      </w:tr>
      <w:tr>
        <w:trPr>
          <w:trHeight w:val="126"/>
        </w:trPr>
        <w:tc>
          <w:tcPr>
            <w:tcW w:w="50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57,363</w:t>
            </w:r>
          </w:p>
        </w:tc>
        <w:tc>
          <w:tcPr>
            <w:tcW w:w="80" w:type="dxa"/>
            <w:vAlign w:val="bottom"/>
          </w:tcPr>
          <w:p>
            <w:pPr>
              <w:spacing w:after="0"/>
              <w:rPr>
                <w:sz w:val="10"/>
                <w:szCs w:val="10"/>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(91,008)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Managers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$996,285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(6,294)</w:t>
            </w: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2,934</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2,297</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(132,126)</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15,992</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(115,901)</w:t>
            </w:r>
          </w:p>
        </w:tc>
        <w:tc>
          <w:tcPr>
            <w:tcW w:w="100" w:type="dxa"/>
            <w:vAlign w:val="bottom"/>
          </w:tcPr>
          <w:p>
            <w:pPr>
              <w:spacing w:after="0"/>
              <w:rPr>
                <w:sz w:val="14"/>
                <w:szCs w:val="14"/>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(816,400)</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(37,989)</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10,353</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1,150</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(24,032)</w:t>
            </w:r>
          </w:p>
        </w:tc>
        <w:tc>
          <w:tcPr>
            <w:tcW w:w="100" w:type="dxa"/>
            <w:vAlign w:val="bottom"/>
          </w:tcPr>
          <w:p>
            <w:pPr>
              <w:spacing w:after="0"/>
              <w:rPr>
                <w:sz w:val="13"/>
                <w:szCs w:val="13"/>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105,661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(6,600)</w:t>
            </w:r>
          </w:p>
        </w:tc>
      </w:tr>
      <w:tr>
        <w:trPr>
          <w:trHeight w:val="19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309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7,412</w:t>
            </w:r>
          </w:p>
        </w:tc>
      </w:tr>
    </w:tbl>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ACADEMY HOLDING COMPANY,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8940" w:hanging="444"/>
        <w:spacing w:after="0" w:line="400" w:lineRule="auto"/>
        <w:tabs>
          <w:tab w:leader="none" w:pos="552"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0"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860" w:firstLine="423"/>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in the 2018 and 2017 consolidated financial statements to conform to the current period presentation. Within the merchandise division sales table presented in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certain products and categories were recategorized amongst categories and divisions during 2019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40"/>
          </w:cols>
          <w:pgMar w:left="320" w:top="455" w:right="5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83"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0"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5–10 years</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7–10 years</w:t>
            </w:r>
          </w:p>
        </w:tc>
      </w:tr>
    </w:tbl>
    <w:p>
      <w:pPr>
        <w:spacing w:after="0" w:line="179"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76"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20" w:firstLine="423"/>
        <w:spacing w:after="0" w:line="258"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store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3" w:lineRule="exact"/>
        <w:rPr>
          <w:sz w:val="20"/>
          <w:szCs w:val="20"/>
          <w:color w:val="auto"/>
        </w:rPr>
      </w:pPr>
    </w:p>
    <w:p>
      <w:pPr>
        <w:ind w:left="560" w:right="680" w:firstLine="423"/>
        <w:spacing w:after="0" w:line="282"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consist of the trade name of “Academy Sports + Outdoors”, or the Trade Name, and our favorable leases. The favorable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leases are accounted for as finite-lived assets and are amortized over their estimated useful economic lives. With the adoption of ASU 2016-02,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a series of related Accounting Standards Updates that followed, or collectively, the New Lease Standard, on February 3,</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2019, the balance of the favorable lease rights, net was netted into the right-of-use assets on the balance sheet (see Note 14). The Trade Name 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to generate cash flows indefinitely and, therefore, is accounted for as an indefinite-lived asset not subject to amortization.</w:t>
      </w:r>
    </w:p>
    <w:p>
      <w:pPr>
        <w:spacing w:after="0" w:line="207"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121" w:lineRule="exact"/>
        <w:rPr>
          <w:sz w:val="20"/>
          <w:szCs w:val="20"/>
          <w:color w:val="auto"/>
        </w:rPr>
      </w:pPr>
    </w:p>
    <w:p>
      <w:pPr>
        <w:ind w:left="560" w:right="260" w:firstLine="423"/>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 Incentives</w:t>
      </w:r>
    </w:p>
    <w:p>
      <w:pPr>
        <w:spacing w:after="0" w:line="121"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76"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In certain store construction cases, we may be deemed the owner of the property during construction, after which we then sell the property to a landlord and concurrently enter into a lease of the property to operate the store, or sale-leaseback. We report the cash received for construction allowances as construction allowance receipts within the financing activities section of our consolidated statements of cash flows when such amounts are received prior to completion of a sale-leaseback transaction, and we report the cash received for construction allowances as proceeds from the sale of property and equipment within the investing activities section of our consolidated statements of cash flows when such amounts are received after the completion of a sale-leaseback transaction.</w:t>
      </w:r>
    </w:p>
    <w:p>
      <w:pPr>
        <w:spacing w:after="0" w:line="187"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8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180"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$142.3 million, $139.1 million and $140.8 million in 2019, 2018 and 2017,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We account for equity compensation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left="560" w:right="320" w:firstLine="423"/>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560" w:right="380" w:firstLine="423"/>
        <w:spacing w:after="0" w:line="273" w:lineRule="auto"/>
        <w:rPr>
          <w:sz w:val="20"/>
          <w:szCs w:val="20"/>
          <w:color w:val="auto"/>
        </w:rPr>
      </w:pPr>
      <w:r>
        <w:rPr>
          <w:rFonts w:ascii="Times New Roman" w:cs="Times New Roman" w:eastAsia="Times New Roman" w:hAnsi="Times New Roman"/>
          <w:sz w:val="17"/>
          <w:szCs w:val="17"/>
          <w:color w:val="auto"/>
        </w:rPr>
        <w:t xml:space="preserve">We elected the practical expedient available to us under ASU 2018-11, </w:t>
      </w:r>
      <w:r>
        <w:rPr>
          <w:rFonts w:ascii="Times New Roman" w:cs="Times New Roman" w:eastAsia="Times New Roman" w:hAnsi="Times New Roman"/>
          <w:sz w:val="17"/>
          <w:szCs w:val="17"/>
          <w:i w:val="1"/>
          <w:iCs w:val="1"/>
          <w:color w:val="auto"/>
        </w:rPr>
        <w:t>“Leases: Targeted Improvements”</w:t>
      </w:r>
      <w:r>
        <w:rPr>
          <w:rFonts w:ascii="Times New Roman" w:cs="Times New Roman" w:eastAsia="Times New Roman" w:hAnsi="Times New Roman"/>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30" w:lineRule="exact"/>
        <w:rPr>
          <w:sz w:val="20"/>
          <w:szCs w:val="20"/>
          <w:color w:val="auto"/>
        </w:rPr>
      </w:pPr>
    </w:p>
    <w:p>
      <w:pPr>
        <w:ind w:left="540" w:hanging="424"/>
        <w:spacing w:after="0"/>
        <w:tabs>
          <w:tab w:leader="none" w:pos="54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2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1,522,985</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1,021,603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4,809,714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4,829,897</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80" w:hanging="224"/>
        <w:spacing w:after="0" w:line="289" w:lineRule="auto"/>
        <w:tabs>
          <w:tab w:leader="none" w:pos="34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hanging="224"/>
        <w:spacing w:after="0"/>
        <w:tabs>
          <w:tab w:leader="none" w:pos="34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27" w:lineRule="exact"/>
        <w:rPr>
          <w:rFonts w:ascii="Times New Roman" w:cs="Times New Roman" w:eastAsia="Times New Roman" w:hAnsi="Times New Roman"/>
          <w:sz w:val="15"/>
          <w:szCs w:val="15"/>
          <w:color w:val="auto"/>
        </w:rPr>
      </w:pPr>
    </w:p>
    <w:p>
      <w:pPr>
        <w:ind w:left="340" w:right="500" w:hanging="224"/>
        <w:spacing w:after="0" w:line="260" w:lineRule="auto"/>
        <w:tabs>
          <w:tab w:leader="none" w:pos="34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 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94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2015 Term Loan Facility, with Morgan Stanley Senior Funding, Inc., as the administrative and collateral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Term Loan Facility bears interest, at our election, at either (1) LIBOR rate with a floor of 1.00%,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5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40" w:type="dxa"/>
            <w:vAlign w:val="bottom"/>
          </w:tcPr>
          <w:p>
            <w:pPr>
              <w:spacing w:after="0"/>
              <w:rPr>
                <w:sz w:val="12"/>
                <w:szCs w:val="12"/>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42.3</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is used to provide financing for working capital and other general corporate purposes,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right="20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Liens and guarantees.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Amended ABL Facility has a first priority lien on all Academy, Ltd.’s cash, accounts receivable, inventory,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securities accounts and proceeds therefrom, or the ABL Collateral. Additionally, the Amended ABL Facility has a second priority lien on all other collateral of the 2015 Term Loan Facility. All obligations under the 2015 Term Loan Facility and the guarantees of those obligations are secured by:</w:t>
      </w:r>
    </w:p>
    <w:p>
      <w:pPr>
        <w:spacing w:after="0" w:line="62" w:lineRule="exact"/>
        <w:rPr>
          <w:sz w:val="20"/>
          <w:szCs w:val="20"/>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scheduled principal payments on our debt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60" w:hanging="224"/>
        <w:spacing w:after="0" w:line="282" w:lineRule="auto"/>
        <w:tabs>
          <w:tab w:leader="none" w:pos="34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of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interest rate swaps is as follows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76"/>
        </w:trPr>
        <w:tc>
          <w:tcPr>
            <w:tcW w:w="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5"/>
              </w:rPr>
              <w:t>Assets</w:t>
            </w:r>
          </w:p>
        </w:tc>
        <w:tc>
          <w:tcPr>
            <w:tcW w:w="40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4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w:t>
            </w:r>
          </w:p>
        </w:tc>
      </w:tr>
      <w:tr>
        <w:trPr>
          <w:trHeight w:val="28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452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w:t>
            </w: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45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6,130</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980" w:type="dxa"/>
            <w:vAlign w:val="bottom"/>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 w:type="dxa"/>
            <w:vAlign w:val="bottom"/>
            <w:tcBorders>
              <w:top w:val="single" w:sz="8" w:color="CCEEFF"/>
            </w:tcBorders>
            <w:shd w:val="clear" w:color="auto" w:fill="CCEEFF"/>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20"/>
                <w:szCs w:val="20"/>
                <w:color w:val="auto"/>
              </w:rPr>
            </w:pPr>
          </w:p>
        </w:tc>
      </w:tr>
    </w:tbl>
    <w:p>
      <w:pPr>
        <w:spacing w:after="0" w:line="320"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080" w:right="24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8,106</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Measured on a Non-Recurring Basis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(763,836)</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Favorable lease rights, net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577,000</w:t>
            </w:r>
          </w:p>
        </w:tc>
      </w:tr>
      <w:tr>
        <w:trPr>
          <w:trHeight w:val="27"/>
        </w:trPr>
        <w:tc>
          <w:tcPr>
            <w:tcW w:w="4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592,067</w:t>
            </w: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on favorable lease rights was $3.5 million in 2018 and 2017, respectively. Favorable lease rights are net of accumulated amortization of $25.0 million as of February 2, 2019.</w:t>
      </w:r>
    </w:p>
    <w:p>
      <w:pPr>
        <w:spacing w:after="0" w:line="306" w:lineRule="exact"/>
        <w:rPr>
          <w:sz w:val="20"/>
          <w:szCs w:val="20"/>
          <w:color w:val="auto"/>
        </w:rPr>
      </w:pPr>
    </w:p>
    <w:p>
      <w:pPr>
        <w:ind w:left="540" w:hanging="424"/>
        <w:spacing w:after="0"/>
        <w:tabs>
          <w:tab w:leader="none" w:pos="54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1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revenue—gift cards and 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70,220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31,191</w:t>
            </w:r>
          </w:p>
        </w:tc>
      </w:tr>
      <w:tr>
        <w:trPr>
          <w:trHeight w:val="27"/>
        </w:trPr>
        <w:tc>
          <w:tcPr>
            <w:tcW w:w="3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184,141</w:t>
            </w:r>
          </w:p>
        </w:tc>
      </w:tr>
      <w:tr>
        <w:trPr>
          <w:trHeight w:val="20"/>
        </w:trPr>
        <w:tc>
          <w:tcPr>
            <w:tcW w:w="3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F-38</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228,274,749 Membership Units authorized, issued and outstanding as of February 1, 2020.</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 Event Restricted Unit. In each case, vesting of the Company’s outstanding and unvested Unit Options and Restricted Units is contingent upon the holder’s continued service through the date of each applicable vesting event.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2019, 2018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7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w:t>
            </w:r>
          </w:p>
        </w:tc>
        <w:tc>
          <w:tcPr>
            <w:tcW w:w="46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50% to 55%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 to 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52.0%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1.4% to 2.5%</w:t>
            </w: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2.6% to 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to 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Service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Performance</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Activity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 Option activity is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Unit Options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w:t>
            </w:r>
          </w:p>
        </w:tc>
        <w:tc>
          <w:tcPr>
            <w:tcW w:w="30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12,049,440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or modified</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4,126,204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modified</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(533,211)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5.83</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(1,301,531)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14,340,902</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4.02</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 or modified</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9,654,571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 or modified</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(5,898,381)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5.99</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(2,486,813)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15,610,279</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3.82</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or modified</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4,365,143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modified</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(601,974)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(1,133,977)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5.23</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18,239,471</w:t>
            </w:r>
          </w:p>
        </w:tc>
        <w:tc>
          <w:tcPr>
            <w:tcW w:w="36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4.05</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11,225,459</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3.29</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82" w:lineRule="auto"/>
        <w:tabs>
          <w:tab w:leader="none" w:pos="34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 Options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w:t>
            </w:r>
          </w:p>
        </w:tc>
        <w:tc>
          <w:tcPr>
            <w:tcW w:w="30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7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9,959,420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or modified</w:t>
            </w:r>
          </w:p>
        </w:tc>
        <w:tc>
          <w:tcPr>
            <w:tcW w:w="26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1,232,128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5.95</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modified</w:t>
            </w:r>
          </w:p>
        </w:tc>
        <w:tc>
          <w:tcPr>
            <w:tcW w:w="2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(436,759)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(852,432)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1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9,902,357</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3.09</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 or modified</w:t>
            </w:r>
          </w:p>
        </w:tc>
        <w:tc>
          <w:tcPr>
            <w:tcW w:w="26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3,272,337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 or modified</w:t>
            </w:r>
          </w:p>
        </w:tc>
        <w:tc>
          <w:tcPr>
            <w:tcW w:w="2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(2,258,138)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5.86</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(1,231,868)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26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9,684,688</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2.86</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or modified</w:t>
            </w:r>
          </w:p>
        </w:tc>
        <w:tc>
          <w:tcPr>
            <w:tcW w:w="26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1,335,436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modified</w:t>
            </w:r>
          </w:p>
        </w:tc>
        <w:tc>
          <w:tcPr>
            <w:tcW w:w="2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(228,718)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2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(563,830)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(1)</w:t>
            </w:r>
          </w:p>
        </w:tc>
        <w:tc>
          <w:tcPr>
            <w:tcW w:w="14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10,227,576</w:t>
            </w:r>
          </w:p>
        </w:tc>
        <w:tc>
          <w:tcPr>
            <w:tcW w:w="360" w:type="dxa"/>
            <w:vAlign w:val="bottom"/>
          </w:tcPr>
          <w:p>
            <w:pPr>
              <w:spacing w:after="0"/>
              <w:rPr>
                <w:sz w:val="20"/>
                <w:szCs w:val="20"/>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3.02</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4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7,760,964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F-41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right="100" w:hanging="224"/>
        <w:spacing w:after="0" w:line="282" w:lineRule="auto"/>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Unit activity is as follows: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Units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January 28,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1,374,348</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3, 2018</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2,769,316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(34,704)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(782,295)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2, 2019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180,610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(57,363)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(141,510)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1,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3,329,186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February 1, 2020, there are 3,291,162 Holdco Membership Units that are subject to outstanding and unvested Liquidity Event Restricted Units with a weighted average grant date fair value of $5.51.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w:t>
      </w:r>
    </w:p>
    <w:p>
      <w:pPr>
        <w:spacing w:after="0" w:line="333" w:lineRule="exact"/>
        <w:rPr>
          <w:sz w:val="20"/>
          <w:szCs w:val="20"/>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2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received from the dilutive Unit Options are used to purchase treasury stock. Anti-dilutive stock-based awards do not include awards which have a performance or liquidity event target which has yet to be achieved.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120,043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basic</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228,160,508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2,886,601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Performance</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4,383,391</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4,625,349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diluted</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235,609,118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236,873,973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1,833,855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7,485,706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424"/>
        <w:spacing w:after="0"/>
        <w:tabs>
          <w:tab w:leader="none" w:pos="54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5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28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expense</w:t>
            </w:r>
          </w:p>
        </w:tc>
        <w:tc>
          <w:tcPr>
            <w:tcW w:w="2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F-43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(dollar amounts in thousands)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4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at federal statutory rate (21% for 2019, 21% for 2018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25,801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33.8% for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expense resulting from:</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rates due to pass through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(25,801)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76" w:lineRule="exact"/>
        <w:rPr>
          <w:sz w:val="20"/>
          <w:szCs w:val="20"/>
          <w:color w:val="auto"/>
        </w:rPr>
      </w:pPr>
    </w:p>
    <w:p>
      <w:pPr>
        <w:ind w:left="560" w:right="140" w:firstLine="423"/>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that give rise to significant portions of the net deferred tax assets and liabilities are presented below (amounts in thousands)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February 2,</w:t>
            </w:r>
          </w:p>
        </w:tc>
      </w:tr>
      <w:tr>
        <w:trPr>
          <w:trHeight w:val="173"/>
        </w:trPr>
        <w:tc>
          <w:tcPr>
            <w:tcW w:w="4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and depreciation</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20"/>
                <w:szCs w:val="20"/>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76"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right="8480" w:hanging="444"/>
        <w:spacing w:after="0" w:line="400" w:lineRule="auto"/>
        <w:tabs>
          <w:tab w:leader="none" w:pos="552" w:val="left"/>
        </w:tabs>
        <w:numPr>
          <w:ilvl w:val="0"/>
          <w:numId w:val="2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80"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Other Fee Arrangements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560" w:right="260" w:firstLine="423"/>
        <w:spacing w:after="0" w:line="261" w:lineRule="auto"/>
        <w:rPr>
          <w:sz w:val="20"/>
          <w:szCs w:val="20"/>
          <w:color w:val="auto"/>
        </w:rPr>
      </w:pPr>
      <w:r>
        <w:rPr>
          <w:rFonts w:ascii="Times New Roman" w:cs="Times New Roman" w:eastAsia="Times New Roman" w:hAnsi="Times New Roman"/>
          <w:sz w:val="18"/>
          <w:szCs w:val="18"/>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80" w:lineRule="exact"/>
        <w:rPr>
          <w:sz w:val="20"/>
          <w:szCs w:val="20"/>
          <w:color w:val="auto"/>
        </w:rPr>
      </w:pPr>
    </w:p>
    <w:p>
      <w:pPr>
        <w:jc w:val="both"/>
        <w:ind w:left="560" w:firstLine="423"/>
        <w:spacing w:after="0" w:line="289" w:lineRule="auto"/>
        <w:rPr>
          <w:sz w:val="20"/>
          <w:szCs w:val="20"/>
          <w:color w:val="auto"/>
        </w:rPr>
      </w:pPr>
      <w:r>
        <w:rPr>
          <w:rFonts w:ascii="Times New Roman" w:cs="Times New Roman" w:eastAsia="Times New Roman" w:hAnsi="Times New Roman"/>
          <w:sz w:val="17"/>
          <w:szCs w:val="17"/>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80" w:firstLine="423"/>
        <w:spacing w:after="0" w:line="256"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2" w:lineRule="exact"/>
        <w:rPr>
          <w:sz w:val="20"/>
          <w:szCs w:val="20"/>
          <w:color w:val="auto"/>
        </w:rPr>
      </w:pPr>
    </w:p>
    <w:p>
      <w:pPr>
        <w:ind w:left="540" w:hanging="424"/>
        <w:spacing w:after="0"/>
        <w:tabs>
          <w:tab w:leader="none" w:pos="5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12 months or less in duration.</w:t>
      </w:r>
    </w:p>
    <w:p>
      <w:pPr>
        <w:spacing w:after="0" w:line="183"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 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12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92" w:lineRule="exact"/>
        <w:rPr>
          <w:sz w:val="20"/>
          <w:szCs w:val="20"/>
          <w:color w:val="auto"/>
        </w:rPr>
      </w:pPr>
    </w:p>
    <w:p>
      <w:pPr>
        <w:ind w:left="560" w:right="72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balance sheet impact of the implementation of the New Lease Standard upon adoption (amounts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720" w:type="dxa"/>
            <w:vAlign w:val="bottom"/>
            <w:gridSpan w:val="3"/>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5"/>
                <w:szCs w:val="15"/>
                <w:color w:val="auto"/>
              </w:rPr>
              <w:t>(1)</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Trade name and other intangible assets, net </w:t>
            </w:r>
            <w:r>
              <w:rPr>
                <w:rFonts w:ascii="Times New Roman" w:cs="Times New Roman" w:eastAsia="Times New Roman" w:hAnsi="Times New Roman"/>
                <w:sz w:val="15"/>
                <w:szCs w:val="15"/>
                <w:color w:val="auto"/>
              </w:rPr>
              <w:t>(1)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15"/>
                <w:szCs w:val="15"/>
                <w:color w:val="auto"/>
              </w:rPr>
              <w:t>(1)(2)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15"/>
                <w:szCs w:val="15"/>
                <w:color w:val="auto"/>
              </w:rPr>
              <w:t>(1) (2)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5"/>
                <w:szCs w:val="15"/>
                <w:color w:val="auto"/>
              </w:rPr>
              <w:t>(2)</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553,282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40" w:hanging="224"/>
        <w:spacing w:after="0" w:line="312" w:lineRule="auto"/>
        <w:tabs>
          <w:tab w:leader="none" w:pos="3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340" w:right="400" w:hanging="224"/>
        <w:spacing w:after="0" w:line="282" w:lineRule="auto"/>
        <w:tabs>
          <w:tab w:leader="none" w:pos="34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62" w:lineRule="exact"/>
        <w:rPr>
          <w:sz w:val="20"/>
          <w:szCs w:val="20"/>
          <w:color w:val="auto"/>
        </w:rPr>
      </w:pPr>
    </w:p>
    <w:p>
      <w:pPr>
        <w:ind w:left="560" w:right="540" w:firstLine="423"/>
        <w:spacing w:after="0" w:line="312" w:lineRule="auto"/>
        <w:rPr>
          <w:sz w:val="20"/>
          <w:szCs w:val="20"/>
          <w:color w:val="auto"/>
        </w:rPr>
      </w:pPr>
      <w:r>
        <w:rPr>
          <w:rFonts w:ascii="Times New Roman" w:cs="Times New Roman" w:eastAsia="Times New Roman" w:hAnsi="Times New Roman"/>
          <w:sz w:val="17"/>
          <w:szCs w:val="17"/>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40"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6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or SG&amp;A, expenses on our statement of income is as follows (amounts in thousands):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201,446</w:t>
            </w:r>
          </w:p>
        </w:tc>
        <w:tc>
          <w:tcPr>
            <w:tcW w:w="0" w:type="dxa"/>
            <w:vAlign w:val="bottom"/>
          </w:tcPr>
          <w:p>
            <w:pPr>
              <w:spacing w:after="0"/>
              <w:rPr>
                <w:sz w:val="1"/>
                <w:szCs w:val="1"/>
                <w:color w:val="auto"/>
              </w:rPr>
            </w:pPr>
          </w:p>
        </w:tc>
      </w:tr>
      <w:tr>
        <w:trPr>
          <w:trHeight w:val="43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57,383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2"/>
                <w:szCs w:val="2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192,849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50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80"/>
          </w:cols>
          <w:pgMar w:left="320" w:top="455" w:right="49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2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2020 are as follows (amounts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(715,729)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$1.6 million due in the future under non-cancelable subleases.</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192,632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minimum lease payments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2,117,424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$7.7 million due in the future under non-cancelable subleases.</w:t>
      </w:r>
    </w:p>
    <w:p>
      <w:pPr>
        <w:spacing w:after="0" w:line="248"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Commitments and Other</w:t>
      </w:r>
    </w:p>
    <w:p>
      <w:pPr>
        <w:spacing w:after="0" w:line="121" w:lineRule="exact"/>
        <w:rPr>
          <w:sz w:val="20"/>
          <w:szCs w:val="20"/>
          <w:color w:val="auto"/>
        </w:rPr>
      </w:pPr>
    </w:p>
    <w:p>
      <w:pPr>
        <w:ind w:left="560" w:right="20" w:firstLine="423"/>
        <w:spacing w:after="0" w:line="312" w:lineRule="auto"/>
        <w:rPr>
          <w:sz w:val="20"/>
          <w:szCs w:val="20"/>
          <w:color w:val="auto"/>
        </w:rPr>
      </w:pPr>
      <w:r>
        <w:rPr>
          <w:rFonts w:ascii="Times New Roman" w:cs="Times New Roman" w:eastAsia="Times New Roman" w:hAnsi="Times New Roman"/>
          <w:sz w:val="17"/>
          <w:szCs w:val="17"/>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420" w:firstLine="423"/>
        <w:spacing w:after="0" w:line="282" w:lineRule="auto"/>
        <w:rPr>
          <w:sz w:val="20"/>
          <w:szCs w:val="20"/>
          <w:color w:val="auto"/>
        </w:rPr>
      </w:pPr>
      <w:r>
        <w:rPr>
          <w:rFonts w:ascii="Times New Roman" w:cs="Times New Roman" w:eastAsia="Times New Roman" w:hAnsi="Times New Roman"/>
          <w:sz w:val="18"/>
          <w:szCs w:val="18"/>
          <w:color w:val="auto"/>
        </w:rPr>
        <w:t>As of February 1, 2020, we have obligations under the Monitoring Agreement (see Note 13) in the amount of $14.4 million, of which $4.1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20"/>
          </w:cols>
          <w:pgMar w:left="320" w:top="455" w:right="5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32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8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312" w:lineRule="exact"/>
        <w:rPr>
          <w:sz w:val="20"/>
          <w:szCs w:val="20"/>
          <w:color w:val="auto"/>
        </w:rPr>
      </w:pPr>
    </w:p>
    <w:p>
      <w:pPr>
        <w:ind w:left="560" w:right="8720" w:hanging="444"/>
        <w:spacing w:after="0" w:line="377" w:lineRule="auto"/>
        <w:tabs>
          <w:tab w:leader="none" w:pos="552"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spacing w:after="0" w:line="2"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 board of managers, subject to certain limitations. The 401(k) Plan may be amended or terminated at our discretion. Employer contributions related to the 401(k) Plan totaled $12.4 million, $11.9 million and $11.6 million in 2019, 2018 and 2017, respectively.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55" w:right="49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February 1, 2020:</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3,008</w:t>
            </w: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16"/>
                <w:szCs w:val="16"/>
                <w:b w:val="1"/>
                <w:bCs w:val="1"/>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9,400</w:t>
            </w:r>
            <w:r>
              <w:rPr>
                <w:rFonts w:ascii="Times New Roman" w:cs="Times New Roman" w:eastAsia="Times New Roman" w:hAnsi="Times New Roman"/>
                <w:sz w:val="15"/>
                <w:szCs w:val="15"/>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62,975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(69,355)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22,807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61,220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(61,598)</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22,429</w:t>
            </w:r>
          </w:p>
        </w:tc>
        <w:tc>
          <w:tcPr>
            <w:tcW w:w="0" w:type="dxa"/>
            <w:vAlign w:val="bottom"/>
          </w:tcPr>
          <w:p>
            <w:pPr>
              <w:spacing w:after="0"/>
              <w:rPr>
                <w:sz w:val="1"/>
                <w:szCs w:val="1"/>
                <w:color w:val="auto"/>
              </w:rPr>
            </w:pPr>
          </w:p>
        </w:tc>
      </w:tr>
      <w:tr>
        <w:trPr>
          <w:trHeight w:val="28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20"/>
                <w:szCs w:val="20"/>
                <w:color w:val="auto"/>
              </w:rPr>
              <w:t>2,616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1,020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(628) </w:t>
            </w:r>
            <w:r>
              <w:rPr>
                <w:rFonts w:ascii="Times New Roman" w:cs="Times New Roman" w:eastAsia="Times New Roman" w:hAnsi="Times New Roman"/>
                <w:sz w:val="16"/>
                <w:szCs w:val="16"/>
                <w:color w:val="auto"/>
              </w:rPr>
              <w:t>(1)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$ 3,008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(64,459)</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19,942</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3, 2018: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3,410</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1,900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(2,694) </w:t>
            </w:r>
            <w:r>
              <w:rPr>
                <w:rFonts w:ascii="Times New Roman" w:cs="Times New Roman" w:eastAsia="Times New Roman" w:hAnsi="Times New Roman"/>
                <w:sz w:val="16"/>
                <w:szCs w:val="16"/>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5,976</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(84,541)</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(65,504)</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write-offs to the reserve.</w:t>
      </w:r>
    </w:p>
    <w:p>
      <w:pPr>
        <w:spacing w:after="0" w:line="27"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monthly increase (decrease) in the required reserve based on the Company’s evaluation of anticipated merchandise returns.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actual inventory shrinkage experienced at the time of physical inventories.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claim payments for self-insured claims.</w:t>
      </w:r>
    </w:p>
    <w:p>
      <w:pPr>
        <w:spacing w:after="0" w:line="351" w:lineRule="exact"/>
        <w:rPr>
          <w:sz w:val="20"/>
          <w:szCs w:val="20"/>
          <w:color w:val="auto"/>
        </w:rPr>
      </w:pPr>
    </w:p>
    <w:p>
      <w:pPr>
        <w:ind w:left="540" w:hanging="424"/>
        <w:spacing w:after="0"/>
        <w:tabs>
          <w:tab w:leader="none" w:pos="54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4th</w:t>
            </w: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7"/>
              </w:rPr>
              <w:t>1,076,792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7"/>
              </w:rPr>
              <w:t>1,237,410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1,145,203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1,370,492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312,996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301,602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312,570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(41,138)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25,406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48,347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28,552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17,738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7"/>
              </w:rPr>
              <w:t>1,119,480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1,262,207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1,060,188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1,342,018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320,356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295,278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26,795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42,103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(21,458)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4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color w:val="auto"/>
              </w:rPr>
              <w:t>F-50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55" w:right="81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540" w:hanging="424"/>
        <w:spacing w:after="0"/>
        <w:tabs>
          <w:tab w:leader="none" w:pos="5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2020 through July 10, 2020. We identified the following matters to report:</w:t>
      </w:r>
    </w:p>
    <w:p>
      <w:pPr>
        <w:spacing w:after="0" w:line="162"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1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10140" w:type="dxa"/>
            <w:vAlign w:val="bottom"/>
            <w:tcBorders>
              <w:top w:val="single" w:sz="8" w:color="CCEEFF"/>
            </w:tcBorders>
            <w:shd w:val="clear" w:color="auto" w:fill="CCEEFF"/>
          </w:tcPr>
          <w:p>
            <w:pPr>
              <w:ind w:left="4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 shares authorized, 100 shares issued and outstanding</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3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Academy Sports and Outdoors, Inc., or the Corporation, was organized as a Delaware corporation on June 30, 2020. The Corporation’s fiscal year represents the 52 or 53 weeks ending on the Saturday closest to January 31. Pursuant to a reorganization, it is anticipated that the Corporation will be the surviving entity in a merger between the Corporation and New Academy Holding Company, LLC, a Delaware limited liability company.</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Following the anticipated merger with New Academy Holding Company, LLC, the Corporation will continue to conduct the business now conducted by New Academy Holding Company, LLC and its subsidiaries.</w:t>
      </w:r>
    </w:p>
    <w:p>
      <w:pPr>
        <w:spacing w:after="0" w:line="306" w:lineRule="exact"/>
        <w:rPr>
          <w:sz w:val="20"/>
          <w:szCs w:val="20"/>
          <w:color w:val="auto"/>
        </w:rPr>
      </w:pPr>
    </w:p>
    <w:p>
      <w:pPr>
        <w:ind w:left="540" w:hanging="424"/>
        <w:spacing w:after="0"/>
        <w:tabs>
          <w:tab w:leader="none" w:pos="54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0" w:lineRule="exact"/>
        <w:rPr>
          <w:sz w:val="20"/>
          <w:szCs w:val="20"/>
          <w:color w:val="auto"/>
        </w:rPr>
      </w:pPr>
    </w:p>
    <w:p>
      <w:pPr>
        <w:ind w:left="540" w:hanging="424"/>
        <w:spacing w:after="0"/>
        <w:tabs>
          <w:tab w:leader="none" w:pos="5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0"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80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2752725</wp:posOffset>
            </wp:positionV>
            <wp:extent cx="2760345" cy="13798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60345" cy="1379855"/>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common stock being registered hereby (other than the underwriting discounts and commissions). All of such expenses are estimates, except for the Securities and Exchange Commission, or the SEC, registration fee, the Financial Industry Regulatory Authority Inc., or FINRA, filing fee and the stock exchange listing fee.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Listing fee</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vMerge w:val="restart"/>
          </w:tcPr>
          <w:p>
            <w:pPr>
              <w:spacing w:after="0"/>
              <w:rPr>
                <w:sz w:val="2"/>
                <w:szCs w:val="2"/>
                <w:color w:val="auto"/>
              </w:rPr>
            </w:pPr>
          </w:p>
        </w:tc>
        <w:tc>
          <w:tcPr>
            <w:tcW w:w="54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4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36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merits or otherwise in the defense of any action referred to above, the corporation must indemnify him or her against the expenses (including attorneys’ fees) which such officer or director has actually and reasonably incurred.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we must indemnify, and advance expenses to, our directors and officers to the full extent authorized by the DGCL.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Within the past three years, the Registrant has granted or issued the following securities of the Registrant which were not registered under the Securities Act.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 herein.</w:t>
      </w:r>
    </w:p>
    <w:p>
      <w:pPr>
        <w:spacing w:after="0" w:line="225" w:lineRule="exact"/>
        <w:rPr>
          <w:sz w:val="20"/>
          <w:szCs w:val="20"/>
          <w:color w:val="auto"/>
        </w:rPr>
      </w:pPr>
    </w:p>
    <w:p>
      <w:pPr>
        <w:ind w:left="1000" w:hanging="444"/>
        <w:spacing w:after="0"/>
        <w:tabs>
          <w:tab w:leader="none" w:pos="10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20" w:firstLine="436"/>
        <w:spacing w:after="0" w:line="254" w:lineRule="auto"/>
        <w:tabs>
          <w:tab w:leader="none" w:pos="81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66" w:lineRule="auto"/>
        <w:tabs>
          <w:tab w:leader="none" w:pos="8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320" w:top="455" w:right="57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24"/>
                <w:szCs w:val="24"/>
                <w:color w:val="auto"/>
              </w:rPr>
            </w:pPr>
          </w:p>
        </w:tc>
        <w:tc>
          <w:tcPr>
            <w:tcW w:w="988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9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Bylaws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Registration Rights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First Amended and Restated Credit Agreement, dated July 2, 2015, among Academy, Ltd., as Borrower, New Academy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Company, LLC, as Holdings, Associated Investors L.L.C. and Academy Managing Co., L.L.C, as Texas Intermediate Holdcos,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lending institutions from time to time party thereto and Morgan Stanley Senior Funding, Inc., as the Administrative Agent and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Term Loan Security Agreement, dated as of July 2, 2015, among Academy, Ltd., as Borrower, each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subsidiaries listed on the 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Term Loan Pledge Agreement, dated as of July 2, 2015, among New Academy Holding Company,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Holdings, Associated Investors L.L.C. and Academy Managing Co., L.L.C, as Texas Intermediate Holdcos, Academy, Ltd., as Borrower,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each of the subsidiaries listed on the signature pages thereto and Morgan Stanley Senior Funding, Inc., as collateral agent for the benefit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of the 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ABL Intercreditor Agreement, dated July 2, 2015, among JPMorgan Chase Bank, N.A., as agent for the ABL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therein, Morgan Stanley Senior Funding, Inc., as administrative agent and collateral agent for the Term Loan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therein, New Academy Holding Company, LLC, as Holdings, Associated Investors L.L.C. and Academy Managing Co., L.L.C, as Texas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Intermediate Holdcos, Academy, Ltd., as Borrower, and each of the subsidiaries of the Borrower listed on the signature pages thereto.</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First Amended and Restated ABL Credit Agreement, dated July 2, 2015, among Academy, Ltd., as Borrower, New Academy Holding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Company, LLC, as Holdings, Associated Investors L.L.C. and Academy Managing Co., L.L.C, as Texas Intermediate Holdcos,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lending institutions from time to time party thereto and JPMorgan Chase Bank, N.A., as the Administrative Agent, the Collateral Agent,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Letter of Credit Issuer and the Swingline Lender.</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Amendment No. 1 to First Amended and Restated ABL Credit Agreement, dated as of May 22, 2018, among Academy, Ltd.,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Borrower, New Academy Holding Company, LLC, as Holdings, Associated Investors L.L.C. and Academy Managing Co.,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Texas Intermediate Holdcos, each of the Guarantors party thereto, each of the lenders party thereto and JPMorgan Chase Bank, N.A., 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Administrative Agent, the Collateral Agent, the Letter of Credit Issuer and the Swingline Lender.</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ABL Security Agreement, dated as of July 2, 2015, among Academy, Ltd., as Borrower, each of the subsidiaries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listed on the signature pages thereto, and JPMorgan Chase Bank, N.A., as collateral agent for the benefit of the secured parties.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Amended and Restated ABL Pledge Agreement, dated July 2, 2015, among New Academy Holding Company, LLC, as Holdings,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Associated Investors L.L.C. and Academy Managing Co., L.L.C, as Texas Intermediate Holdcos, Academy, Ltd., as Borrower, each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subsidiaries listed on the signature pages thereto and JPMorgan Chase Bank, N.A., as collateral agent for the benefit of the secured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parties.</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Omnibus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Option Agreement under 2020 Omnibus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under 2020 Omnibus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Employee Stock Purchase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CEO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Executive Option Agreement under 2011 Unit Incentive Plan.</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2017 Executive Option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2016 Executive Option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CEO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2020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2019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CEO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Independent Non-Employee Director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2018 Executive Restricted Unit Agreement under 2011 Unit Incentive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Ken C. Hicks Employment Agreement, dated August 2, 2018.</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Michael P. Mullican Employment Agreement, dated January 6, 2017 and amended on December 11, 2017.</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Steven (Steve) P. Lawrence Employment Agreement, dated January 29, 2019.</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Samuel (Sam) J. Johnson Employment Agreement, dated April 17, 2017.</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Kenneth (Ken) D. Attaway Employment Agreement, dated July 1, 2009, as amended and restated on August 30, 2011 and further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amended on August 6, 2012.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Stockholders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10.34*</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Form of Management Unitholders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New Academy Holding Company, 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Academy Sports and Outdoors,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hanging="424"/>
        <w:spacing w:after="0"/>
        <w:tabs>
          <w:tab w:leader="none" w:pos="5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arrangements for director(s) and/or executive officer(s).</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its behalf by the undersigned, thereunto duly authorized, in</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on</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2020.</w:t>
            </w:r>
          </w:p>
        </w:tc>
        <w:tc>
          <w:tcPr>
            <w:tcW w:w="4040" w:type="dxa"/>
            <w:vAlign w:val="bottom"/>
          </w:tcPr>
          <w:p>
            <w:pPr>
              <w:spacing w:after="0"/>
              <w:rPr>
                <w:sz w:val="20"/>
                <w:szCs w:val="20"/>
                <w:color w:val="auto"/>
              </w:rPr>
            </w:pPr>
          </w:p>
        </w:tc>
      </w:tr>
      <w:tr>
        <w:trPr>
          <w:trHeight w:val="441"/>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432"/>
        </w:trPr>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4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capacities indicated on</w:t>
            </w:r>
          </w:p>
        </w:tc>
        <w:tc>
          <w:tcPr>
            <w:tcW w:w="3760" w:type="dxa"/>
            <w:vAlign w:val="bottom"/>
          </w:tcPr>
          <w:p>
            <w:pPr>
              <w:jc w:val="right"/>
              <w:ind w:right="2632"/>
              <w:spacing w:after="0"/>
              <w:rPr>
                <w:sz w:val="20"/>
                <w:szCs w:val="20"/>
                <w:color w:val="auto"/>
              </w:rPr>
            </w:pPr>
            <w:r>
              <w:rPr>
                <w:rFonts w:ascii="Times New Roman" w:cs="Times New Roman" w:eastAsia="Times New Roman" w:hAnsi="Times New Roman"/>
                <w:sz w:val="18"/>
                <w:szCs w:val="18"/>
                <w:color w:val="auto"/>
              </w:rPr>
              <w:t>, 2020:</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1772"/>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24"/>
                <w:szCs w:val="24"/>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12"/>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Ken C. Hicks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8"/>
              </w:rPr>
              <w:t>Michael P. Mullican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Heather A. Davis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7"/>
              </w:rPr>
              <w:t>Brian T. Marley</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w w:val="96"/>
              </w:rPr>
              <w:t>Vishal V. Patel</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8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760" w:type="dxa"/>
            <w:vAlign w:val="bottom"/>
          </w:tcPr>
          <w:p>
            <w:pPr>
              <w:jc w:val="center"/>
              <w:ind w:right="1772"/>
              <w:spacing w:after="0"/>
              <w:rPr>
                <w:sz w:val="20"/>
                <w:szCs w:val="20"/>
                <w:color w:val="auto"/>
              </w:rPr>
            </w:pPr>
            <w:r>
              <w:rPr>
                <w:rFonts w:ascii="Times New Roman" w:cs="Times New Roman" w:eastAsia="Times New Roman" w:hAnsi="Times New Roman"/>
                <w:sz w:val="18"/>
                <w:szCs w:val="18"/>
                <w:color w:val="auto"/>
              </w:rPr>
              <w:t>William S. Simon</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Academy Sports and Outdoors, Inc. has requested confidential treatment of this registration statement and associated correspondence pursuant to Rule 83 of the Securities and Exchange Commission.</w:t>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0" w:type="dxa"/>
            <w:vAlign w:val="bottom"/>
          </w:tcPr>
          <w:p>
            <w:pPr>
              <w:spacing w:after="0"/>
              <w:rPr>
                <w:sz w:val="1"/>
                <w:szCs w:val="1"/>
                <w:color w:val="auto"/>
              </w:rPr>
            </w:pPr>
          </w:p>
        </w:tc>
      </w:tr>
      <w:tr>
        <w:trPr>
          <w:trHeight w:val="412"/>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Nathaniel H. Taylor</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Aileen X. Yan</w:t>
            </w:r>
          </w:p>
        </w:tc>
        <w:tc>
          <w:tcPr>
            <w:tcW w:w="22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1)"/>
      <w:numFmt w:val="decimal"/>
      <w:start w:val="2"/>
    </w:lvl>
  </w:abstractNum>
  <w:abstractNum w:abstractNumId="1">
    <w:nsid w:val="4C9B0904"/>
    <w:multiLevelType w:val="hybridMultilevel"/>
    <w:lvl w:ilvl="0">
      <w:lvlJc w:val="left"/>
      <w:lvlText w:val="(%1)"/>
      <w:numFmt w:val="decimal"/>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
      <w:numFmt w:val="bullet"/>
      <w:start w:val="1"/>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1)"/>
      <w:numFmt w:val="decimal"/>
      <w:start w:val="1"/>
    </w:lvl>
  </w:abstractNum>
  <w:abstractNum w:abstractNumId="11">
    <w:nsid w:val="53B0A9E"/>
    <w:multiLevelType w:val="hybridMultilevel"/>
    <w:lvl w:ilvl="0">
      <w:lvlJc w:val="left"/>
      <w:lvlText w:val="(%1)"/>
      <w:numFmt w:val="decimal"/>
      <w:start w:val="4"/>
    </w:lvl>
  </w:abstractNum>
  <w:abstractNum w:abstractNumId="12">
    <w:nsid w:val="34FD6B4F"/>
    <w:multiLevelType w:val="hybridMultilevel"/>
    <w:lvl w:ilvl="0">
      <w:lvlJc w:val="left"/>
      <w:lvlText w:val="•"/>
      <w:numFmt w:val="bullet"/>
      <w:start w:val="1"/>
    </w:lvl>
  </w:abstractNum>
  <w:abstractNum w:abstractNumId="13">
    <w:nsid w:val="5915FF32"/>
    <w:multiLevelType w:val="hybridMultilevel"/>
    <w:lvl w:ilvl="0">
      <w:lvlJc w:val="left"/>
      <w:lvlText w:val="(%1)"/>
      <w:numFmt w:val="lowerLetter"/>
      <w:start w:val="1"/>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
      <w:numFmt w:val="bullet"/>
      <w:start w:val="1"/>
    </w:lvl>
  </w:abstractNum>
  <w:abstractNum w:abstractNumId="18">
    <w:nsid w:val="4DF72E4E"/>
    <w:multiLevelType w:val="hybridMultilevel"/>
    <w:lvl w:ilvl="0">
      <w:lvlJc w:val="left"/>
      <w:lvlText w:val="•"/>
      <w:numFmt w:val="bullet"/>
      <w:start w:val="1"/>
    </w:lvl>
  </w:abstractNum>
  <w:abstractNum w:abstractNumId="19">
    <w:nsid w:val="5046B5A9"/>
    <w:multiLevelType w:val="hybridMultilevel"/>
    <w:lvl w:ilvl="0">
      <w:lvlJc w:val="left"/>
      <w:lvlText w:val="•"/>
      <w:numFmt w:val="bullet"/>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
      <w:numFmt w:val="bullet"/>
      <w:start w:val="1"/>
    </w:lvl>
  </w:abstractNum>
  <w:abstractNum w:abstractNumId="32">
    <w:nsid w:val="57D2F10E"/>
    <w:multiLevelType w:val="hybridMultilevel"/>
    <w:lvl w:ilvl="0">
      <w:lvlJc w:val="left"/>
      <w:lvlText w:val="%"/>
      <w:numFmt w:val="bullet"/>
      <w:start w:val="1"/>
    </w:lvl>
  </w:abstractNum>
  <w:abstractNum w:abstractNumId="33">
    <w:nsid w:val="BFFAE18"/>
    <w:multiLevelType w:val="hybridMultilevel"/>
    <w:lvl w:ilvl="0">
      <w:lvlJc w:val="left"/>
      <w:lvlText w:val="•"/>
      <w:numFmt w:val="bullet"/>
      <w:start w:val="1"/>
    </w:lvl>
  </w:abstractNum>
  <w:abstractNum w:abstractNumId="34">
    <w:nsid w:val="E3E47A8"/>
    <w:multiLevelType w:val="hybridMultilevel"/>
    <w:lvl w:ilvl="0">
      <w:lvlJc w:val="left"/>
      <w:lvlText w:val="(%1)"/>
      <w:numFmt w:val="lowerRoman"/>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
      <w:numFmt w:val="bullet"/>
      <w:start w:val="1"/>
    </w:lvl>
  </w:abstractNum>
  <w:abstractNum w:abstractNumId="37">
    <w:nsid w:val="4BEE5A5B"/>
    <w:multiLevelType w:val="hybridMultilevel"/>
    <w:lvl w:ilvl="0">
      <w:lvlJc w:val="left"/>
      <w:lvlText w:val="•"/>
      <w:numFmt w:val="bullet"/>
      <w:start w:val="1"/>
    </w:lvl>
  </w:abstractNum>
  <w:abstractNum w:abstractNumId="38">
    <w:nsid w:val="5551B9F3"/>
    <w:multiLevelType w:val="hybridMultilevel"/>
    <w:lvl w:ilvl="0">
      <w:lvlJc w:val="left"/>
      <w:lvlText w:val="(%1)"/>
      <w:numFmt w:val="decimal"/>
      <w:start w:val="2"/>
    </w:lvl>
  </w:abstractNum>
  <w:abstractNum w:abstractNumId="39">
    <w:nsid w:val="24F6AB8E"/>
    <w:multiLevelType w:val="hybridMultilevel"/>
    <w:lvl w:ilvl="0">
      <w:lvlJc w:val="left"/>
      <w:lvlText w:val="(%1)"/>
      <w:numFmt w:val="decimal"/>
      <w:start w:val="1"/>
    </w:lvl>
  </w:abstractNum>
  <w:abstractNum w:abstractNumId="40">
    <w:nsid w:val="634C574C"/>
    <w:multiLevelType w:val="hybridMultilevel"/>
    <w:lvl w:ilvl="0">
      <w:lvlJc w:val="left"/>
      <w:lvlText w:val="•"/>
      <w:numFmt w:val="bullet"/>
      <w:start w:val="1"/>
    </w:lvl>
  </w:abstractNum>
  <w:abstractNum w:abstractNumId="41">
    <w:nsid w:val="24E99DD7"/>
    <w:multiLevelType w:val="hybridMultilevel"/>
    <w:lvl w:ilvl="0">
      <w:lvlJc w:val="left"/>
      <w:lvlText w:val="•"/>
      <w:numFmt w:val="bullet"/>
      <w:start w:val="1"/>
    </w:lvl>
  </w:abstractNum>
  <w:abstractNum w:abstractNumId="42">
    <w:nsid w:val="2A31B62D"/>
    <w:multiLevelType w:val="hybridMultilevel"/>
    <w:lvl w:ilvl="0">
      <w:lvlJc w:val="left"/>
      <w:lvlText w:val="•"/>
      <w:numFmt w:val="bullet"/>
      <w:start w:val="1"/>
    </w:lvl>
  </w:abstractNum>
  <w:abstractNum w:abstractNumId="43">
    <w:nsid w:val="1849C29B"/>
    <w:multiLevelType w:val="hybridMultilevel"/>
    <w:lvl w:ilvl="0">
      <w:lvlJc w:val="left"/>
      <w:lvlText w:val="•"/>
      <w:numFmt w:val="bullet"/>
      <w:start w:val="1"/>
    </w:lvl>
  </w:abstractNum>
  <w:abstractNum w:abstractNumId="44">
    <w:nsid w:val="7DFF9D09"/>
    <w:multiLevelType w:val="hybridMultilevel"/>
    <w:lvl w:ilvl="0">
      <w:lvlJc w:val="left"/>
      <w:lvlText w:val="•"/>
      <w:numFmt w:val="bullet"/>
      <w:start w:val="1"/>
    </w:lvl>
  </w:abstractNum>
  <w:abstractNum w:abstractNumId="45">
    <w:nsid w:val="754342"/>
    <w:multiLevelType w:val="hybridMultilevel"/>
    <w:lvl w:ilvl="0">
      <w:lvlJc w:val="left"/>
      <w:lvlText w:val="•"/>
      <w:numFmt w:val="bullet"/>
      <w:start w:val="1"/>
    </w:lvl>
  </w:abstractNum>
  <w:abstractNum w:abstractNumId="46">
    <w:nsid w:val="69E7F3E5"/>
    <w:multiLevelType w:val="hybridMultilevel"/>
    <w:lvl w:ilvl="0">
      <w:lvlJc w:val="left"/>
      <w:lvlText w:val="•"/>
      <w:numFmt w:val="bullet"/>
      <w:start w:val="1"/>
    </w:lvl>
  </w:abstractNum>
  <w:abstractNum w:abstractNumId="47">
    <w:nsid w:val="2A6DE806"/>
    <w:multiLevelType w:val="hybridMultilevel"/>
    <w:lvl w:ilvl="0">
      <w:lvlJc w:val="left"/>
      <w:lvlText w:val="(%1)"/>
      <w:numFmt w:val="lowerLetter"/>
      <w:start w:val="1"/>
    </w:lvl>
  </w:abstractNum>
  <w:abstractNum w:abstractNumId="48">
    <w:nsid w:val="1816F8C4"/>
    <w:multiLevelType w:val="hybridMultilevel"/>
    <w:lvl w:ilvl="0">
      <w:lvlJc w:val="left"/>
      <w:lvlText w:val="(%1)"/>
      <w:numFmt w:val="lowerLetter"/>
      <w:start w:val="5"/>
    </w:lvl>
  </w:abstractNum>
  <w:abstractNum w:abstractNumId="49">
    <w:nsid w:val="37DF2233"/>
    <w:multiLevelType w:val="hybridMultilevel"/>
    <w:lvl w:ilvl="0">
      <w:lvlJc w:val="left"/>
      <w:lvlText w:val="(%1)"/>
      <w:numFmt w:val="decimal"/>
      <w:start w:val="1"/>
    </w:lvl>
  </w:abstractNum>
  <w:abstractNum w:abstractNumId="50">
    <w:nsid w:val="7AB49DAF"/>
    <w:multiLevelType w:val="hybridMultilevel"/>
    <w:lvl w:ilvl="0">
      <w:lvlJc w:val="left"/>
      <w:lvlText w:val="(%1)"/>
      <w:numFmt w:val="decimal"/>
      <w:start w:val="1"/>
    </w:lvl>
  </w:abstractNum>
  <w:abstractNum w:abstractNumId="51">
    <w:nsid w:val="759F82CD"/>
    <w:multiLevelType w:val="hybridMultilevel"/>
    <w:lvl w:ilvl="0">
      <w:lvlJc w:val="left"/>
      <w:lvlText w:val="(%1)"/>
      <w:numFmt w:val="decimal"/>
      <w:start w:val="5"/>
    </w:lvl>
  </w:abstractNum>
  <w:abstractNum w:abstractNumId="52">
    <w:nsid w:val="61E74EA3"/>
    <w:multiLevelType w:val="hybridMultilevel"/>
    <w:lvl w:ilvl="0">
      <w:lvlJc w:val="left"/>
      <w:lvlText w:val="•"/>
      <w:numFmt w:val="bullet"/>
      <w:start w:val="1"/>
    </w:lvl>
  </w:abstractNum>
  <w:abstractNum w:abstractNumId="53">
    <w:nsid w:val="597B4D84"/>
    <w:multiLevelType w:val="hybridMultilevel"/>
    <w:lvl w:ilvl="0">
      <w:lvlJc w:val="left"/>
      <w:lvlText w:val="•"/>
      <w:numFmt w:val="bullet"/>
      <w:start w:val="1"/>
    </w:lvl>
  </w:abstractNum>
  <w:abstractNum w:abstractNumId="54">
    <w:nsid w:val="F819E7F"/>
    <w:multiLevelType w:val="hybridMultilevel"/>
    <w:lvl w:ilvl="0">
      <w:lvlJc w:val="left"/>
      <w:lvlText w:val="•"/>
      <w:numFmt w:val="bullet"/>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1)"/>
      <w:numFmt w:val="decimal"/>
      <w:start w:val="1"/>
    </w:lvl>
  </w:abstractNum>
  <w:abstractNum w:abstractNumId="57">
    <w:nsid w:val="631B64D4"/>
    <w:multiLevelType w:val="hybridMultilevel"/>
    <w:lvl w:ilvl="0">
      <w:lvlJc w:val="left"/>
      <w:lvlText w:val="(%1)"/>
      <w:numFmt w:val="decimal"/>
      <w:start w:val="1"/>
    </w:lvl>
  </w:abstractNum>
  <w:abstractNum w:abstractNumId="58">
    <w:nsid w:val="78B5E776"/>
    <w:multiLevelType w:val="hybridMultilevel"/>
    <w:lvl w:ilvl="0">
      <w:lvlJc w:val="left"/>
      <w:lvlText w:val="(%1)"/>
      <w:numFmt w:val="decimal"/>
      <w:start w:val="1"/>
    </w:lvl>
  </w:abstractNum>
  <w:abstractNum w:abstractNumId="59">
    <w:nsid w:val="75486E47"/>
    <w:multiLevelType w:val="hybridMultilevel"/>
    <w:lvl w:ilvl="0">
      <w:lvlJc w:val="left"/>
      <w:lvlText w:val="•"/>
      <w:numFmt w:val="bullet"/>
      <w:start w:val="1"/>
    </w:lvl>
  </w:abstractNum>
  <w:abstractNum w:abstractNumId="60">
    <w:nsid w:val="6E534CDE"/>
    <w:multiLevelType w:val="hybridMultilevel"/>
    <w:lvl w:ilvl="0">
      <w:lvlJc w:val="left"/>
      <w:lvlText w:val="•"/>
      <w:numFmt w:val="bullet"/>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
      <w:numFmt w:val="bullet"/>
      <w:start w:val="1"/>
    </w:lvl>
  </w:abstractNum>
  <w:abstractNum w:abstractNumId="69">
    <w:nsid w:val="49C0E823"/>
    <w:multiLevelType w:val="hybridMultilevel"/>
    <w:lvl w:ilvl="0">
      <w:lvlJc w:val="left"/>
      <w:lvlText w:val="•"/>
      <w:numFmt w:val="bullet"/>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abstractNum>
  <w:abstractNum w:abstractNumId="72">
    <w:nsid w:val="6EAA85FB"/>
    <w:multiLevelType w:val="hybridMultilevel"/>
    <w:lvl w:ilvl="0">
      <w:lvlJc w:val="left"/>
      <w:lvlText w:val="•"/>
      <w:numFmt w:val="bullet"/>
      <w:start w:val="1"/>
    </w:lvl>
    <w:lvl w:ilvl="1">
      <w:lvlJc w:val="left"/>
      <w:lvlText w:val="•"/>
      <w:numFmt w:val="bullet"/>
      <w:start w:val="1"/>
    </w:lvl>
  </w:abstractNum>
  <w:abstractNum w:abstractNumId="73">
    <w:nsid w:val="3F06ECB2"/>
    <w:multiLevelType w:val="hybridMultilevel"/>
    <w:lvl w:ilvl="0">
      <w:lvlJc w:val="left"/>
      <w:lvlText w:val="•"/>
      <w:numFmt w:val="bullet"/>
      <w:start w:val="1"/>
    </w:lvl>
  </w:abstractNum>
  <w:abstractNum w:abstractNumId="74">
    <w:nsid w:val="3B594807"/>
    <w:multiLevelType w:val="hybridMultilevel"/>
    <w:lvl w:ilvl="0">
      <w:lvlJc w:val="left"/>
      <w:lvlText w:val="•"/>
      <w:numFmt w:val="bullet"/>
      <w:start w:val="1"/>
    </w:lvl>
    <w:lvl w:ilvl="1">
      <w:lvlJc w:val="left"/>
      <w:lvlText w:val="•"/>
      <w:numFmt w:val="bullet"/>
      <w:start w:val="1"/>
    </w:lvl>
  </w:abstractNum>
  <w:abstractNum w:abstractNumId="75">
    <w:nsid w:val="6CAA2304"/>
    <w:multiLevelType w:val="hybridMultilevel"/>
    <w:lvl w:ilvl="0">
      <w:lvlJc w:val="left"/>
      <w:lvlText w:val="(%1)"/>
      <w:numFmt w:val="lowerRoman"/>
      <w:start w:val="3"/>
    </w:lvl>
  </w:abstractNum>
  <w:abstractNum w:abstractNumId="76">
    <w:nsid w:val="3F7C2FF4"/>
    <w:multiLevelType w:val="hybridMultilevel"/>
    <w:lvl w:ilvl="0">
      <w:lvlJc w:val="left"/>
      <w:lvlText w:val="(%1)"/>
      <w:numFmt w:val="decimal"/>
      <w:start w:val="1"/>
    </w:lvl>
  </w:abstractNum>
  <w:abstractNum w:abstractNumId="77">
    <w:nsid w:val="25413BEC"/>
    <w:multiLevelType w:val="hybridMultilevel"/>
    <w:lvl w:ilvl="0">
      <w:lvlJc w:val="left"/>
      <w:lvlText w:val="(%1)"/>
      <w:numFmt w:val="decimal"/>
      <w:start w:val="2"/>
    </w:lvl>
  </w:abstractNum>
  <w:abstractNum w:abstractNumId="78">
    <w:nsid w:val="17180B0B"/>
    <w:multiLevelType w:val="hybridMultilevel"/>
    <w:lvl w:ilvl="0">
      <w:lvlJc w:val="left"/>
      <w:lvlText w:val="•"/>
      <w:numFmt w:val="bullet"/>
      <w:start w:val="1"/>
    </w:lvl>
  </w:abstractNum>
  <w:abstractNum w:abstractNumId="79">
    <w:nsid w:val="579328B9"/>
    <w:multiLevelType w:val="hybridMultilevel"/>
    <w:lvl w:ilvl="0">
      <w:lvlJc w:val="left"/>
      <w:lvlText w:val="•"/>
      <w:numFmt w:val="bullet"/>
      <w:start w:val="1"/>
    </w:lvl>
  </w:abstractNum>
  <w:abstractNum w:abstractNumId="80">
    <w:nsid w:val="5D205E20"/>
    <w:multiLevelType w:val="hybridMultilevel"/>
    <w:lvl w:ilvl="0">
      <w:lvlJc w:val="left"/>
      <w:lvlText w:val="•"/>
      <w:numFmt w:val="bullet"/>
      <w:start w:val="1"/>
    </w:lvl>
  </w:abstractNum>
  <w:abstractNum w:abstractNumId="81">
    <w:nsid w:val="11CCA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2">
    <w:nsid w:val="4D32AB86"/>
    <w:multiLevelType w:val="hybridMultilevel"/>
    <w:lvl w:ilvl="0">
      <w:lvlJc w:val="left"/>
      <w:lvlText w:val="•"/>
      <w:numFmt w:val="bullet"/>
      <w:start w:val="1"/>
    </w:lvl>
  </w:abstractNum>
  <w:abstractNum w:abstractNumId="83">
    <w:nsid w:val="3F07ACC3"/>
    <w:multiLevelType w:val="hybridMultilevel"/>
    <w:lvl w:ilvl="0">
      <w:lvlJc w:val="left"/>
      <w:lvlText w:val="•"/>
      <w:numFmt w:val="bullet"/>
      <w:start w:val="1"/>
    </w:lvl>
  </w:abstractNum>
  <w:abstractNum w:abstractNumId="84">
    <w:nsid w:val="6B47F63E"/>
    <w:multiLevelType w:val="hybridMultilevel"/>
    <w:lvl w:ilvl="0">
      <w:lvlJc w:val="left"/>
      <w:lvlText w:val="•"/>
      <w:numFmt w:val="bullet"/>
      <w:start w:val="1"/>
    </w:lvl>
  </w:abstractNum>
  <w:abstractNum w:abstractNumId="85">
    <w:nsid w:val="5CB44A05"/>
    <w:multiLevelType w:val="hybridMultilevel"/>
    <w:lvl w:ilvl="0">
      <w:lvlJc w:val="left"/>
      <w:lvlText w:val="•"/>
      <w:numFmt w:val="bullet"/>
      <w:start w:val="1"/>
    </w:lvl>
  </w:abstractNum>
  <w:abstractNum w:abstractNumId="86">
    <w:nsid w:val="16CF80F1"/>
    <w:multiLevelType w:val="hybridMultilevel"/>
    <w:lvl w:ilvl="0">
      <w:lvlJc w:val="left"/>
      <w:lvlText w:val="•"/>
      <w:numFmt w:val="bullet"/>
      <w:start w:val="1"/>
    </w:lvl>
  </w:abstractNum>
  <w:abstractNum w:abstractNumId="87">
    <w:nsid w:val="1C695DEC"/>
    <w:multiLevelType w:val="hybridMultilevel"/>
    <w:lvl w:ilvl="0">
      <w:lvlJc w:val="left"/>
      <w:lvlText w:val="•"/>
      <w:numFmt w:val="bullet"/>
      <w:start w:val="1"/>
    </w:lvl>
  </w:abstractNum>
  <w:abstractNum w:abstractNumId="88">
    <w:nsid w:val="3FCFAED9"/>
    <w:multiLevelType w:val="hybridMultilevel"/>
    <w:lvl w:ilvl="0">
      <w:lvlJc w:val="left"/>
      <w:lvlText w:val="•"/>
      <w:numFmt w:val="bullet"/>
      <w:start w:val="1"/>
    </w:lvl>
  </w:abstractNum>
  <w:abstractNum w:abstractNumId="89">
    <w:nsid w:val="F856867"/>
    <w:multiLevelType w:val="hybridMultilevel"/>
    <w:lvl w:ilvl="0">
      <w:lvlJc w:val="left"/>
      <w:lvlText w:val="•"/>
      <w:numFmt w:val="bullet"/>
      <w:start w:val="1"/>
    </w:lvl>
  </w:abstractNum>
  <w:abstractNum w:abstractNumId="90">
    <w:nsid w:val="11B1CC33"/>
    <w:multiLevelType w:val="hybridMultilevel"/>
    <w:lvl w:ilvl="0">
      <w:lvlJc w:val="left"/>
      <w:lvlText w:val="•"/>
      <w:numFmt w:val="bullet"/>
      <w:start w:val="1"/>
    </w:lvl>
  </w:abstractNum>
  <w:abstractNum w:abstractNumId="91">
    <w:nsid w:val="2E22FBB7"/>
    <w:multiLevelType w:val="hybridMultilevel"/>
    <w:lvl w:ilvl="0">
      <w:lvlJc w:val="left"/>
      <w:lvlText w:val="•"/>
      <w:numFmt w:val="bullet"/>
      <w:start w:val="1"/>
    </w:lvl>
    <w:lvl w:ilvl="1">
      <w:lvlJc w:val="left"/>
      <w:lvlText w:val="•"/>
      <w:numFmt w:val="bullet"/>
      <w:start w:val="1"/>
    </w:lvl>
  </w:abstractNum>
  <w:abstractNum w:abstractNumId="92">
    <w:nsid w:val="29934699"/>
    <w:multiLevelType w:val="hybridMultilevel"/>
    <w:lvl w:ilvl="0">
      <w:lvlJc w:val="left"/>
      <w:lvlText w:val="•"/>
      <w:numFmt w:val="bullet"/>
      <w:start w:val="1"/>
    </w:lvl>
    <w:lvl w:ilvl="1">
      <w:lvlJc w:val="left"/>
      <w:lvlText w:val="•"/>
      <w:numFmt w:val="bullet"/>
      <w:start w:val="1"/>
    </w:lvl>
  </w:abstractNum>
  <w:abstractNum w:abstractNumId="93">
    <w:nsid w:val="77485850"/>
    <w:multiLevelType w:val="hybridMultilevel"/>
    <w:lvl w:ilvl="0">
      <w:lvlJc w:val="left"/>
      <w:lvlText w:val="•"/>
      <w:numFmt w:val="bullet"/>
      <w:start w:val="1"/>
    </w:lvl>
  </w:abstractNum>
  <w:abstractNum w:abstractNumId="94">
    <w:nsid w:val="744939A3"/>
    <w:multiLevelType w:val="hybridMultilevel"/>
    <w:lvl w:ilvl="0">
      <w:lvlJc w:val="left"/>
      <w:lvlText w:val="•"/>
      <w:numFmt w:val="bullet"/>
      <w:start w:val="1"/>
    </w:lvl>
  </w:abstractNum>
  <w:abstractNum w:abstractNumId="95">
    <w:nsid w:val="4FA0D2E3"/>
    <w:multiLevelType w:val="hybridMultilevel"/>
    <w:lvl w:ilvl="0">
      <w:lvlJc w:val="left"/>
      <w:lvlText w:val="•"/>
      <w:numFmt w:val="bullet"/>
      <w:start w:val="1"/>
    </w:lvl>
    <w:lvl w:ilvl="1">
      <w:lvlJc w:val="left"/>
      <w:lvlText w:val="•"/>
      <w:numFmt w:val="bullet"/>
      <w:start w:val="1"/>
    </w:lvl>
  </w:abstractNum>
  <w:abstractNum w:abstractNumId="96">
    <w:nsid w:val="6B1D2C14"/>
    <w:multiLevelType w:val="hybridMultilevel"/>
    <w:lvl w:ilvl="0">
      <w:lvlJc w:val="left"/>
      <w:lvlText w:val="•"/>
      <w:numFmt w:val="bullet"/>
      <w:start w:val="1"/>
    </w:lvl>
    <w:lvl w:ilvl="1">
      <w:lvlJc w:val="left"/>
      <w:lvlText w:val="•"/>
      <w:numFmt w:val="bullet"/>
      <w:start w:val="1"/>
    </w:lvl>
  </w:abstractNum>
  <w:abstractNum w:abstractNumId="97">
    <w:nsid w:val="68B867D3"/>
    <w:multiLevelType w:val="hybridMultilevel"/>
    <w:lvl w:ilvl="0">
      <w:lvlJc w:val="left"/>
      <w:lvlText w:val="•"/>
      <w:numFmt w:val="bullet"/>
      <w:start w:val="1"/>
    </w:lvl>
    <w:lvl w:ilvl="1">
      <w:lvlJc w:val="left"/>
      <w:lvlText w:val="•"/>
      <w:numFmt w:val="bullet"/>
      <w:start w:val="1"/>
    </w:lvl>
  </w:abstractNum>
  <w:abstractNum w:abstractNumId="98">
    <w:nsid w:val="3F7F5DD9"/>
    <w:multiLevelType w:val="hybridMultilevel"/>
    <w:lvl w:ilvl="0">
      <w:lvlJc w:val="left"/>
      <w:lvlText w:val="(%1)"/>
      <w:numFmt w:val="lowerRoman"/>
      <w:start w:val="10"/>
    </w:lvl>
  </w:abstractNum>
  <w:abstractNum w:abstractNumId="99">
    <w:nsid w:val="2AE05A3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0">
    <w:nsid w:val="32794FF7"/>
    <w:multiLevelType w:val="hybridMultilevel"/>
    <w:lvl w:ilvl="0">
      <w:lvlJc w:val="left"/>
      <w:lvlText w:val="•"/>
      <w:numFmt w:val="bullet"/>
      <w:start w:val="1"/>
    </w:lvl>
    <w:lvl w:ilvl="1">
      <w:lvlJc w:val="left"/>
      <w:lvlText w:val="•"/>
      <w:numFmt w:val="bullet"/>
      <w:start w:val="1"/>
    </w:lvl>
  </w:abstractNum>
  <w:abstractNum w:abstractNumId="101">
    <w:nsid w:val="5454945E"/>
    <w:multiLevelType w:val="hybridMultilevel"/>
    <w:lvl w:ilvl="0">
      <w:lvlJc w:val="left"/>
      <w:lvlText w:val="•"/>
      <w:numFmt w:val="bullet"/>
      <w:start w:val="1"/>
    </w:lvl>
    <w:lvl w:ilvl="1">
      <w:lvlJc w:val="left"/>
      <w:lvlText w:val="•"/>
      <w:numFmt w:val="bullet"/>
      <w:start w:val="1"/>
    </w:lvl>
  </w:abstractNum>
  <w:abstractNum w:abstractNumId="102">
    <w:nsid w:val="4DEFDFA0"/>
    <w:multiLevelType w:val="hybridMultilevel"/>
    <w:lvl w:ilvl="0">
      <w:lvlJc w:val="left"/>
      <w:lvlText w:val="•"/>
      <w:numFmt w:val="bullet"/>
      <w:start w:val="1"/>
    </w:lvl>
  </w:abstractNum>
  <w:abstractNum w:abstractNumId="103">
    <w:nsid w:val="2123D5F2"/>
    <w:multiLevelType w:val="hybridMultilevel"/>
    <w:lvl w:ilvl="0">
      <w:lvlJc w:val="left"/>
      <w:lvlText w:val="•"/>
      <w:numFmt w:val="bullet"/>
      <w:start w:val="1"/>
    </w:lvl>
    <w:lvl w:ilvl="1">
      <w:lvlJc w:val="left"/>
      <w:lvlText w:val="•"/>
      <w:numFmt w:val="bullet"/>
      <w:start w:val="1"/>
    </w:lvl>
  </w:abstractNum>
  <w:abstractNum w:abstractNumId="104">
    <w:nsid w:val="135B8110"/>
    <w:multiLevelType w:val="hybridMultilevel"/>
    <w:lvl w:ilvl="0">
      <w:lvlJc w:val="left"/>
      <w:lvlText w:val="•"/>
      <w:numFmt w:val="bullet"/>
      <w:start w:val="1"/>
    </w:lvl>
    <w:lvl w:ilvl="1">
      <w:lvlJc w:val="left"/>
      <w:lvlText w:val="•"/>
      <w:numFmt w:val="bullet"/>
      <w:start w:val="1"/>
    </w:lvl>
  </w:abstractNum>
  <w:abstractNum w:abstractNumId="105">
    <w:nsid w:val="94927A8"/>
    <w:multiLevelType w:val="hybridMultilevel"/>
    <w:lvl w:ilvl="0">
      <w:lvlJc w:val="left"/>
      <w:lvlText w:val="•"/>
      <w:numFmt w:val="bullet"/>
      <w:start w:val="1"/>
    </w:lvl>
    <w:lvl w:ilvl="1">
      <w:lvlJc w:val="left"/>
      <w:lvlText w:val="•"/>
      <w:numFmt w:val="bullet"/>
      <w:start w:val="1"/>
    </w:lvl>
  </w:abstractNum>
  <w:abstractNum w:abstractNumId="106">
    <w:nsid w:val="DCDF8F6"/>
    <w:multiLevelType w:val="hybridMultilevel"/>
    <w:lvl w:ilvl="0">
      <w:lvlJc w:val="left"/>
      <w:lvlText w:val="•"/>
      <w:numFmt w:val="bullet"/>
      <w:start w:val="1"/>
    </w:lvl>
    <w:lvl w:ilvl="1">
      <w:lvlJc w:val="left"/>
      <w:lvlText w:val="•"/>
      <w:numFmt w:val="bullet"/>
      <w:start w:val="1"/>
    </w:lvl>
  </w:abstractNum>
  <w:abstractNum w:abstractNumId="107">
    <w:nsid w:val="52D7B105"/>
    <w:multiLevelType w:val="hybridMultilevel"/>
    <w:lvl w:ilvl="0">
      <w:lvlJc w:val="left"/>
      <w:lvlText w:val="(%1)"/>
      <w:numFmt w:val="lowerRoman"/>
      <w:start w:val="1"/>
    </w:lvl>
  </w:abstractNum>
  <w:abstractNum w:abstractNumId="108">
    <w:nsid w:val="2E8A6394"/>
    <w:multiLevelType w:val="hybridMultilevel"/>
    <w:lvl w:ilvl="0">
      <w:lvlJc w:val="left"/>
      <w:lvlText w:val="(%1)"/>
      <w:numFmt w:val="decimal"/>
      <w:start w:val="1"/>
    </w:lvl>
  </w:abstractNum>
  <w:abstractNum w:abstractNumId="109">
    <w:nsid w:val="24E60401"/>
    <w:multiLevelType w:val="hybridMultilevel"/>
    <w:lvl w:ilvl="0">
      <w:lvlJc w:val="left"/>
      <w:lvlText w:val="(%1)"/>
      <w:numFmt w:val="decimal"/>
      <w:start w:val="5"/>
    </w:lvl>
    <w:lvl w:ilvl="1">
      <w:lvlJc w:val="left"/>
      <w:lvlText w:val="(%2)"/>
      <w:numFmt w:val="lowerRoman"/>
      <w:start w:val="1"/>
    </w:lvl>
  </w:abstractNum>
  <w:abstractNum w:abstractNumId="110">
    <w:nsid w:val="2A6AD9BE"/>
    <w:multiLevelType w:val="hybridMultilevel"/>
    <w:lvl w:ilvl="0">
      <w:lvlJc w:val="left"/>
      <w:lvlText w:val="(%1)"/>
      <w:numFmt w:val="decimal"/>
      <w:start w:val="7"/>
    </w:lvl>
  </w:abstractNum>
  <w:abstractNum w:abstractNumId="111">
    <w:nsid w:val="BAAC1B4"/>
    <w:multiLevelType w:val="hybridMultilevel"/>
    <w:lvl w:ilvl="0">
      <w:lvlJc w:val="left"/>
      <w:lvlText w:val="(%1)"/>
      <w:numFmt w:val="lowerRoman"/>
      <w:start w:val="4"/>
    </w:lvl>
  </w:abstractNum>
  <w:abstractNum w:abstractNumId="112">
    <w:nsid w:val="36B2ACBC"/>
    <w:multiLevelType w:val="hybridMultilevel"/>
    <w:lvl w:ilvl="0">
      <w:lvlJc w:val="left"/>
      <w:lvlText w:val="(%1)"/>
      <w:numFmt w:val="lowerRoman"/>
      <w:start w:val="2"/>
    </w:lvl>
  </w:abstractNum>
  <w:abstractNum w:abstractNumId="113">
    <w:nsid w:val="779D8544"/>
    <w:multiLevelType w:val="hybridMultilevel"/>
    <w:lvl w:ilvl="0">
      <w:lvlJc w:val="left"/>
      <w:lvlText w:val="(%1)"/>
      <w:numFmt w:val="decimal"/>
      <w:start w:val="1"/>
    </w:lvl>
  </w:abstractNum>
  <w:abstractNum w:abstractNumId="114">
    <w:nsid w:val="4AB26E78"/>
    <w:multiLevelType w:val="hybridMultilevel"/>
    <w:lvl w:ilvl="0">
      <w:lvlJc w:val="left"/>
      <w:lvlText w:val="(%1)"/>
      <w:numFmt w:val="decimal"/>
      <w:start w:val="1"/>
    </w:lvl>
  </w:abstractNum>
  <w:abstractNum w:abstractNumId="115">
    <w:nsid w:val="21FAA2FA"/>
    <w:multiLevelType w:val="hybridMultilevel"/>
    <w:lvl w:ilvl="0">
      <w:lvlJc w:val="left"/>
      <w:lvlText w:val="(%1)"/>
      <w:numFmt w:val="decimal"/>
      <w:start w:val="6"/>
    </w:lvl>
  </w:abstractNum>
  <w:abstractNum w:abstractNumId="116">
    <w:nsid w:val="5451CF49"/>
    <w:multiLevelType w:val="hybridMultilevel"/>
    <w:lvl w:ilvl="0">
      <w:lvlJc w:val="left"/>
      <w:lvlText w:val="(%1)"/>
      <w:numFmt w:val="decimal"/>
      <w:start w:val="20"/>
    </w:lvl>
  </w:abstractNum>
  <w:abstractNum w:abstractNumId="117">
    <w:nsid w:val="6181EF69"/>
    <w:multiLevelType w:val="hybridMultilevel"/>
    <w:lvl w:ilvl="0">
      <w:lvlJc w:val="left"/>
      <w:lvlText w:val="(%1)"/>
      <w:numFmt w:val="decimal"/>
      <w:start w:val="32"/>
    </w:lvl>
  </w:abstractNum>
  <w:abstractNum w:abstractNumId="118">
    <w:nsid w:val="3E6400E6"/>
    <w:multiLevelType w:val="hybridMultilevel"/>
    <w:lvl w:ilvl="0">
      <w:lvlJc w:val="left"/>
      <w:lvlText w:val="(%1)"/>
      <w:numFmt w:val="decimal"/>
      <w:start w:val="1"/>
    </w:lvl>
  </w:abstractNum>
  <w:abstractNum w:abstractNumId="119">
    <w:nsid w:val="14217E23"/>
    <w:multiLevelType w:val="hybridMultilevel"/>
    <w:lvl w:ilvl="0">
      <w:lvlJc w:val="left"/>
      <w:lvlText w:val="(%1)"/>
      <w:numFmt w:val="upperLetter"/>
      <w:start w:val="3"/>
    </w:lvl>
  </w:abstractNum>
  <w:abstractNum w:abstractNumId="120">
    <w:nsid w:val="710757D0"/>
    <w:multiLevelType w:val="hybridMultilevel"/>
    <w:lvl w:ilvl="0">
      <w:lvlJc w:val="left"/>
      <w:lvlText w:val="(%1)"/>
      <w:numFmt w:val="lowerRoman"/>
      <w:start w:val="1"/>
    </w:lvl>
  </w:abstractNum>
  <w:abstractNum w:abstractNumId="121">
    <w:nsid w:val="5015CD1A"/>
    <w:multiLevelType w:val="hybridMultilevel"/>
    <w:lvl w:ilvl="0">
      <w:lvlJc w:val="left"/>
      <w:lvlText w:val="•"/>
      <w:numFmt w:val="bullet"/>
      <w:start w:val="1"/>
    </w:lvl>
  </w:abstractNum>
  <w:abstractNum w:abstractNumId="122">
    <w:nsid w:val="424479DA"/>
    <w:multiLevelType w:val="hybridMultilevel"/>
    <w:lvl w:ilvl="0">
      <w:lvlJc w:val="left"/>
      <w:lvlText w:val="(%1)"/>
      <w:numFmt w:val="lowerLetter"/>
      <w:start w:val="25"/>
    </w:lvl>
  </w:abstractNum>
  <w:abstractNum w:abstractNumId="123">
    <w:nsid w:val="1A9A9E69"/>
    <w:multiLevelType w:val="hybridMultilevel"/>
    <w:lvl w:ilvl="0">
      <w:lvlJc w:val="left"/>
      <w:lvlText w:val="(%1)"/>
      <w:numFmt w:val="lowerRoman"/>
      <w:start w:val="1"/>
    </w:lvl>
  </w:abstractNum>
  <w:abstractNum w:abstractNumId="124">
    <w:nsid w:val="475E256A"/>
    <w:multiLevelType w:val="hybridMultilevel"/>
    <w:lvl w:ilvl="0">
      <w:lvlJc w:val="left"/>
      <w:lvlText w:val="(%1)"/>
      <w:numFmt w:val="lowerRoman"/>
      <w:start w:val="3"/>
    </w:lvl>
  </w:abstractNum>
  <w:abstractNum w:abstractNumId="125">
    <w:nsid w:val="368DB3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6">
    <w:nsid w:val="6A3B714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7">
    <w:nsid w:val="327B517E"/>
    <w:multiLevelType w:val="hybridMultilevel"/>
    <w:lvl w:ilvl="0">
      <w:lvlJc w:val="left"/>
      <w:lvlText w:val="(%1)"/>
      <w:numFmt w:val="decimal"/>
      <w:start w:val="1"/>
    </w:lvl>
  </w:abstractNum>
  <w:abstractNum w:abstractNumId="128">
    <w:nsid w:val="1F461B51"/>
    <w:multiLevelType w:val="hybridMultilevel"/>
    <w:lvl w:ilvl="0">
      <w:lvlJc w:val="left"/>
      <w:lvlText w:val="(%1)"/>
      <w:numFmt w:val="decimal"/>
      <w:start w:val="2"/>
    </w:lvl>
  </w:abstractNum>
  <w:abstractNum w:abstractNumId="129">
    <w:nsid w:val="29BACF25"/>
    <w:multiLevelType w:val="hybridMultilevel"/>
    <w:lvl w:ilvl="0">
      <w:lvlJc w:val="left"/>
      <w:lvlText w:val="(%1)"/>
      <w:numFmt w:val="decimal"/>
      <w:start w:val="8"/>
    </w:lvl>
  </w:abstractNum>
  <w:abstractNum w:abstractNumId="130">
    <w:nsid w:val="5D5BABB3"/>
    <w:multiLevelType w:val="hybridMultilevel"/>
    <w:lvl w:ilvl="0">
      <w:lvlJc w:val="left"/>
      <w:lvlText w:val="(%1)"/>
      <w:numFmt w:val="lowerRoman"/>
      <w:start w:val="1"/>
    </w:lvl>
  </w:abstractNum>
  <w:abstractNum w:abstractNumId="131">
    <w:nsid w:val="51BF6B48"/>
    <w:multiLevelType w:val="hybridMultilevel"/>
    <w:lvl w:ilvl="0">
      <w:lvlJc w:val="left"/>
      <w:lvlText w:val="(%1)"/>
      <w:numFmt w:val="lowerRoman"/>
      <w:start w:val="2"/>
    </w:lvl>
  </w:abstractNum>
  <w:abstractNum w:abstractNumId="132">
    <w:nsid w:val="7E0F638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3">
    <w:nsid w:val="2B4B8B53"/>
    <w:multiLevelType w:val="hybridMultilevel"/>
    <w:lvl w:ilvl="0">
      <w:lvlJc w:val="left"/>
      <w:lvlText w:val="(%1)"/>
      <w:numFmt w:val="decimal"/>
      <w:start w:val="1"/>
    </w:lvl>
  </w:abstractNum>
  <w:abstractNum w:abstractNumId="134">
    <w:nsid w:val="72E3413A"/>
    <w:multiLevelType w:val="hybridMultilevel"/>
    <w:lvl w:ilvl="0">
      <w:lvlJc w:val="left"/>
      <w:lvlText w:val="(%1)"/>
      <w:numFmt w:val="decimal"/>
      <w:start w:val="5"/>
    </w:lvl>
  </w:abstractNum>
  <w:abstractNum w:abstractNumId="135">
    <w:nsid w:val="116AE494"/>
    <w:multiLevelType w:val="hybridMultilevel"/>
    <w:lvl w:ilvl="0">
      <w:lvlJc w:val="left"/>
      <w:lvlText w:val="(%1)"/>
      <w:numFmt w:val="lowerRoman"/>
      <w:start w:val="1"/>
    </w:lvl>
  </w:abstractNum>
  <w:abstractNum w:abstractNumId="136">
    <w:nsid w:val="3494B2FB"/>
    <w:multiLevelType w:val="hybridMultilevel"/>
    <w:lvl w:ilvl="0">
      <w:lvlJc w:val="left"/>
      <w:lvlText w:val="(%1)"/>
      <w:numFmt w:val="lowerRoman"/>
      <w:start w:val="3"/>
    </w:lvl>
  </w:abstractNum>
  <w:abstractNum w:abstractNumId="137">
    <w:nsid w:val="B13A3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8">
    <w:nsid w:val="644295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9">
    <w:nsid w:val="631F1690"/>
    <w:multiLevelType w:val="hybridMultilevel"/>
    <w:lvl w:ilvl="0">
      <w:lvlJc w:val="left"/>
      <w:lvlText w:val="(%1)"/>
      <w:numFmt w:val="decimal"/>
      <w:start w:val="1"/>
    </w:lvl>
  </w:abstractNum>
  <w:abstractNum w:abstractNumId="140">
    <w:nsid w:val="25973E32"/>
    <w:multiLevelType w:val="hybridMultilevel"/>
    <w:lvl w:ilvl="0">
      <w:lvlJc w:val="left"/>
      <w:lvlText w:val="(%1)"/>
      <w:numFmt w:val="decimal"/>
      <w:start w:val="2"/>
    </w:lvl>
  </w:abstractNum>
  <w:abstractNum w:abstractNumId="141">
    <w:nsid w:val="EAD6F57"/>
    <w:multiLevelType w:val="hybridMultilevel"/>
    <w:lvl w:ilvl="0">
      <w:lvlJc w:val="left"/>
      <w:lvlText w:val="(%1)"/>
      <w:numFmt w:val="decimal"/>
      <w:start w:val="10"/>
    </w:lvl>
  </w:abstractNum>
  <w:abstractNum w:abstractNumId="142">
    <w:nsid w:val="6EC9D844"/>
    <w:multiLevelType w:val="hybridMultilevel"/>
    <w:lvl w:ilvl="0">
      <w:lvlJc w:val="left"/>
      <w:lvlText w:val="(%1)"/>
      <w:numFmt w:val="lowerLetter"/>
      <w:start w:val="25"/>
    </w:lvl>
  </w:abstractNum>
  <w:abstractNum w:abstractNumId="143">
    <w:nsid w:val="5C49EAEE"/>
    <w:multiLevelType w:val="hybridMultilevel"/>
    <w:lvl w:ilvl="0">
      <w:lvlJc w:val="left"/>
      <w:lvlText w:val="(%1)"/>
      <w:numFmt w:val="lowerRoman"/>
      <w:start w:val="1"/>
    </w:lvl>
  </w:abstractNum>
  <w:abstractNum w:abstractNumId="144">
    <w:nsid w:val="64AF49B"/>
    <w:multiLevelType w:val="hybridMultilevel"/>
    <w:lvl w:ilvl="0">
      <w:lvlJc w:val="left"/>
      <w:lvlText w:val="(%1)"/>
      <w:numFmt w:val="lowerRoman"/>
      <w:start w:val="3"/>
    </w:lvl>
  </w:abstractNum>
  <w:abstractNum w:abstractNumId="145">
    <w:nsid w:val="397C46B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6">
    <w:nsid w:val="7E448DE9"/>
    <w:multiLevelType w:val="hybridMultilevel"/>
    <w:lvl w:ilvl="0">
      <w:lvlJc w:val="left"/>
      <w:lvlText w:val="(%1)"/>
      <w:numFmt w:val="decimal"/>
      <w:start w:val="1"/>
    </w:lvl>
  </w:abstractNum>
  <w:abstractNum w:abstractNumId="147">
    <w:nsid w:val="5A9CC3E5"/>
    <w:multiLevelType w:val="hybridMultilevel"/>
    <w:lvl w:ilvl="0">
      <w:lvlJc w:val="left"/>
      <w:lvlText w:val="(%1)"/>
      <w:numFmt w:val="decimal"/>
      <w:start w:val="5"/>
    </w:lvl>
  </w:abstractNum>
  <w:abstractNum w:abstractNumId="148">
    <w:nsid w:val="1AFE3625"/>
    <w:multiLevelType w:val="hybridMultilevel"/>
    <w:lvl w:ilvl="0">
      <w:lvlJc w:val="left"/>
      <w:lvlText w:val="(%1)"/>
      <w:numFmt w:val="lowerRoman"/>
      <w:start w:val="1"/>
    </w:lvl>
  </w:abstractNum>
  <w:abstractNum w:abstractNumId="149">
    <w:nsid w:val="3CA88ECF"/>
    <w:multiLevelType w:val="hybridMultilevel"/>
    <w:lvl w:ilvl="0">
      <w:lvlJc w:val="left"/>
      <w:lvlText w:val="(%1)"/>
      <w:numFmt w:val="lowerRoman"/>
      <w:start w:val="1"/>
    </w:lvl>
  </w:abstractNum>
  <w:abstractNum w:abstractNumId="150">
    <w:nsid w:val="6EBE4208"/>
    <w:multiLevelType w:val="hybridMultilevel"/>
    <w:lvl w:ilvl="0">
      <w:lvlJc w:val="left"/>
      <w:lvlText w:val="(%1)"/>
      <w:numFmt w:val="lowerRoman"/>
      <w:start w:val="4"/>
    </w:lvl>
  </w:abstractNum>
  <w:abstractNum w:abstractNumId="151">
    <w:nsid w:val="C058DF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2">
    <w:nsid w:val="CBE5BE9"/>
    <w:multiLevelType w:val="hybridMultilevel"/>
    <w:lvl w:ilvl="0">
      <w:lvlJc w:val="left"/>
      <w:lvlText w:val="(%1)"/>
      <w:numFmt w:val="decimal"/>
      <w:start w:val="1"/>
    </w:lvl>
  </w:abstractNum>
  <w:abstractNum w:abstractNumId="153">
    <w:nsid w:val="3102BBE2"/>
    <w:multiLevelType w:val="hybridMultilevel"/>
    <w:lvl w:ilvl="0">
      <w:lvlJc w:val="left"/>
      <w:lvlText w:val="(%1)"/>
      <w:numFmt w:val="decimal"/>
      <w:start w:val="5"/>
    </w:lvl>
    <w:lvl w:ilvl="1">
      <w:lvlJc w:val="left"/>
      <w:lvlText w:val="(%2)"/>
      <w:numFmt w:val="upperLetter"/>
      <w:start w:val="2"/>
    </w:lvl>
  </w:abstractNum>
  <w:abstractNum w:abstractNumId="154">
    <w:nsid w:val="26A02C5E"/>
    <w:multiLevelType w:val="hybridMultilevel"/>
    <w:lvl w:ilvl="0">
      <w:lvlJc w:val="left"/>
      <w:lvlText w:val="%1"/>
      <w:numFmt w:val="decimal"/>
      <w:start w:val="1"/>
    </w:lvl>
    <w:lvl w:ilvl="1">
      <w:lvlJc w:val="left"/>
      <w:lvlText w:val="(%2)"/>
      <w:numFmt w:val="upperLetter"/>
      <w:start w:val="1"/>
    </w:lvl>
  </w:abstractNum>
  <w:abstractNum w:abstractNumId="155">
    <w:nsid w:val="541C8153"/>
    <w:multiLevelType w:val="hybridMultilevel"/>
    <w:lvl w:ilvl="0">
      <w:lvlJc w:val="left"/>
      <w:lvlText w:val="(%1)"/>
      <w:numFmt w:val="decimal"/>
      <w:start w:val="9"/>
    </w:lvl>
    <w:lvl w:ilvl="1">
      <w:lvlJc w:val="left"/>
      <w:lvlText w:val="%2"/>
      <w:numFmt w:val="upperLetter"/>
      <w:start w:val="1"/>
    </w:lvl>
  </w:abstractNum>
  <w:abstractNum w:abstractNumId="156">
    <w:nsid w:val="67906F60"/>
    <w:multiLevelType w:val="hybridMultilevel"/>
    <w:lvl w:ilvl="0">
      <w:lvlJc w:val="left"/>
      <w:lvlText w:val="(%1)"/>
      <w:numFmt w:val="decimal"/>
      <w:start w:val="1"/>
    </w:lvl>
  </w:abstractNum>
  <w:abstractNum w:abstractNumId="157">
    <w:nsid w:val="10DB9DAA"/>
    <w:multiLevelType w:val="hybridMultilevel"/>
    <w:lvl w:ilvl="0">
      <w:lvlJc w:val="left"/>
      <w:lvlText w:val="*"/>
      <w:numFmt w:val="bullet"/>
      <w:start w:val="1"/>
    </w:lvl>
  </w:abstractNum>
  <w:abstractNum w:abstractNumId="158">
    <w:nsid w:val="697D2D2"/>
    <w:multiLevelType w:val="hybridMultilevel"/>
    <w:lvl w:ilvl="0">
      <w:lvlJc w:val="left"/>
      <w:lvlText w:val="(%1)"/>
      <w:numFmt w:val="decimal"/>
      <w:start w:val="1"/>
    </w:lvl>
  </w:abstractNum>
  <w:abstractNum w:abstractNumId="159">
    <w:nsid w:val="6D68AB2"/>
    <w:multiLevelType w:val="hybridMultilevel"/>
    <w:lvl w:ilvl="0">
      <w:lvlJc w:val="left"/>
      <w:lvlText w:val="%1)"/>
      <w:numFmt w:val="decimal"/>
      <w:start w:val="1"/>
    </w:lvl>
  </w:abstractNum>
  <w:abstractNum w:abstractNumId="160">
    <w:nsid w:val="3A966CD0"/>
    <w:multiLevelType w:val="hybridMultilevel"/>
    <w:lvl w:ilvl="0">
      <w:lvlJc w:val="left"/>
      <w:lvlText w:val="%1)"/>
      <w:numFmt w:val="decimal"/>
      <w:start w:val="6"/>
    </w:lvl>
  </w:abstractNum>
  <w:abstractNum w:abstractNumId="161">
    <w:nsid w:val="63F37E85"/>
    <w:multiLevelType w:val="hybridMultilevel"/>
    <w:lvl w:ilvl="0">
      <w:lvlJc w:val="left"/>
      <w:lvlText w:val="•"/>
      <w:numFmt w:val="bullet"/>
      <w:start w:val="1"/>
    </w:lvl>
  </w:abstractNum>
  <w:abstractNum w:abstractNumId="162">
    <w:nsid w:val="5895F5FA"/>
    <w:multiLevelType w:val="hybridMultilevel"/>
    <w:lvl w:ilvl="0">
      <w:lvlJc w:val="left"/>
      <w:lvlText w:val="•"/>
      <w:numFmt w:val="bullet"/>
      <w:start w:val="1"/>
    </w:lvl>
  </w:abstractNum>
  <w:abstractNum w:abstractNumId="163">
    <w:nsid w:val="38A5D054"/>
    <w:multiLevelType w:val="hybridMultilevel"/>
    <w:lvl w:ilvl="0">
      <w:lvlJc w:val="left"/>
      <w:lvlText w:val="(%1)"/>
      <w:numFmt w:val="lowerRoman"/>
      <w:start w:val="1"/>
    </w:lvl>
  </w:abstractNum>
  <w:abstractNum w:abstractNumId="164">
    <w:nsid w:val="F3F09D8"/>
    <w:multiLevelType w:val="hybridMultilevel"/>
    <w:lvl w:ilvl="0">
      <w:lvlJc w:val="left"/>
      <w:lvlText w:val="(%1)"/>
      <w:numFmt w:val="decimal"/>
      <w:start w:val="1"/>
    </w:lvl>
  </w:abstractNum>
  <w:abstractNum w:abstractNumId="165">
    <w:nsid w:val="4B793735"/>
    <w:multiLevelType w:val="hybridMultilevel"/>
    <w:lvl w:ilvl="0">
      <w:lvlJc w:val="left"/>
      <w:lvlText w:val="•"/>
      <w:numFmt w:val="bullet"/>
      <w:start w:val="1"/>
    </w:lvl>
  </w:abstractNum>
  <w:abstractNum w:abstractNumId="166">
    <w:nsid w:val="4A10B4E8"/>
    <w:multiLevelType w:val="hybridMultilevel"/>
    <w:lvl w:ilvl="0">
      <w:lvlJc w:val="left"/>
      <w:lvlText w:val="•"/>
      <w:numFmt w:val="bullet"/>
      <w:start w:val="1"/>
    </w:lvl>
  </w:abstractNum>
  <w:abstractNum w:abstractNumId="167">
    <w:nsid w:val="43D3BCD4"/>
    <w:multiLevelType w:val="hybridMultilevel"/>
    <w:lvl w:ilvl="0">
      <w:lvlJc w:val="left"/>
      <w:lvlText w:val="•"/>
      <w:numFmt w:val="bullet"/>
      <w:start w:val="1"/>
    </w:lvl>
  </w:abstractNum>
  <w:abstractNum w:abstractNumId="168">
    <w:nsid w:val="4C2A7166"/>
    <w:multiLevelType w:val="hybridMultilevel"/>
    <w:lvl w:ilvl="0">
      <w:lvlJc w:val="left"/>
      <w:lvlText w:val="•"/>
      <w:numFmt w:val="bullet"/>
      <w:start w:val="1"/>
    </w:lvl>
  </w:abstractNum>
  <w:abstractNum w:abstractNumId="169">
    <w:nsid w:val="2E534A82"/>
    <w:multiLevelType w:val="hybridMultilevel"/>
    <w:lvl w:ilvl="0">
      <w:lvlJc w:val="left"/>
      <w:lvlText w:val="•"/>
      <w:numFmt w:val="bullet"/>
      <w:start w:val="1"/>
    </w:lvl>
  </w:abstractNum>
  <w:abstractNum w:abstractNumId="170">
    <w:nsid w:val="26F2D364"/>
    <w:multiLevelType w:val="hybridMultilevel"/>
    <w:lvl w:ilvl="0">
      <w:lvlJc w:val="left"/>
      <w:lvlText w:val="•"/>
      <w:numFmt w:val="bullet"/>
      <w:start w:val="1"/>
    </w:lvl>
  </w:abstractNum>
  <w:abstractNum w:abstractNumId="171">
    <w:nsid w:val="71C1AF98"/>
    <w:multiLevelType w:val="hybridMultilevel"/>
    <w:lvl w:ilvl="0">
      <w:lvlJc w:val="left"/>
      <w:lvlText w:val="•"/>
      <w:numFmt w:val="bullet"/>
      <w:start w:val="1"/>
    </w:lvl>
  </w:abstractNum>
  <w:abstractNum w:abstractNumId="172">
    <w:nsid w:val="3D00B9D9"/>
    <w:multiLevelType w:val="hybridMultilevel"/>
    <w:lvl w:ilvl="0">
      <w:lvlJc w:val="left"/>
      <w:lvlText w:val="(%1)"/>
      <w:numFmt w:val="lowerLetter"/>
      <w:start w:val="1"/>
    </w:lvl>
  </w:abstractNum>
  <w:abstractNum w:abstractNumId="173">
    <w:nsid w:val="15BCABA8"/>
    <w:multiLevelType w:val="hybridMultilevel"/>
    <w:lvl w:ilvl="0">
      <w:lvlJc w:val="left"/>
      <w:lvlText w:val="(%1)"/>
      <w:numFmt w:val="lowerLetter"/>
      <w:start w:val="1"/>
    </w:lvl>
  </w:abstractNum>
  <w:abstractNum w:abstractNumId="174">
    <w:nsid w:val="4E0B9A87"/>
    <w:multiLevelType w:val="hybridMultilevel"/>
    <w:lvl w:ilvl="0">
      <w:lvlJc w:val="left"/>
      <w:lvlText w:val="(%1)"/>
      <w:numFmt w:val="lowerRoman"/>
      <w:start w:val="1"/>
    </w:lvl>
  </w:abstractNum>
  <w:abstractNum w:abstractNumId="175">
    <w:nsid w:val="434BAE75"/>
    <w:multiLevelType w:val="hybridMultilevel"/>
    <w:lvl w:ilvl="0">
      <w:lvlJc w:val="left"/>
      <w:lvlText w:val="(%1)"/>
      <w:numFmt w:val="lowerLetter"/>
      <w:start w:val="1"/>
    </w:lvl>
  </w:abstractNum>
  <w:abstractNum w:abstractNumId="176">
    <w:nsid w:val="4F38F265"/>
    <w:multiLevelType w:val="hybridMultilevel"/>
    <w:lvl w:ilvl="0">
      <w:lvlJc w:val="left"/>
      <w:lvlText w:val="(%1)"/>
      <w:numFmt w:val="lowerLetter"/>
      <w:start w:val="2"/>
    </w:lvl>
  </w:abstractNum>
  <w:abstractNum w:abstractNumId="177">
    <w:nsid w:val="4C502870"/>
    <w:multiLevelType w:val="hybridMultilevel"/>
    <w:lvl w:ilvl="0">
      <w:lvlJc w:val="left"/>
      <w:lvlText w:val="(%1)"/>
      <w:numFmt w:val="lowerLetter"/>
      <w:start w:val="1"/>
    </w:lvl>
  </w:abstractNum>
  <w:abstractNum w:abstractNumId="178">
    <w:nsid w:val="1DE8725A"/>
    <w:multiLevelType w:val="hybridMultilevel"/>
    <w:lvl w:ilvl="0">
      <w:lvlJc w:val="left"/>
      <w:lvlText w:val="\emdash "/>
      <w:numFmt w:val="bullet"/>
      <w:start w:val="1"/>
    </w:lvl>
  </w:abstractNum>
  <w:abstractNum w:abstractNumId="179">
    <w:nsid w:val="6A37288A"/>
    <w:multiLevelType w:val="hybridMultilevel"/>
    <w:lvl w:ilvl="0">
      <w:lvlJc w:val="left"/>
      <w:lvlText w:val="(%1)"/>
      <w:numFmt w:val="decimal"/>
      <w:start w:val="993"/>
    </w:lvl>
  </w:abstractNum>
  <w:abstractNum w:abstractNumId="180">
    <w:nsid w:val="8F8B73F"/>
    <w:multiLevelType w:val="hybridMultilevel"/>
    <w:lvl w:ilvl="0">
      <w:lvlJc w:val="left"/>
      <w:lvlText w:val="%1."/>
      <w:numFmt w:val="decimal"/>
      <w:start w:val="1"/>
    </w:lvl>
  </w:abstractNum>
  <w:abstractNum w:abstractNumId="181">
    <w:nsid w:val="CA6B462"/>
    <w:multiLevelType w:val="hybridMultilevel"/>
    <w:lvl w:ilvl="0">
      <w:lvlJc w:val="left"/>
      <w:lvlText w:val="%1."/>
      <w:numFmt w:val="decimal"/>
      <w:start w:val="2"/>
    </w:lvl>
  </w:abstractNum>
  <w:abstractNum w:abstractNumId="182">
    <w:nsid w:val="763CB680"/>
    <w:multiLevelType w:val="hybridMultilevel"/>
    <w:lvl w:ilvl="0">
      <w:lvlJc w:val="left"/>
      <w:lvlText w:val="%1."/>
      <w:numFmt w:val="decimal"/>
      <w:start w:val="3"/>
    </w:lvl>
  </w:abstractNum>
  <w:abstractNum w:abstractNumId="183">
    <w:nsid w:val="15B71329"/>
    <w:multiLevelType w:val="hybridMultilevel"/>
    <w:lvl w:ilvl="0">
      <w:lvlJc w:val="left"/>
      <w:lvlText w:val="(%1)"/>
      <w:numFmt w:val="decimal"/>
      <w:start w:val="1"/>
    </w:lvl>
  </w:abstractNum>
  <w:abstractNum w:abstractNumId="184">
    <w:nsid w:val="3DA97044"/>
    <w:multiLevelType w:val="hybridMultilevel"/>
    <w:lvl w:ilvl="0">
      <w:lvlJc w:val="left"/>
      <w:lvlText w:val="(%1)"/>
      <w:numFmt w:val="decimal"/>
      <w:start w:val="1"/>
    </w:lvl>
  </w:abstractNum>
  <w:abstractNum w:abstractNumId="185">
    <w:nsid w:val="1CDCE2DE"/>
    <w:multiLevelType w:val="hybridMultilevel"/>
    <w:lvl w:ilvl="0">
      <w:lvlJc w:val="left"/>
      <w:lvlText w:val="%1."/>
      <w:numFmt w:val="decimal"/>
      <w:start w:val="5"/>
    </w:lvl>
  </w:abstractNum>
  <w:abstractNum w:abstractNumId="186">
    <w:nsid w:val="69D3947C"/>
    <w:multiLevelType w:val="hybridMultilevel"/>
    <w:lvl w:ilvl="0">
      <w:lvlJc w:val="left"/>
      <w:lvlText w:val="(%1)"/>
      <w:numFmt w:val="decimal"/>
      <w:start w:val="1"/>
    </w:lvl>
  </w:abstractNum>
  <w:abstractNum w:abstractNumId="187">
    <w:nsid w:val="2539DFA5"/>
    <w:multiLevelType w:val="hybridMultilevel"/>
    <w:lvl w:ilvl="0">
      <w:lvlJc w:val="left"/>
      <w:lvlText w:val="%1."/>
      <w:numFmt w:val="decimal"/>
      <w:start w:val="6"/>
    </w:lvl>
  </w:abstractNum>
  <w:abstractNum w:abstractNumId="188">
    <w:nsid w:val="2DB88089"/>
    <w:multiLevelType w:val="hybridMultilevel"/>
    <w:lvl w:ilvl="0">
      <w:lvlJc w:val="left"/>
      <w:lvlText w:val="•"/>
      <w:numFmt w:val="bullet"/>
      <w:start w:val="1"/>
    </w:lvl>
  </w:abstractNum>
  <w:abstractNum w:abstractNumId="189">
    <w:nsid w:val="706B674E"/>
    <w:multiLevelType w:val="hybridMultilevel"/>
    <w:lvl w:ilvl="0">
      <w:lvlJc w:val="left"/>
      <w:lvlText w:val="%1."/>
      <w:numFmt w:val="decimal"/>
      <w:start w:val="7"/>
    </w:lvl>
  </w:abstractNum>
  <w:abstractNum w:abstractNumId="190">
    <w:nsid w:val="2C106A57"/>
    <w:multiLevelType w:val="hybridMultilevel"/>
    <w:lvl w:ilvl="0">
      <w:lvlJc w:val="left"/>
      <w:lvlText w:val="%1."/>
      <w:numFmt w:val="decimal"/>
      <w:start w:val="8"/>
    </w:lvl>
  </w:abstractNum>
  <w:abstractNum w:abstractNumId="191">
    <w:nsid w:val="684EED59"/>
    <w:multiLevelType w:val="hybridMultilevel"/>
    <w:lvl w:ilvl="0">
      <w:lvlJc w:val="left"/>
      <w:lvlText w:val="%1."/>
      <w:numFmt w:val="decimal"/>
      <w:start w:val="9"/>
    </w:lvl>
  </w:abstractNum>
  <w:abstractNum w:abstractNumId="192">
    <w:nsid w:val="545EE5D3"/>
    <w:multiLevelType w:val="hybridMultilevel"/>
    <w:lvl w:ilvl="0">
      <w:lvlJc w:val="left"/>
      <w:lvlText w:val="%1."/>
      <w:numFmt w:val="decimal"/>
      <w:start w:val="10"/>
    </w:lvl>
  </w:abstractNum>
  <w:abstractNum w:abstractNumId="193">
    <w:nsid w:val="4A66051"/>
    <w:multiLevelType w:val="hybridMultilevel"/>
    <w:lvl w:ilvl="0">
      <w:lvlJc w:val="left"/>
      <w:lvlText w:val="%1."/>
      <w:numFmt w:val="decimal"/>
      <w:start w:val="12"/>
    </w:lvl>
  </w:abstractNum>
  <w:abstractNum w:abstractNumId="194">
    <w:nsid w:val="20F4BDAD"/>
    <w:multiLevelType w:val="hybridMultilevel"/>
    <w:lvl w:ilvl="0">
      <w:lvlJc w:val="left"/>
      <w:lvlText w:val="%1."/>
      <w:numFmt w:val="decimal"/>
      <w:start w:val="13"/>
    </w:lvl>
  </w:abstractNum>
  <w:abstractNum w:abstractNumId="195">
    <w:nsid w:val="639DEFAC"/>
    <w:multiLevelType w:val="hybridMultilevel"/>
    <w:lvl w:ilvl="0">
      <w:lvlJc w:val="left"/>
      <w:lvlText w:val="%1."/>
      <w:numFmt w:val="decimal"/>
      <w:start w:val="1"/>
    </w:lvl>
  </w:abstractNum>
  <w:abstractNum w:abstractNumId="196">
    <w:nsid w:val="501F9786"/>
    <w:multiLevelType w:val="hybridMultilevel"/>
    <w:lvl w:ilvl="0">
      <w:lvlJc w:val="left"/>
      <w:lvlText w:val="%1."/>
      <w:numFmt w:val="decimal"/>
      <w:start w:val="2"/>
    </w:lvl>
  </w:abstractNum>
  <w:abstractNum w:abstractNumId="197">
    <w:nsid w:val="6B057295"/>
    <w:multiLevelType w:val="hybridMultilevel"/>
    <w:lvl w:ilvl="0">
      <w:lvlJc w:val="left"/>
      <w:lvlText w:val="%1."/>
      <w:numFmt w:val="decimal"/>
      <w:start w:val="3"/>
    </w:lvl>
  </w:abstractNum>
  <w:abstractNum w:abstractNumId="198">
    <w:nsid w:val="2771AC80"/>
    <w:multiLevelType w:val="hybridMultilevel"/>
    <w:lvl w:ilvl="0">
      <w:lvlJc w:val="left"/>
      <w:lvlText w:val="(%1)"/>
      <w:numFmt w:val="decimal"/>
      <w:start w:val="1"/>
    </w:lvl>
  </w:abstractNum>
  <w:abstractNum w:abstractNumId="199">
    <w:nsid w:val="1C4A08EC"/>
    <w:multiLevelType w:val="hybridMultilevel"/>
    <w:lvl w:ilvl="0">
      <w:lvlJc w:val="left"/>
      <w:lvlText w:val="(%1)"/>
      <w:numFmt w:val="decimal"/>
      <w:start w:val="2"/>
    </w:lvl>
  </w:abstractNum>
  <w:abstractNum w:abstractNumId="200">
    <w:nsid w:val="1958BD17"/>
    <w:multiLevelType w:val="hybridMultilevel"/>
    <w:lvl w:ilvl="0">
      <w:lvlJc w:val="left"/>
      <w:lvlText w:val="%1."/>
      <w:numFmt w:val="decimal"/>
      <w:start w:val="4"/>
    </w:lvl>
  </w:abstractNum>
  <w:abstractNum w:abstractNumId="201">
    <w:nsid w:val="4E647FE4"/>
    <w:multiLevelType w:val="hybridMultilevel"/>
    <w:lvl w:ilvl="0">
      <w:lvlJc w:val="left"/>
      <w:lvlText w:val="(%1)"/>
      <w:numFmt w:val="decimal"/>
      <w:start w:val="1"/>
    </w:lvl>
  </w:abstractNum>
  <w:abstractNum w:abstractNumId="202">
    <w:nsid w:val="E0BB885"/>
    <w:multiLevelType w:val="hybridMultilevel"/>
    <w:lvl w:ilvl="0">
      <w:lvlJc w:val="left"/>
      <w:lvlText w:val="•"/>
      <w:numFmt w:val="bullet"/>
      <w:start w:val="1"/>
    </w:lvl>
  </w:abstractNum>
  <w:abstractNum w:abstractNumId="203">
    <w:nsid w:val="565976F1"/>
    <w:multiLevelType w:val="hybridMultilevel"/>
    <w:lvl w:ilvl="0">
      <w:lvlJc w:val="left"/>
      <w:lvlText w:val="%1."/>
      <w:numFmt w:val="decimal"/>
      <w:start w:val="5"/>
    </w:lvl>
  </w:abstractNum>
  <w:abstractNum w:abstractNumId="204">
    <w:nsid w:val="64212B8C"/>
    <w:multiLevelType w:val="hybridMultilevel"/>
    <w:lvl w:ilvl="0">
      <w:lvlJc w:val="left"/>
      <w:lvlText w:val="(%1)"/>
      <w:numFmt w:val="decimal"/>
      <w:start w:val="1"/>
    </w:lvl>
  </w:abstractNum>
  <w:abstractNum w:abstractNumId="205">
    <w:nsid w:val="5C17530C"/>
    <w:multiLevelType w:val="hybridMultilevel"/>
    <w:lvl w:ilvl="0">
      <w:lvlJc w:val="left"/>
      <w:lvlText w:val="%1."/>
      <w:numFmt w:val="decimal"/>
      <w:start w:val="6"/>
    </w:lvl>
  </w:abstractNum>
  <w:abstractNum w:abstractNumId="206">
    <w:nsid w:val="19A52566"/>
    <w:multiLevelType w:val="hybridMultilevel"/>
    <w:lvl w:ilvl="0">
      <w:lvlJc w:val="left"/>
      <w:lvlText w:val="•"/>
      <w:numFmt w:val="bullet"/>
      <w:start w:val="1"/>
    </w:lvl>
  </w:abstractNum>
  <w:abstractNum w:abstractNumId="207">
    <w:nsid w:val="335A1DF1"/>
    <w:multiLevelType w:val="hybridMultilevel"/>
    <w:lvl w:ilvl="0">
      <w:lvlJc w:val="left"/>
      <w:lvlText w:val="%1."/>
      <w:numFmt w:val="decimal"/>
      <w:start w:val="7"/>
    </w:lvl>
  </w:abstractNum>
  <w:abstractNum w:abstractNumId="208">
    <w:nsid w:val="28677B7C"/>
    <w:multiLevelType w:val="hybridMultilevel"/>
    <w:lvl w:ilvl="0">
      <w:lvlJc w:val="left"/>
      <w:lvlText w:val="%1."/>
      <w:numFmt w:val="decimal"/>
      <w:start w:val="8"/>
    </w:lvl>
  </w:abstractNum>
  <w:abstractNum w:abstractNumId="209">
    <w:nsid w:val="378D97C0"/>
    <w:multiLevelType w:val="hybridMultilevel"/>
    <w:lvl w:ilvl="0">
      <w:lvlJc w:val="left"/>
      <w:lvlText w:val="%1."/>
      <w:numFmt w:val="decimal"/>
      <w:start w:val="9"/>
    </w:lvl>
  </w:abstractNum>
  <w:abstractNum w:abstractNumId="210">
    <w:nsid w:val="1D91467C"/>
    <w:multiLevelType w:val="hybridMultilevel"/>
    <w:lvl w:ilvl="0">
      <w:lvlJc w:val="left"/>
      <w:lvlText w:val="%1."/>
      <w:numFmt w:val="decimal"/>
      <w:start w:val="10"/>
    </w:lvl>
  </w:abstractNum>
  <w:abstractNum w:abstractNumId="211">
    <w:nsid w:val="316032BB"/>
    <w:multiLevelType w:val="hybridMultilevel"/>
    <w:lvl w:ilvl="0">
      <w:lvlJc w:val="left"/>
      <w:lvlText w:val="(%1)"/>
      <w:numFmt w:val="decimal"/>
      <w:start w:val="1"/>
    </w:lvl>
  </w:abstractNum>
  <w:abstractNum w:abstractNumId="212">
    <w:nsid w:val="44344C22"/>
    <w:multiLevelType w:val="hybridMultilevel"/>
    <w:lvl w:ilvl="0">
      <w:lvlJc w:val="left"/>
      <w:lvlText w:val="(%1)"/>
      <w:numFmt w:val="decimal"/>
      <w:start w:val="1"/>
    </w:lvl>
  </w:abstractNum>
  <w:abstractNum w:abstractNumId="213">
    <w:nsid w:val="13CDFCFC"/>
    <w:multiLevelType w:val="hybridMultilevel"/>
    <w:lvl w:ilvl="0">
      <w:lvlJc w:val="left"/>
      <w:lvlText w:val="%1."/>
      <w:numFmt w:val="decimal"/>
      <w:start w:val="11"/>
    </w:lvl>
  </w:abstractNum>
  <w:abstractNum w:abstractNumId="214">
    <w:nsid w:val="471745E4"/>
    <w:multiLevelType w:val="hybridMultilevel"/>
    <w:lvl w:ilvl="0">
      <w:lvlJc w:val="left"/>
      <w:lvlText w:val="%1."/>
      <w:numFmt w:val="decimal"/>
      <w:start w:val="12"/>
    </w:lvl>
  </w:abstractNum>
  <w:abstractNum w:abstractNumId="215">
    <w:nsid w:val="1DDBC66"/>
    <w:multiLevelType w:val="hybridMultilevel"/>
    <w:lvl w:ilvl="0">
      <w:lvlJc w:val="left"/>
      <w:lvlText w:val="%1."/>
      <w:numFmt w:val="decimal"/>
      <w:start w:val="13"/>
    </w:lvl>
  </w:abstractNum>
  <w:abstractNum w:abstractNumId="216">
    <w:nsid w:val="30AADFDA"/>
    <w:multiLevelType w:val="hybridMultilevel"/>
    <w:lvl w:ilvl="0">
      <w:lvlJc w:val="left"/>
      <w:lvlText w:val="%1."/>
      <w:numFmt w:val="decimal"/>
      <w:start w:val="14"/>
    </w:lvl>
  </w:abstractNum>
  <w:abstractNum w:abstractNumId="217">
    <w:nsid w:val="30EADA61"/>
    <w:multiLevelType w:val="hybridMultilevel"/>
    <w:lvl w:ilvl="0">
      <w:lvlJc w:val="left"/>
      <w:lvlText w:val="(%1)"/>
      <w:numFmt w:val="decimal"/>
      <w:start w:val="1"/>
    </w:lvl>
  </w:abstractNum>
  <w:abstractNum w:abstractNumId="218">
    <w:nsid w:val="27179C0B"/>
    <w:multiLevelType w:val="hybridMultilevel"/>
    <w:lvl w:ilvl="0">
      <w:lvlJc w:val="left"/>
      <w:lvlText w:val="(%1)"/>
      <w:numFmt w:val="decimal"/>
      <w:start w:val="2"/>
    </w:lvl>
  </w:abstractNum>
  <w:abstractNum w:abstractNumId="219">
    <w:nsid w:val="5E636063"/>
    <w:multiLevelType w:val="hybridMultilevel"/>
    <w:lvl w:ilvl="0">
      <w:lvlJc w:val="left"/>
      <w:lvlText w:val="(%1)"/>
      <w:numFmt w:val="decimal"/>
      <w:start w:val="1"/>
    </w:lvl>
  </w:abstractNum>
  <w:abstractNum w:abstractNumId="220">
    <w:nsid w:val="215641AF"/>
    <w:multiLevelType w:val="hybridMultilevel"/>
    <w:lvl w:ilvl="0">
      <w:lvlJc w:val="left"/>
      <w:lvlText w:val="(%1)"/>
      <w:numFmt w:val="decimal"/>
      <w:start w:val="1"/>
    </w:lvl>
  </w:abstractNum>
  <w:abstractNum w:abstractNumId="221">
    <w:nsid w:val="53280662"/>
    <w:multiLevelType w:val="hybridMultilevel"/>
    <w:lvl w:ilvl="0">
      <w:lvlJc w:val="left"/>
      <w:lvlText w:val="%1."/>
      <w:numFmt w:val="decimal"/>
      <w:start w:val="15"/>
    </w:lvl>
  </w:abstractNum>
  <w:abstractNum w:abstractNumId="222">
    <w:nsid w:val="46B24DBC"/>
    <w:multiLevelType w:val="hybridMultilevel"/>
    <w:lvl w:ilvl="0">
      <w:lvlJc w:val="left"/>
      <w:lvlText w:val="%1."/>
      <w:numFmt w:val="decimal"/>
      <w:start w:val="16"/>
    </w:lvl>
  </w:abstractNum>
  <w:abstractNum w:abstractNumId="223">
    <w:nsid w:val="75B52783"/>
    <w:multiLevelType w:val="hybridMultilevel"/>
    <w:lvl w:ilvl="0">
      <w:lvlJc w:val="left"/>
      <w:lvlText w:val="%1."/>
      <w:numFmt w:val="decimal"/>
      <w:start w:val="17"/>
    </w:lvl>
  </w:abstractNum>
  <w:abstractNum w:abstractNumId="224">
    <w:nsid w:val="57CE66B4"/>
    <w:multiLevelType w:val="hybridMultilevel"/>
    <w:lvl w:ilvl="0">
      <w:lvlJc w:val="left"/>
      <w:lvlText w:val="(%1)"/>
      <w:numFmt w:val="decimal"/>
      <w:start w:val="1"/>
    </w:lvl>
  </w:abstractNum>
  <w:abstractNum w:abstractNumId="225">
    <w:nsid w:val="67A70B69"/>
    <w:multiLevelType w:val="hybridMultilevel"/>
    <w:lvl w:ilvl="0">
      <w:lvlJc w:val="left"/>
      <w:lvlText w:val="%1."/>
      <w:numFmt w:val="decimal"/>
      <w:start w:val="18"/>
    </w:lvl>
  </w:abstractNum>
  <w:abstractNum w:abstractNumId="226">
    <w:nsid w:val="5953172F"/>
    <w:multiLevelType w:val="hybridMultilevel"/>
    <w:lvl w:ilvl="0">
      <w:lvlJc w:val="left"/>
      <w:lvlText w:val="%1."/>
      <w:numFmt w:val="decimal"/>
      <w:start w:val="19"/>
    </w:lvl>
  </w:abstractNum>
  <w:abstractNum w:abstractNumId="227">
    <w:nsid w:val="27EDFE3A"/>
    <w:multiLevelType w:val="hybridMultilevel"/>
    <w:lvl w:ilvl="0">
      <w:lvlJc w:val="left"/>
      <w:lvlText w:val="%1."/>
      <w:numFmt w:val="decimal"/>
      <w:start w:val="1"/>
    </w:lvl>
  </w:abstractNum>
  <w:abstractNum w:abstractNumId="228">
    <w:nsid w:val="52AC7DFF"/>
    <w:multiLevelType w:val="hybridMultilevel"/>
    <w:lvl w:ilvl="0">
      <w:lvlJc w:val="left"/>
      <w:lvlText w:val="%1."/>
      <w:numFmt w:val="decimal"/>
      <w:start w:val="2"/>
    </w:lvl>
  </w:abstractNum>
  <w:abstractNum w:abstractNumId="229">
    <w:nsid w:val="C4C3AF"/>
    <w:multiLevelType w:val="hybridMultilevel"/>
    <w:lvl w:ilvl="0">
      <w:lvlJc w:val="left"/>
      <w:lvlText w:val="%1."/>
      <w:numFmt w:val="decimal"/>
      <w:start w:val="3"/>
    </w:lvl>
  </w:abstractNum>
  <w:abstractNum w:abstractNumId="230">
    <w:nsid w:val="44380727"/>
    <w:multiLevelType w:val="hybridMultilevel"/>
    <w:lvl w:ilvl="0">
      <w:lvlJc w:val="left"/>
      <w:lvlText w:val="%1."/>
      <w:numFmt w:val="decimal"/>
      <w:start w:val="4"/>
    </w:lvl>
  </w:abstractNum>
  <w:abstractNum w:abstractNumId="231">
    <w:nsid w:val="6C053B16"/>
    <w:multiLevelType w:val="hybridMultilevel"/>
    <w:lvl w:ilvl="0">
      <w:lvlJc w:val="left"/>
      <w:lvlText w:val="(%1)"/>
      <w:numFmt w:val="lowerLetter"/>
      <w:start w:val="2"/>
    </w:lvl>
  </w:abstractNum>
  <w:abstractNum w:abstractNumId="232">
    <w:nsid w:val="4F294393"/>
    <w:multiLevelType w:val="hybridMultilevel"/>
    <w:lvl w:ilvl="0">
      <w:lvlJc w:val="left"/>
      <w:lvlText w:val="(%1)"/>
      <w:numFmt w:val="decimal"/>
      <w:start w:val="1"/>
    </w:lvl>
  </w:abstractNum>
  <w:abstractNum w:abstractNumId="233">
    <w:nsid w:val="5243BFAC"/>
    <w:multiLevelType w:val="hybridMultilevel"/>
    <w:lvl w:ilvl="0">
      <w:lvlJc w:val="left"/>
      <w:lvlText w:val="(%1)"/>
      <w:numFmt w:val="upperLetter"/>
      <w:start w:val="1"/>
    </w:lvl>
  </w:abstractNum>
  <w:abstractNum w:abstractNumId="234">
    <w:nsid w:val="425EB207"/>
    <w:multiLevelType w:val="hybridMultilevel"/>
    <w:lvl w:ilvl="0">
      <w:lvlJc w:val="left"/>
      <w:lvlText w:val="*"/>
      <w:numFmt w:val="bullet"/>
      <w:start w:val="1"/>
    </w:lvl>
  </w:abstractNum>
  <w:abstractNum w:abstractNumId="235">
    <w:nsid w:val="334A6F1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2020-09-09T23:11:33Z</dcterms:created>
  <dcterms:modified xsi:type="dcterms:W3CDTF">2020-09-09T23:11:33Z</dcterms:modified>
</cp:coreProperties>
</file>