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tcPr>
          <w:p>
            <w:pPr>
              <w:ind w:left="760"/>
              <w:spacing w:after="0" w:line="206"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7"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w w:val="99"/>
              </w:rPr>
              <w:t>Filed pursuant to Section 16(a) of the Securities Exchange Act of 1934</w:t>
            </w: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5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7023100" cy="3629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62902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8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1">
        <w:r>
          <w:rPr>
            <w:rFonts w:ascii="Arial" w:cs="Arial" w:eastAsia="Arial" w:hAnsi="Arial"/>
            <w:sz w:val="16"/>
            <w:szCs w:val="16"/>
            <w:u w:val="single" w:color="auto"/>
            <w:color w:val="0000EE"/>
          </w:rPr>
          <w:t>Ford Earl Carlton IV</w:t>
        </w:r>
      </w:hyperlink>
    </w:p>
    <w:p>
      <w:pPr>
        <w:spacing w:after="0" w:line="232"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56" w:lineRule="exact"/>
        <w:rPr>
          <w:sz w:val="24"/>
          <w:szCs w:val="24"/>
          <w:color w:val="auto"/>
        </w:rPr>
      </w:pPr>
    </w:p>
    <w:p>
      <w:pPr>
        <w:ind w:left="100"/>
        <w:spacing w:after="0" w:line="344" w:lineRule="auto"/>
        <w:rPr>
          <w:sz w:val="20"/>
          <w:szCs w:val="20"/>
          <w:color w:val="auto"/>
        </w:rPr>
      </w:pPr>
      <w:r>
        <w:rPr>
          <w:rFonts w:ascii="Arial" w:cs="Arial" w:eastAsia="Arial" w:hAnsi="Arial"/>
          <w:sz w:val="13"/>
          <w:szCs w:val="13"/>
          <w:color w:val="0000FF"/>
        </w:rPr>
        <w:t>C/O ACADEMY SPORTS AND OUTDOORS, INC. 1800 NORTH MASON ROAD</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6"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3"/>
          <w:szCs w:val="13"/>
          <w:color w:val="0000FF"/>
        </w:rPr>
        <w:t>KATY</w:t>
      </w:r>
      <w:r>
        <w:rPr>
          <w:sz w:val="20"/>
          <w:szCs w:val="20"/>
          <w:color w:val="auto"/>
        </w:rPr>
        <w:tab/>
      </w:r>
      <w:r>
        <w:rPr>
          <w:rFonts w:ascii="Arial" w:cs="Arial" w:eastAsia="Arial" w:hAnsi="Arial"/>
          <w:sz w:val="13"/>
          <w:szCs w:val="13"/>
          <w:color w:val="0000FF"/>
        </w:rPr>
        <w:t>TX</w:t>
      </w:r>
      <w:r>
        <w:rPr>
          <w:sz w:val="20"/>
          <w:szCs w:val="20"/>
          <w:color w:val="auto"/>
        </w:rPr>
        <w:tab/>
      </w:r>
      <w:r>
        <w:rPr>
          <w:rFonts w:ascii="Arial" w:cs="Arial" w:eastAsia="Arial" w:hAnsi="Arial"/>
          <w:sz w:val="12"/>
          <w:szCs w:val="12"/>
          <w:color w:val="0000FF"/>
        </w:rPr>
        <w:t>77449</w:t>
      </w:r>
    </w:p>
    <w:p>
      <w:pPr>
        <w:spacing w:after="0" w:line="25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267" w:lineRule="auto"/>
        <w:tabs>
          <w:tab w:leader="none" w:pos="111"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0000FF"/>
        </w:rPr>
        <w:t>07/12/2023</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Academy Sports &amp; Outdoors,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6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r>
      <w:tr>
        <w:trPr>
          <w:trHeight w:val="127"/>
        </w:trPr>
        <w:tc>
          <w:tcPr>
            <w:tcW w:w="202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40"/>
        </w:trPr>
        <w:tc>
          <w:tcPr>
            <w:tcW w:w="420" w:type="dxa"/>
            <w:vAlign w:val="bottom"/>
          </w:tcPr>
          <w:p>
            <w:pPr>
              <w:spacing w:after="0"/>
              <w:rPr>
                <w:sz w:val="12"/>
                <w:szCs w:val="12"/>
                <w:color w:val="auto"/>
              </w:rPr>
            </w:pPr>
          </w:p>
        </w:tc>
        <w:tc>
          <w:tcPr>
            <w:tcW w:w="1600" w:type="dxa"/>
            <w:vAlign w:val="bottom"/>
          </w:tcPr>
          <w:p>
            <w:pPr>
              <w:ind w:left="100"/>
              <w:spacing w:after="0"/>
              <w:rPr>
                <w:sz w:val="20"/>
                <w:szCs w:val="20"/>
                <w:color w:val="auto"/>
              </w:rPr>
            </w:pPr>
            <w:r>
              <w:rPr>
                <w:rFonts w:ascii="Arial" w:cs="Arial" w:eastAsia="Arial" w:hAnsi="Arial"/>
                <w:sz w:val="10"/>
                <w:szCs w:val="10"/>
                <w:color w:val="auto"/>
              </w:rPr>
              <w:t>Director</w:t>
            </w:r>
          </w:p>
        </w:tc>
        <w:tc>
          <w:tcPr>
            <w:tcW w:w="1240" w:type="dxa"/>
            <w:vAlign w:val="bottom"/>
          </w:tcPr>
          <w:p>
            <w:pPr>
              <w:ind w:left="100"/>
              <w:spacing w:after="0"/>
              <w:rPr>
                <w:sz w:val="20"/>
                <w:szCs w:val="20"/>
                <w:color w:val="auto"/>
              </w:rPr>
            </w:pPr>
            <w:r>
              <w:rPr>
                <w:rFonts w:ascii="Arial" w:cs="Arial" w:eastAsia="Arial" w:hAnsi="Arial"/>
                <w:sz w:val="10"/>
                <w:szCs w:val="10"/>
                <w:color w:val="auto"/>
              </w:rPr>
              <w:t>10% Owner</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88"/>
        </w:trPr>
        <w:tc>
          <w:tcPr>
            <w:tcW w:w="420" w:type="dxa"/>
            <w:vAlign w:val="bottom"/>
          </w:tcPr>
          <w:p>
            <w:pPr>
              <w:ind w:left="220"/>
              <w:spacing w:after="0"/>
              <w:rPr>
                <w:sz w:val="20"/>
                <w:szCs w:val="20"/>
                <w:color w:val="auto"/>
              </w:rPr>
            </w:pPr>
            <w:r>
              <w:rPr>
                <w:rFonts w:ascii="Arial" w:cs="Arial" w:eastAsia="Arial" w:hAnsi="Arial"/>
                <w:sz w:val="13"/>
                <w:szCs w:val="13"/>
                <w:color w:val="0000FF"/>
              </w:rPr>
              <w:t>X</w:t>
            </w:r>
          </w:p>
        </w:tc>
        <w:tc>
          <w:tcPr>
            <w:tcW w:w="16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240" w:type="dxa"/>
            <w:vAlign w:val="bottom"/>
          </w:tcPr>
          <w:p>
            <w:pPr>
              <w:ind w:left="10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00"/>
        </w:trPr>
        <w:tc>
          <w:tcPr>
            <w:tcW w:w="420" w:type="dxa"/>
            <w:vAlign w:val="bottom"/>
          </w:tcPr>
          <w:p>
            <w:pPr>
              <w:spacing w:after="0"/>
              <w:rPr>
                <w:sz w:val="17"/>
                <w:szCs w:val="17"/>
                <w:color w:val="auto"/>
              </w:rPr>
            </w:pPr>
          </w:p>
        </w:tc>
        <w:tc>
          <w:tcPr>
            <w:tcW w:w="1600" w:type="dxa"/>
            <w:vAlign w:val="bottom"/>
          </w:tcPr>
          <w:p>
            <w:pPr>
              <w:ind w:left="860"/>
              <w:spacing w:after="0"/>
              <w:rPr>
                <w:sz w:val="20"/>
                <w:szCs w:val="20"/>
                <w:color w:val="auto"/>
              </w:rPr>
            </w:pPr>
            <w:r>
              <w:rPr>
                <w:rFonts w:ascii="Arial" w:cs="Arial" w:eastAsia="Arial" w:hAnsi="Arial"/>
                <w:sz w:val="13"/>
                <w:szCs w:val="13"/>
                <w:color w:val="0000FF"/>
              </w:rPr>
              <w:t>EVP &amp; CFO</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52"/>
        </w:trPr>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600" w:type="dxa"/>
            <w:vAlign w:val="bottom"/>
            <w:tcBorders>
              <w:bottom w:val="single" w:sz="8" w:color="2C2C2C"/>
            </w:tcBorders>
            <w:gridSpan w:val="2"/>
          </w:tcPr>
          <w:p>
            <w:pPr>
              <w:spacing w:after="0"/>
              <w:rPr>
                <w:sz w:val="21"/>
                <w:szCs w:val="21"/>
                <w:color w:val="auto"/>
              </w:rPr>
            </w:pPr>
          </w:p>
        </w:tc>
      </w:tr>
      <w:tr>
        <w:trPr>
          <w:trHeight w:val="160"/>
        </w:trPr>
        <w:tc>
          <w:tcPr>
            <w:tcW w:w="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00" w:type="dxa"/>
            <w:vAlign w:val="bottom"/>
            <w:gridSpan w:val="2"/>
          </w:tcPr>
          <w:p>
            <w:pPr>
              <w:ind w:left="20"/>
              <w:spacing w:after="0"/>
              <w:rPr>
                <w:sz w:val="20"/>
                <w:szCs w:val="20"/>
                <w:color w:val="auto"/>
              </w:rPr>
            </w:pPr>
            <w:r>
              <w:rPr>
                <w:rFonts w:ascii="Arial" w:cs="Arial" w:eastAsia="Arial" w:hAnsi="Arial"/>
                <w:sz w:val="10"/>
                <w:szCs w:val="10"/>
                <w:color w:val="auto"/>
              </w:rPr>
              <w:t>Individual or Joint/Group Filing (Check Applicable Line)</w:t>
            </w:r>
          </w:p>
        </w:tc>
      </w:tr>
      <w:tr>
        <w:trPr>
          <w:trHeight w:val="178"/>
        </w:trPr>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0000FF"/>
              </w:rPr>
              <w:t>X</w:t>
            </w:r>
          </w:p>
        </w:tc>
        <w:tc>
          <w:tcPr>
            <w:tcW w:w="2340" w:type="dxa"/>
            <w:vAlign w:val="bottom"/>
          </w:tcPr>
          <w:p>
            <w:pPr>
              <w:ind w:left="80"/>
              <w:spacing w:after="0"/>
              <w:rPr>
                <w:sz w:val="20"/>
                <w:szCs w:val="20"/>
                <w:color w:val="auto"/>
              </w:rPr>
            </w:pPr>
            <w:r>
              <w:rPr>
                <w:rFonts w:ascii="Arial" w:cs="Arial" w:eastAsia="Arial" w:hAnsi="Arial"/>
                <w:sz w:val="10"/>
                <w:szCs w:val="10"/>
                <w:color w:val="auto"/>
              </w:rPr>
              <w:t>Form filed by One Reporting Person</w:t>
            </w:r>
          </w:p>
        </w:tc>
      </w:tr>
      <w:tr>
        <w:trPr>
          <w:trHeight w:val="162"/>
        </w:trPr>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Arial" w:cs="Arial" w:eastAsia="Arial" w:hAnsi="Arial"/>
                <w:sz w:val="10"/>
                <w:szCs w:val="10"/>
                <w:color w:val="auto"/>
              </w:rPr>
              <w:t>Form filed by More than One Reporting Person</w:t>
            </w:r>
          </w:p>
        </w:tc>
      </w:tr>
    </w:tbl>
    <w:p>
      <w:pPr>
        <w:spacing w:after="0" w:line="196" w:lineRule="exact"/>
        <w:rPr>
          <w:sz w:val="24"/>
          <w:szCs w:val="24"/>
          <w:color w:val="auto"/>
        </w:rPr>
      </w:pPr>
    </w:p>
    <w:p>
      <w:pPr>
        <w:sectPr>
          <w:pgSz w:w="11900" w:h="16838" w:orient="portrait"/>
          <w:cols w:equalWidth="0" w:num="3">
            <w:col w:w="2860" w:space="500"/>
            <w:col w:w="1260" w:space="380"/>
            <w:col w:w="60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9"/>
        </w:trPr>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ind w:left="760"/>
              <w:spacing w:after="0"/>
              <w:rPr>
                <w:sz w:val="20"/>
                <w:szCs w:val="20"/>
                <w:color w:val="auto"/>
              </w:rPr>
            </w:pPr>
            <w:r>
              <w:rPr>
                <w:rFonts w:ascii="Arial" w:cs="Arial" w:eastAsia="Arial" w:hAnsi="Arial"/>
                <w:sz w:val="13"/>
                <w:szCs w:val="13"/>
                <w:color w:val="0000FF"/>
              </w:rPr>
              <w:t>6,171</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20" w:type="dxa"/>
            <w:vAlign w:val="bottom"/>
            <w:tcBorders>
              <w:top w:val="single" w:sz="8" w:color="2C2C2C"/>
            </w:tcBorders>
          </w:tcPr>
          <w:p>
            <w:pPr>
              <w:spacing w:after="0"/>
              <w:rPr>
                <w:sz w:val="13"/>
                <w:szCs w:val="13"/>
                <w:color w:val="auto"/>
              </w:rPr>
            </w:pPr>
          </w:p>
        </w:tc>
        <w:tc>
          <w:tcPr>
            <w:tcW w:w="16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4. Conversion</w:t>
            </w:r>
          </w:p>
        </w:tc>
        <w:tc>
          <w:tcPr>
            <w:tcW w:w="820" w:type="dxa"/>
            <w:vAlign w:val="bottom"/>
          </w:tcPr>
          <w:p>
            <w:pPr>
              <w:ind w:left="60"/>
              <w:spacing w:after="0"/>
              <w:rPr>
                <w:sz w:val="20"/>
                <w:szCs w:val="20"/>
                <w:color w:val="auto"/>
              </w:rPr>
            </w:pPr>
            <w:r>
              <w:rPr>
                <w:rFonts w:ascii="Arial" w:cs="Arial" w:eastAsia="Arial" w:hAnsi="Arial"/>
                <w:sz w:val="10"/>
                <w:szCs w:val="10"/>
                <w:b w:val="1"/>
                <w:bCs w:val="1"/>
                <w:color w:val="auto"/>
              </w:rPr>
              <w:t>5. Ownership</w:t>
            </w:r>
          </w:p>
        </w:tc>
        <w:tc>
          <w:tcPr>
            <w:tcW w:w="168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250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Indirect (I)</w:t>
            </w: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Derivative</w:t>
            </w:r>
          </w:p>
        </w:tc>
        <w:tc>
          <w:tcPr>
            <w:tcW w:w="8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(Instr. 5)</w:t>
            </w: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6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Expiration</w:t>
            </w: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Security</w:t>
            </w:r>
          </w:p>
        </w:tc>
        <w:tc>
          <w:tcPr>
            <w:tcW w:w="8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Number of</w:t>
            </w: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 Options (Right to Buy)</w:t>
            </w:r>
            <w:r>
              <w:rPr>
                <w:rFonts w:ascii="Arial" w:cs="Arial" w:eastAsia="Arial" w:hAnsi="Arial"/>
                <w:sz w:val="16"/>
                <w:szCs w:val="16"/>
                <w:color w:val="008000"/>
                <w:vertAlign w:val="superscript"/>
              </w:rPr>
              <w:t>(1)</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(2)</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03/31/2031</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0"/>
              </w:rPr>
              <w:t>11,368</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26.99</w:t>
            </w:r>
          </w:p>
        </w:tc>
        <w:tc>
          <w:tcPr>
            <w:tcW w:w="82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 Options (Right to Buy)</w:t>
            </w:r>
            <w:r>
              <w:rPr>
                <w:rFonts w:ascii="Arial" w:cs="Arial" w:eastAsia="Arial" w:hAnsi="Arial"/>
                <w:sz w:val="16"/>
                <w:szCs w:val="16"/>
                <w:color w:val="008000"/>
                <w:vertAlign w:val="superscript"/>
              </w:rPr>
              <w:t>(1)</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03/30/2032</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0"/>
              </w:rPr>
              <w:t>10,173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39.17</w:t>
            </w:r>
          </w:p>
        </w:tc>
        <w:tc>
          <w:tcPr>
            <w:tcW w:w="82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Restricted Stock Units</w:t>
            </w:r>
            <w:r>
              <w:rPr>
                <w:rFonts w:ascii="Arial" w:cs="Arial" w:eastAsia="Arial" w:hAnsi="Arial"/>
                <w:sz w:val="16"/>
                <w:szCs w:val="16"/>
                <w:color w:val="008000"/>
                <w:vertAlign w:val="superscript"/>
              </w:rPr>
              <w:t>(1)</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(4)</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03/31/2031</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1,223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(5)</w:t>
            </w:r>
          </w:p>
        </w:tc>
        <w:tc>
          <w:tcPr>
            <w:tcW w:w="82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Restricted Stock Units</w:t>
            </w:r>
            <w:r>
              <w:rPr>
                <w:rFonts w:ascii="Arial" w:cs="Arial" w:eastAsia="Arial" w:hAnsi="Arial"/>
                <w:sz w:val="16"/>
                <w:szCs w:val="16"/>
                <w:color w:val="008000"/>
                <w:vertAlign w:val="superscript"/>
              </w:rPr>
              <w:t>(1)</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03/30/2032</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1,628</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(5)</w:t>
            </w:r>
          </w:p>
        </w:tc>
        <w:tc>
          <w:tcPr>
            <w:tcW w:w="82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Restricted Stock Units</w:t>
            </w:r>
            <w:r>
              <w:rPr>
                <w:rFonts w:ascii="Arial" w:cs="Arial" w:eastAsia="Arial" w:hAnsi="Arial"/>
                <w:sz w:val="16"/>
                <w:szCs w:val="16"/>
                <w:color w:val="008000"/>
                <w:vertAlign w:val="superscript"/>
              </w:rPr>
              <w:t>(1)</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(7)</w:t>
            </w:r>
          </w:p>
        </w:tc>
        <w:tc>
          <w:tcPr>
            <w:tcW w:w="600" w:type="dxa"/>
            <w:vAlign w:val="bottom"/>
          </w:tcPr>
          <w:p>
            <w:pPr>
              <w:jc w:val="center"/>
              <w:spacing w:after="0"/>
              <w:rPr>
                <w:sz w:val="20"/>
                <w:szCs w:val="20"/>
                <w:color w:val="auto"/>
              </w:rPr>
            </w:pPr>
            <w:r>
              <w:rPr>
                <w:rFonts w:ascii="Arial" w:cs="Arial" w:eastAsia="Arial" w:hAnsi="Arial"/>
                <w:sz w:val="10"/>
                <w:szCs w:val="10"/>
                <w:color w:val="0000FF"/>
                <w:w w:val="91"/>
              </w:rPr>
              <w:t>03/21/2033</w:t>
            </w:r>
          </w:p>
        </w:tc>
        <w:tc>
          <w:tcPr>
            <w:tcW w:w="21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3,865</w:t>
            </w:r>
          </w:p>
        </w:tc>
        <w:tc>
          <w:tcPr>
            <w:tcW w:w="760" w:type="dxa"/>
            <w:vAlign w:val="bottom"/>
          </w:tcPr>
          <w:p>
            <w:pPr>
              <w:jc w:val="center"/>
              <w:spacing w:after="0"/>
              <w:rPr>
                <w:sz w:val="20"/>
                <w:szCs w:val="20"/>
                <w:color w:val="auto"/>
              </w:rPr>
            </w:pPr>
            <w:r>
              <w:rPr>
                <w:rFonts w:ascii="Arial" w:cs="Arial" w:eastAsia="Arial" w:hAnsi="Arial"/>
                <w:sz w:val="8"/>
                <w:szCs w:val="8"/>
                <w:color w:val="008000"/>
              </w:rPr>
              <w:t>(5)</w:t>
            </w:r>
          </w:p>
        </w:tc>
        <w:tc>
          <w:tcPr>
            <w:tcW w:w="820" w:type="dxa"/>
            <w:vAlign w:val="bottom"/>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 (the "Plan").</w:t>
      </w:r>
    </w:p>
    <w:p>
      <w:pPr>
        <w:spacing w:after="0" w:line="35" w:lineRule="exact"/>
        <w:rPr>
          <w:rFonts w:ascii="Arial" w:cs="Arial" w:eastAsia="Arial" w:hAnsi="Arial"/>
          <w:sz w:val="10"/>
          <w:szCs w:val="10"/>
          <w:color w:val="008000"/>
        </w:rPr>
      </w:pPr>
    </w:p>
    <w:p>
      <w:pPr>
        <w:ind w:left="120" w:hanging="90"/>
        <w:spacing w:after="0"/>
        <w:tabs>
          <w:tab w:leader="none" w:pos="12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These time-based stock options vest in four annual installments beginning on March 31, 2022.</w:t>
      </w:r>
    </w:p>
    <w:p>
      <w:pPr>
        <w:spacing w:after="0" w:line="35" w:lineRule="exact"/>
        <w:rPr>
          <w:rFonts w:ascii="Arial" w:cs="Arial" w:eastAsia="Arial" w:hAnsi="Arial"/>
          <w:sz w:val="10"/>
          <w:szCs w:val="10"/>
          <w:color w:val="008000"/>
        </w:rPr>
      </w:pPr>
    </w:p>
    <w:p>
      <w:pPr>
        <w:ind w:left="120" w:hanging="90"/>
        <w:spacing w:after="0"/>
        <w:tabs>
          <w:tab w:leader="none" w:pos="12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These time-based stock options vest in four annual installments beginning on March 30, 2023.</w:t>
      </w:r>
    </w:p>
    <w:p>
      <w:pPr>
        <w:spacing w:after="0" w:line="35" w:lineRule="exact"/>
        <w:rPr>
          <w:rFonts w:ascii="Arial" w:cs="Arial" w:eastAsia="Arial" w:hAnsi="Arial"/>
          <w:sz w:val="10"/>
          <w:szCs w:val="10"/>
          <w:color w:val="008000"/>
        </w:rPr>
      </w:pPr>
    </w:p>
    <w:p>
      <w:pPr>
        <w:ind w:left="40" w:right="40" w:hanging="10"/>
        <w:spacing w:after="0" w:line="242"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March 31, 2021, the Reporting Person was granted 2,445 performance-based restricted stock units ("PRSUs"). These PRSUs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vest in three equal annual installments beginning on January 31, 2023.</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restricted stock unit ("RSU") represents a contingent right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220" w:hanging="10"/>
        <w:spacing w:after="0" w:line="273"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On March 30, 2022, the Reporting Person was granted 2,125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PRSUs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135 PRSUs) may vest upon certification by the Issuer's compensation committee of achievement of certain Issuer stock price conditions as of the fourth anniversary of the Vesting Commencement Date (i.e., January 30, 2022).</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March 21, 2023, the Reporting Person was granted 3,865 time-based RSUs that vest in three equal installments beginning on the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Earl Carlton Ford, IV</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Gary Holland, Attorney-in-fact</w:t>
            </w:r>
          </w:p>
        </w:tc>
        <w:tc>
          <w:tcPr>
            <w:tcW w:w="44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07/12/2023</w:t>
            </w:r>
          </w:p>
        </w:tc>
      </w:tr>
      <w:tr>
        <w:trPr>
          <w:trHeight w:val="170"/>
        </w:trPr>
        <w:tc>
          <w:tcPr>
            <w:tcW w:w="658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Arial" w:cs="Arial" w:eastAsia="Arial" w:hAnsi="Arial"/>
                <w:sz w:val="10"/>
                <w:szCs w:val="10"/>
                <w:color w:val="auto"/>
              </w:rPr>
              <w:t>** Signature of Reporting Person</w:t>
            </w:r>
          </w:p>
        </w:tc>
        <w:tc>
          <w:tcPr>
            <w:tcW w:w="1040" w:type="dxa"/>
            <w:vAlign w:val="bottom"/>
            <w:gridSpan w:val="2"/>
          </w:tcPr>
          <w:p>
            <w:pPr>
              <w:ind w:left="440"/>
              <w:spacing w:after="0"/>
              <w:rPr>
                <w:sz w:val="20"/>
                <w:szCs w:val="20"/>
                <w:color w:val="auto"/>
              </w:rPr>
            </w:pPr>
            <w:r>
              <w:rPr>
                <w:rFonts w:ascii="Arial" w:cs="Arial" w:eastAsia="Arial" w:hAnsi="Arial"/>
                <w:sz w:val="10"/>
                <w:szCs w:val="10"/>
                <w:color w:val="auto"/>
              </w:rPr>
              <w:t>Date</w:t>
            </w:r>
          </w:p>
        </w:tc>
      </w:tr>
      <w:tr>
        <w:trPr>
          <w:trHeight w:val="150"/>
        </w:trPr>
        <w:tc>
          <w:tcPr>
            <w:tcW w:w="8340" w:type="dxa"/>
            <w:vAlign w:val="bottom"/>
            <w:gridSpan w:val="2"/>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0"/>
        </w:trPr>
        <w:tc>
          <w:tcPr>
            <w:tcW w:w="8340" w:type="dxa"/>
            <w:vAlign w:val="bottom"/>
            <w:gridSpan w:val="2"/>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0"/>
        </w:trPr>
        <w:tc>
          <w:tcPr>
            <w:tcW w:w="8340" w:type="dxa"/>
            <w:vAlign w:val="bottom"/>
            <w:gridSpan w:val="2"/>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0"/>
        </w:trPr>
        <w:tc>
          <w:tcPr>
            <w:tcW w:w="8340" w:type="dxa"/>
            <w:vAlign w:val="bottom"/>
            <w:gridSpan w:val="2"/>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6"/>
        </w:trPr>
        <w:tc>
          <w:tcPr>
            <w:tcW w:w="8340" w:type="dxa"/>
            <w:vAlign w:val="bottom"/>
            <w:gridSpan w:val="2"/>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 constitute and appoint each of Rene Casares, Sarah Green, Gary Holland and</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Earl Carlton Ford IV</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EARL CARLTON FORD IV</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7/3/2023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Exhibit 24</w:t>
      </w:r>
    </w:p>
    <w:sectPr>
      <w:pgSz w:w="11900" w:h="16838" w:orient="portrait"/>
      <w:cols w:equalWidth="0" w:num="1">
        <w:col w:w="11040"/>
      </w:cols>
      <w:pgMar w:left="440" w:top="25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84055" TargetMode="External"/><Relationship Id="rId12"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2023-07-12T16:25:45Z</dcterms:created>
  <dcterms:modified xsi:type="dcterms:W3CDTF">2023-07-12T16:25:45Z</dcterms:modified>
</cp:coreProperties>
</file>