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Ennis William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140" w:type="dxa"/>
            <w:vAlign w:val="bottom"/>
          </w:tcPr>
          <w:p>
            <w:pPr>
              <w:ind w:left="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2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140" w:type="dxa"/>
            <w:vAlign w:val="bottom"/>
            <w:vMerge w:val="restart"/>
          </w:tcPr>
          <w:p>
            <w:pPr>
              <w:ind w:left="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vMerge w:val="restart"/>
          </w:tcPr>
          <w:p>
            <w:pPr>
              <w:ind w:left="660"/>
              <w:spacing w:after="0"/>
              <w:rPr>
                <w:sz w:val="20"/>
                <w:szCs w:val="20"/>
                <w:color w:val="auto"/>
              </w:rPr>
            </w:pPr>
            <w:r>
              <w:rPr>
                <w:rFonts w:ascii="Times New Roman" w:cs="Times New Roman" w:eastAsia="Times New Roman" w:hAnsi="Times New Roman"/>
                <w:sz w:val="17"/>
                <w:szCs w:val="17"/>
                <w:color w:val="0000FF"/>
                <w:w w:val="97"/>
              </w:rPr>
              <w:t>SVP &amp; CHRO</w:t>
            </w: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36,775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287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59.15</w:t>
            </w: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36,488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1,194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03/01/2023</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1,194</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3,906</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2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3/30/22, the Reporting Person was granted 5,100 performance-based restricted stock units ("RSUs"). These RSUs vest if certain performance criteria and/or Issuer stock price conditions are met and certified by the Issuer's compensation committee. On 3/1/23, the Issuer's compensation committee certified achievement of 93.7% of the performance criteria during fiscal 2022 meaning that 4,776 RSUs were deemed earned. Of this earned amount, 25% of the earned amount of this grant vested on 3/1/23, and the remaining 75% will vest in three equal annual installments beginning on 1/30/24, subject to the Reporting Person's continued service with the Issuer through each applicable vesting date. The remaining unearned amount of this grant (i.e., 324 RSUs) may vest upon certification by the Issuer's compensation committee of achievement of certain Issuer stock price conditions as of the fourth anniversary of the Vesting Commencement Date (i.e., 1/30/22).</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03/03/2023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6063"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2023-03-03T17:59:16Z</dcterms:created>
  <dcterms:modified xsi:type="dcterms:W3CDTF">2023-03-03T17:59:16Z</dcterms:modified>
</cp:coreProperties>
</file>