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confidentially submitted with the Securities and Exchange Commission on August 13, 2020</w:t>
      </w:r>
    </w:p>
    <w:p>
      <w:pPr>
        <w:spacing w:after="0" w:line="2"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CONFIDENTIAL DRAFT SUBMISSION NO. 2</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 TO</w:t>
      </w:r>
    </w:p>
    <w:p>
      <w:pPr>
        <w:jc w:val="center"/>
        <w:ind w:right="-99"/>
        <w:spacing w:after="0" w:line="230" w:lineRule="auto"/>
        <w:rPr>
          <w:sz w:val="20"/>
          <w:szCs w:val="20"/>
          <w:color w:val="auto"/>
        </w:rPr>
      </w:pPr>
      <w:r>
        <w:rPr>
          <w:rFonts w:ascii="Times New Roman" w:cs="Times New Roman" w:eastAsia="Times New Roman" w:hAnsi="Times New Roman"/>
          <w:sz w:val="22"/>
          <w:szCs w:val="22"/>
          <w:b w:val="1"/>
          <w:bCs w:val="1"/>
          <w:color w:val="auto"/>
        </w:rPr>
        <w:t>FORM S-1</w:t>
      </w:r>
    </w:p>
    <w:p>
      <w:pPr>
        <w:jc w:val="center"/>
        <w:ind w:right="-99"/>
        <w:spacing w:after="0" w:line="227"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8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5940</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8"/>
              </w:rPr>
              <w:t>85-1800912</w:t>
            </w:r>
          </w:p>
        </w:tc>
      </w:tr>
      <w:tr>
        <w:trPr>
          <w:trHeight w:val="122"/>
        </w:trPr>
        <w:tc>
          <w:tcPr>
            <w:tcW w:w="2600" w:type="dxa"/>
            <w:vAlign w:val="bottom"/>
          </w:tcPr>
          <w:p>
            <w:pPr>
              <w:jc w:val="center"/>
              <w:ind w:right="11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800" w:type="dxa"/>
            <w:vAlign w:val="bottom"/>
          </w:tcPr>
          <w:p>
            <w:pPr>
              <w:jc w:val="center"/>
              <w:ind w:right="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2120" w:type="dxa"/>
            <w:vAlign w:val="bottom"/>
          </w:tcPr>
          <w:p>
            <w:pPr>
              <w:jc w:val="center"/>
              <w:ind w:left="120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Rene G. Casares, Esq.</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General Counsel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138"/>
        </w:trPr>
        <w:tc>
          <w:tcPr>
            <w:tcW w:w="2500" w:type="dxa"/>
            <w:vAlign w:val="bottom"/>
          </w:tcPr>
          <w:p>
            <w:pPr>
              <w:jc w:val="center"/>
              <w:ind w:right="637"/>
              <w:spacing w:after="0" w:line="138" w:lineRule="exact"/>
              <w:rPr>
                <w:sz w:val="20"/>
                <w:szCs w:val="20"/>
                <w:color w:val="auto"/>
              </w:rPr>
            </w:pPr>
            <w:r>
              <w:rPr>
                <w:rFonts w:ascii="Times New Roman" w:cs="Times New Roman" w:eastAsia="Times New Roman" w:hAnsi="Times New Roman"/>
                <w:sz w:val="13"/>
                <w:szCs w:val="13"/>
                <w:b w:val="1"/>
                <w:bCs w:val="1"/>
                <w:color w:val="auto"/>
                <w:w w:val="96"/>
              </w:rPr>
              <w:t>Joseph H. Kaufman, Esq.</w:t>
            </w:r>
          </w:p>
        </w:tc>
        <w:tc>
          <w:tcPr>
            <w:tcW w:w="4700" w:type="dxa"/>
            <w:vAlign w:val="bottom"/>
          </w:tcPr>
          <w:p>
            <w:pPr>
              <w:jc w:val="center"/>
              <w:ind w:left="3156"/>
              <w:spacing w:after="0" w:line="138" w:lineRule="exact"/>
              <w:rPr>
                <w:sz w:val="20"/>
                <w:szCs w:val="20"/>
                <w:color w:val="auto"/>
              </w:rPr>
            </w:pPr>
            <w:r>
              <w:rPr>
                <w:rFonts w:ascii="Times New Roman" w:cs="Times New Roman" w:eastAsia="Times New Roman" w:hAnsi="Times New Roman"/>
                <w:sz w:val="13"/>
                <w:szCs w:val="13"/>
                <w:b w:val="1"/>
                <w:bCs w:val="1"/>
                <w:color w:val="auto"/>
                <w:w w:val="96"/>
              </w:rPr>
              <w:t>Marc D. Jaffe,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Sunny Cheong, Esq.</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Ian D. Schuman,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885 Third Avenue</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66"/>
        </w:trPr>
        <w:tc>
          <w:tcPr>
            <w:tcW w:w="25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8"/>
              </w:rPr>
              <w:t>(212) 455-2000</w:t>
            </w:r>
          </w:p>
        </w:tc>
        <w:tc>
          <w:tcPr>
            <w:tcW w:w="4700" w:type="dxa"/>
            <w:vAlign w:val="bottom"/>
          </w:tcPr>
          <w:p>
            <w:pPr>
              <w:jc w:val="center"/>
              <w:ind w:left="3156"/>
              <w:spacing w:after="0"/>
              <w:rPr>
                <w:sz w:val="20"/>
                <w:szCs w:val="20"/>
                <w:color w:val="auto"/>
              </w:rPr>
            </w:pPr>
            <w:r>
              <w:rPr>
                <w:rFonts w:ascii="Times New Roman" w:cs="Times New Roman" w:eastAsia="Times New Roman" w:hAnsi="Times New Roman"/>
                <w:sz w:val="13"/>
                <w:szCs w:val="13"/>
                <w:b w:val="1"/>
                <w:bCs w:val="1"/>
                <w:color w:val="auto"/>
                <w:w w:val="98"/>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this Registration Statement is declared effective.</w:t>
      </w:r>
    </w:p>
    <w:p>
      <w:pPr>
        <w:spacing w:after="0" w:line="21"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20" w:right="6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60"/>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4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4"/>
        </w:trPr>
        <w:tc>
          <w:tcPr>
            <w:tcW w:w="14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left="120" w:right="10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000" w:type="dxa"/>
            <w:vAlign w:val="bottom"/>
            <w:tcBorders>
              <w:top w:val="single" w:sz="8" w:color="auto"/>
              <w:bottom w:val="single" w:sz="8" w:color="auto"/>
            </w:tcBorders>
          </w:tcPr>
          <w:p>
            <w:pPr>
              <w:spacing w:after="0"/>
              <w:rPr>
                <w:sz w:val="3"/>
                <w:szCs w:val="3"/>
                <w:color w:val="auto"/>
              </w:rPr>
            </w:pPr>
          </w:p>
        </w:tc>
        <w:tc>
          <w:tcPr>
            <w:tcW w:w="6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95"/>
        </w:trPr>
        <w:tc>
          <w:tcPr>
            <w:tcW w:w="1000" w:type="dxa"/>
            <w:vAlign w:val="bottom"/>
          </w:tcPr>
          <w:p>
            <w:pPr>
              <w:spacing w:after="0"/>
              <w:rPr>
                <w:sz w:val="8"/>
                <w:szCs w:val="8"/>
                <w:color w:val="auto"/>
              </w:rPr>
            </w:pPr>
          </w:p>
        </w:tc>
        <w:tc>
          <w:tcPr>
            <w:tcW w:w="630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Pr>
          <w:p>
            <w:pPr>
              <w:spacing w:after="0"/>
              <w:rPr>
                <w:sz w:val="8"/>
                <w:szCs w:val="8"/>
                <w:color w:val="auto"/>
              </w:rPr>
            </w:pPr>
          </w:p>
        </w:tc>
      </w:tr>
      <w:tr>
        <w:trPr>
          <w:trHeight w:val="135"/>
        </w:trPr>
        <w:tc>
          <w:tcPr>
            <w:tcW w:w="1000" w:type="dxa"/>
            <w:vAlign w:val="bottom"/>
          </w:tcPr>
          <w:p>
            <w:pPr>
              <w:spacing w:after="0"/>
              <w:rPr>
                <w:sz w:val="11"/>
                <w:szCs w:val="11"/>
                <w:color w:val="auto"/>
              </w:rPr>
            </w:pPr>
          </w:p>
        </w:tc>
        <w:tc>
          <w:tcPr>
            <w:tcW w:w="63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Pr>
          <w:p>
            <w:pPr>
              <w:spacing w:after="0"/>
              <w:rPr>
                <w:sz w:val="11"/>
                <w:szCs w:val="11"/>
                <w:color w:val="auto"/>
              </w:rPr>
            </w:pPr>
          </w:p>
        </w:tc>
      </w:tr>
      <w:tr>
        <w:trPr>
          <w:trHeight w:val="142"/>
        </w:trPr>
        <w:tc>
          <w:tcPr>
            <w:tcW w:w="1000" w:type="dxa"/>
            <w:vAlign w:val="bottom"/>
          </w:tcPr>
          <w:p>
            <w:pPr>
              <w:spacing w:after="0"/>
              <w:rPr>
                <w:sz w:val="12"/>
                <w:szCs w:val="12"/>
                <w:color w:val="auto"/>
              </w:rPr>
            </w:pPr>
          </w:p>
        </w:tc>
        <w:tc>
          <w:tcPr>
            <w:tcW w:w="6300" w:type="dxa"/>
            <w:vAlign w:val="bottom"/>
            <w:tcBorders>
              <w:right w:val="single" w:sz="8" w:color="auto"/>
            </w:tcBorders>
          </w:tcPr>
          <w:p>
            <w:pPr>
              <w:jc w:val="center"/>
              <w:ind w:right="9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60" w:type="dxa"/>
            <w:vAlign w:val="bottom"/>
            <w:tcBorders>
              <w:right w:val="single" w:sz="8" w:color="auto"/>
            </w:tcBorders>
          </w:tcPr>
          <w:p>
            <w:pPr>
              <w:jc w:val="center"/>
              <w:ind w:left="19"/>
              <w:spacing w:after="0" w:line="142"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860" w:type="dxa"/>
            <w:vAlign w:val="bottom"/>
          </w:tcPr>
          <w:p>
            <w:pPr>
              <w:ind w:left="680"/>
              <w:spacing w:after="0" w:line="142" w:lineRule="exact"/>
              <w:rPr>
                <w:sz w:val="20"/>
                <w:szCs w:val="20"/>
                <w:color w:val="auto"/>
              </w:rPr>
            </w:pPr>
            <w:r>
              <w:rPr>
                <w:rFonts w:ascii="Times New Roman" w:cs="Times New Roman" w:eastAsia="Times New Roman" w:hAnsi="Times New Roman"/>
                <w:sz w:val="13"/>
                <w:szCs w:val="13"/>
                <w:b w:val="1"/>
                <w:bCs w:val="1"/>
                <w:color w:val="auto"/>
              </w:rPr>
              <w:t>Amount of</w:t>
            </w:r>
          </w:p>
        </w:tc>
      </w:tr>
      <w:tr>
        <w:trPr>
          <w:trHeight w:val="162"/>
        </w:trPr>
        <w:tc>
          <w:tcPr>
            <w:tcW w:w="1000" w:type="dxa"/>
            <w:vAlign w:val="bottom"/>
            <w:tcBorders>
              <w:bottom w:val="single" w:sz="8" w:color="auto"/>
            </w:tcBorders>
          </w:tcPr>
          <w:p>
            <w:pPr>
              <w:spacing w:after="0"/>
              <w:rPr>
                <w:sz w:val="14"/>
                <w:szCs w:val="14"/>
                <w:color w:val="auto"/>
              </w:rPr>
            </w:pPr>
          </w:p>
        </w:tc>
        <w:tc>
          <w:tcPr>
            <w:tcW w:w="6300" w:type="dxa"/>
            <w:vAlign w:val="bottom"/>
            <w:tcBorders>
              <w:bottom w:val="single" w:sz="8" w:color="auto"/>
              <w:right w:val="single" w:sz="8" w:color="auto"/>
            </w:tcBorders>
          </w:tcPr>
          <w:p>
            <w:pPr>
              <w:jc w:val="center"/>
              <w:ind w:right="977"/>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(1)(2)</w:t>
            </w:r>
          </w:p>
        </w:tc>
        <w:tc>
          <w:tcPr>
            <w:tcW w:w="1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Registration Fee</w:t>
            </w:r>
            <w:r>
              <w:rPr>
                <w:rFonts w:ascii="Times New Roman" w:cs="Times New Roman" w:eastAsia="Times New Roman" w:hAnsi="Times New Roman"/>
                <w:sz w:val="10"/>
                <w:szCs w:val="10"/>
                <w:b w:val="1"/>
                <w:bCs w:val="1"/>
                <w:color w:val="auto"/>
              </w:rPr>
              <w:t>(3)</w:t>
            </w:r>
          </w:p>
        </w:tc>
      </w:tr>
      <w:tr>
        <w:trPr>
          <w:trHeight w:val="129"/>
        </w:trPr>
        <w:tc>
          <w:tcPr>
            <w:tcW w:w="7300" w:type="dxa"/>
            <w:vAlign w:val="bottom"/>
            <w:tcBorders>
              <w:bottom w:val="single" w:sz="8" w:color="auto"/>
              <w:right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Common Stock, $0.01 par value per share</w:t>
            </w:r>
          </w:p>
        </w:tc>
        <w:tc>
          <w:tcPr>
            <w:tcW w:w="1860" w:type="dxa"/>
            <w:vAlign w:val="bottom"/>
            <w:tcBorders>
              <w:bottom w:val="single" w:sz="8" w:color="auto"/>
              <w:right w:val="single" w:sz="8" w:color="auto"/>
            </w:tcBorders>
          </w:tcPr>
          <w:p>
            <w:pPr>
              <w:jc w:val="right"/>
              <w:ind w:right="1039"/>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bottom w:val="single" w:sz="8" w:color="auto"/>
            </w:tcBorders>
          </w:tcPr>
          <w:p>
            <w:pPr>
              <w:ind w:left="70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25"/>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(1)   Includes</w:t>
            </w:r>
          </w:p>
        </w:tc>
        <w:tc>
          <w:tcPr>
            <w:tcW w:w="6300" w:type="dxa"/>
            <w:vAlign w:val="bottom"/>
          </w:tcPr>
          <w:p>
            <w:pPr>
              <w:ind w:left="260"/>
              <w:spacing w:after="0" w:line="125" w:lineRule="exact"/>
              <w:rPr>
                <w:sz w:val="20"/>
                <w:szCs w:val="20"/>
                <w:color w:val="auto"/>
              </w:rPr>
            </w:pPr>
            <w:r>
              <w:rPr>
                <w:rFonts w:ascii="Times New Roman" w:cs="Times New Roman" w:eastAsia="Times New Roman" w:hAnsi="Times New Roman"/>
                <w:sz w:val="13"/>
                <w:szCs w:val="13"/>
                <w:color w:val="auto"/>
                <w:w w:val="97"/>
              </w:rPr>
              <w:t>shares of common stock that the underwriters have the option to purchase. See “Underwriting (Conflicts of Interest).”</w:t>
            </w:r>
          </w:p>
        </w:tc>
        <w:tc>
          <w:tcPr>
            <w:tcW w:w="1860" w:type="dxa"/>
            <w:vAlign w:val="bottom"/>
          </w:tcPr>
          <w:p>
            <w:pPr>
              <w:spacing w:after="0"/>
              <w:rPr>
                <w:sz w:val="10"/>
                <w:szCs w:val="10"/>
                <w:color w:val="auto"/>
              </w:rPr>
            </w:pPr>
          </w:p>
        </w:tc>
        <w:tc>
          <w:tcPr>
            <w:tcW w:w="1860" w:type="dxa"/>
            <w:vAlign w:val="bottom"/>
          </w:tcPr>
          <w:p>
            <w:pPr>
              <w:spacing w:after="0"/>
              <w:rPr>
                <w:sz w:val="10"/>
                <w:szCs w:val="10"/>
                <w:color w:val="auto"/>
              </w:rPr>
            </w:pPr>
          </w:p>
        </w:tc>
      </w:tr>
    </w:tbl>
    <w:p>
      <w:pPr>
        <w:ind w:left="440" w:hanging="324"/>
        <w:spacing w:after="0" w:line="216"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in accordance with Rule 457(o) promulgated under the Securities Act of 1933, as amended.</w:t>
      </w:r>
    </w:p>
    <w:p>
      <w:pPr>
        <w:ind w:left="440" w:hanging="324"/>
        <w:spacing w:after="0"/>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ind w:left="120" w:right="18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S-1, or the Registration Statement, is being filed by Academy Sports and Outdoors, Inc., a newly formed Delaware corporation, or the Registrant, in connection with a proposed registered public offering of shares of its common stock. Prior to the consummation of this offering, we intend to undertake a series of reorganization transactions, which we refer to as the Reorganization Transactions, that will result in, among other things, New Academy Holding Company, LLC, the current holding company for the business described in this prospectus that is part of the Registration Statement, being contributed to the Registrant by its unitholders and becoming a wholly owned subsidiary of the Registrant. Following the Reorganization Transactions, the Registrant will be the holding company of the business described in this prospectus.</w:t>
      </w:r>
    </w:p>
    <w:p>
      <w:pPr>
        <w:sectPr>
          <w:pgSz w:w="11900" w:h="16838" w:orient="portrait"/>
          <w:cols w:equalWidth="0" w:num="1">
            <w:col w:w="11060"/>
          </w:cols>
          <w:pgMar w:left="320" w:top="455" w:right="5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07" w:lineRule="exact"/>
        <w:rPr>
          <w:sz w:val="20"/>
          <w:szCs w:val="20"/>
          <w:color w:val="auto"/>
        </w:rPr>
      </w:pPr>
    </w:p>
    <w:tbl>
      <w:tblPr>
        <w:tblLayout w:type="fixed"/>
        <w:tblInd w:w="40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FF4338"/>
              </w:rPr>
              <w:t>Subject to completion,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FF4338"/>
              </w:rPr>
              <w:t>, 2020</w:t>
            </w:r>
          </w:p>
        </w:tc>
      </w:tr>
    </w:tbl>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wp:posOffset>
            </wp:positionV>
            <wp:extent cx="148272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Academy Sports and Outdoors, Inc.</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5" w:lineRule="exact"/>
        <w:rPr>
          <w:sz w:val="20"/>
          <w:szCs w:val="20"/>
          <w:color w:val="auto"/>
        </w:rPr>
      </w:pPr>
    </w:p>
    <w:p>
      <w:pPr>
        <w:ind w:left="1100"/>
        <w:spacing w:after="0"/>
        <w:tabs>
          <w:tab w:leader="none" w:pos="9500" w:val="left"/>
        </w:tabs>
        <w:rPr>
          <w:sz w:val="20"/>
          <w:szCs w:val="20"/>
          <w:color w:val="auto"/>
        </w:rPr>
      </w:pPr>
      <w:r>
        <w:rPr>
          <w:rFonts w:ascii="Times New Roman" w:cs="Times New Roman" w:eastAsia="Times New Roman" w:hAnsi="Times New Roman"/>
          <w:sz w:val="18"/>
          <w:szCs w:val="18"/>
          <w:color w:val="auto"/>
        </w:rPr>
        <w:t>This is the initial public offering of common stock of Academy Sports and Outdoors, Inc. We are offering</w:t>
      </w:r>
      <w:r>
        <w:rPr>
          <w:sz w:val="20"/>
          <w:szCs w:val="20"/>
          <w:color w:val="auto"/>
        </w:rPr>
        <w:tab/>
      </w:r>
      <w:r>
        <w:rPr>
          <w:rFonts w:ascii="Times New Roman" w:cs="Times New Roman" w:eastAsia="Times New Roman" w:hAnsi="Times New Roman"/>
          <w:sz w:val="18"/>
          <w:szCs w:val="18"/>
          <w:color w:val="auto"/>
        </w:rPr>
        <w:t>shares of our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We expect that the initial public offering price of our</w:t>
      </w:r>
    </w:p>
    <w:p>
      <w:pPr>
        <w:spacing w:after="0" w:line="27" w:lineRule="exact"/>
        <w:rPr>
          <w:sz w:val="20"/>
          <w:szCs w:val="20"/>
          <w:color w:val="auto"/>
        </w:rPr>
      </w:pPr>
    </w:p>
    <w:p>
      <w:pPr>
        <w:ind w:left="120" w:right="500"/>
        <w:spacing w:after="0" w:line="250" w:lineRule="auto"/>
        <w:rPr>
          <w:sz w:val="20"/>
          <w:szCs w:val="20"/>
          <w:color w:val="auto"/>
        </w:rPr>
      </w:pPr>
      <w:r>
        <w:rPr>
          <w:rFonts w:ascii="Times New Roman" w:cs="Times New Roman" w:eastAsia="Times New Roman" w:hAnsi="Times New Roman"/>
          <w:sz w:val="18"/>
          <w:szCs w:val="18"/>
          <w:color w:val="auto"/>
        </w:rPr>
        <w:t>common stock will be between $ and $ per share. We intend to apply to list our common stock on under the symbol “ASO.”</w:t>
      </w:r>
    </w:p>
    <w:p>
      <w:pPr>
        <w:spacing w:after="0" w:line="200" w:lineRule="exact"/>
        <w:rPr>
          <w:sz w:val="20"/>
          <w:szCs w:val="20"/>
          <w:color w:val="auto"/>
        </w:rPr>
      </w:pPr>
    </w:p>
    <w:p>
      <w:pPr>
        <w:spacing w:after="0" w:line="214" w:lineRule="exact"/>
        <w:rPr>
          <w:sz w:val="20"/>
          <w:szCs w:val="20"/>
          <w:color w:val="auto"/>
        </w:rPr>
      </w:pPr>
    </w:p>
    <w:p>
      <w:pPr>
        <w:ind w:left="120" w:right="360" w:firstLine="991"/>
        <w:spacing w:after="0" w:line="276" w:lineRule="auto"/>
        <w:rPr>
          <w:sz w:val="20"/>
          <w:szCs w:val="20"/>
          <w:color w:val="auto"/>
        </w:rPr>
      </w:pPr>
      <w:r>
        <w:rPr>
          <w:rFonts w:ascii="Times New Roman" w:cs="Times New Roman" w:eastAsia="Times New Roman" w:hAnsi="Times New Roman"/>
          <w:sz w:val="17"/>
          <w:szCs w:val="17"/>
          <w:color w:val="auto"/>
        </w:rPr>
        <w:t>After the completion of this offering, investment entities owned by investment funds and other entities affiliated with Kohlberg Kravis Roberts &amp; Co. L.P. will beneficially own % of the voting power of our common stock. As a result, we will be a “controlled company” within the</w:t>
      </w:r>
    </w:p>
    <w:p>
      <w:pPr>
        <w:spacing w:after="0" w:line="1" w:lineRule="exact"/>
        <w:rPr>
          <w:sz w:val="20"/>
          <w:szCs w:val="20"/>
          <w:color w:val="auto"/>
        </w:rPr>
      </w:pPr>
    </w:p>
    <w:p>
      <w:pPr>
        <w:ind w:left="120"/>
        <w:spacing w:after="0"/>
        <w:tabs>
          <w:tab w:leader="none" w:pos="4720" w:val="left"/>
        </w:tabs>
        <w:rPr>
          <w:sz w:val="20"/>
          <w:szCs w:val="20"/>
          <w:color w:val="auto"/>
        </w:rPr>
      </w:pPr>
      <w:r>
        <w:rPr>
          <w:rFonts w:ascii="Times New Roman" w:cs="Times New Roman" w:eastAsia="Times New Roman" w:hAnsi="Times New Roman"/>
          <w:sz w:val="18"/>
          <w:szCs w:val="18"/>
          <w:color w:val="auto"/>
        </w:rPr>
        <w:t>meaning of the corporate governance standards of the</w:t>
      </w:r>
      <w:r>
        <w:rPr>
          <w:sz w:val="20"/>
          <w:szCs w:val="20"/>
          <w:color w:val="auto"/>
        </w:rPr>
        <w:tab/>
      </w:r>
      <w:r>
        <w:rPr>
          <w:rFonts w:ascii="Times New Roman" w:cs="Times New Roman" w:eastAsia="Times New Roman" w:hAnsi="Times New Roman"/>
          <w:sz w:val="18"/>
          <w:szCs w:val="18"/>
          <w:color w:val="auto"/>
        </w:rPr>
        <w:t>. See “Management—Controlled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0"/>
          <w:szCs w:val="20"/>
          <w:color w:val="auto"/>
        </w:rPr>
      </w:pPr>
    </w:p>
    <w:p>
      <w:pPr>
        <w:ind w:left="120" w:right="140" w:firstLine="99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stock involves risks. See “</w:t>
      </w:r>
      <w:hyperlink w:anchor="page31">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5"/>
                <w:szCs w:val="15"/>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15"/>
                <w:szCs w:val="15"/>
                <w:color w:val="auto"/>
              </w:rPr>
              <w:t>(1)</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(Conflicts of Interest)” for additional information regarding underwriting compensation.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 purchase up to</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shares of our</w:t>
            </w:r>
          </w:p>
        </w:tc>
      </w:tr>
      <w:tr>
        <w:trPr>
          <w:trHeight w:val="234"/>
        </w:trPr>
        <w:tc>
          <w:tcPr>
            <w:tcW w:w="10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at the initial public offering price, less underwriting discounts and commissions, to cover over-allotments, if any.</w:t>
            </w:r>
          </w:p>
        </w:tc>
      </w:tr>
      <w:tr>
        <w:trPr>
          <w:trHeight w:val="432"/>
        </w:trPr>
        <w:tc>
          <w:tcPr>
            <w:tcW w:w="84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 or about</w:t>
            </w:r>
          </w:p>
        </w:tc>
        <w:tc>
          <w:tcPr>
            <w:tcW w:w="228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 2020.</w:t>
            </w:r>
          </w:p>
        </w:tc>
      </w:tr>
      <w:tr>
        <w:trPr>
          <w:trHeight w:val="230"/>
        </w:trPr>
        <w:tc>
          <w:tcPr>
            <w:tcW w:w="4340" w:type="dxa"/>
            <w:vAlign w:val="bottom"/>
          </w:tcPr>
          <w:p>
            <w:pPr>
              <w:spacing w:after="0"/>
              <w:rPr>
                <w:sz w:val="19"/>
                <w:szCs w:val="19"/>
                <w:color w:val="auto"/>
              </w:rPr>
            </w:pPr>
          </w:p>
        </w:tc>
        <w:tc>
          <w:tcPr>
            <w:tcW w:w="2320" w:type="dxa"/>
            <w:vAlign w:val="bottom"/>
            <w:tcBorders>
              <w:bottom w:val="single" w:sz="8" w:color="auto"/>
            </w:tcBorders>
            <w:gridSpan w:val="2"/>
          </w:tcPr>
          <w:p>
            <w:pPr>
              <w:spacing w:after="0"/>
              <w:rPr>
                <w:sz w:val="19"/>
                <w:szCs w:val="19"/>
                <w:color w:val="auto"/>
              </w:rPr>
            </w:pPr>
          </w:p>
        </w:tc>
        <w:tc>
          <w:tcPr>
            <w:tcW w:w="17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7"/>
        </w:trPr>
        <w:tc>
          <w:tcPr>
            <w:tcW w:w="43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2280" w:type="dxa"/>
            <w:vAlign w:val="bottom"/>
          </w:tcPr>
          <w:p>
            <w:pPr>
              <w:spacing w:after="0"/>
              <w:rPr>
                <w:sz w:val="24"/>
                <w:szCs w:val="24"/>
                <w:color w:val="auto"/>
              </w:rPr>
            </w:pPr>
          </w:p>
        </w:tc>
      </w:tr>
      <w:tr>
        <w:trPr>
          <w:trHeight w:val="588"/>
        </w:trPr>
        <w:tc>
          <w:tcPr>
            <w:tcW w:w="4340" w:type="dxa"/>
            <w:vAlign w:val="bottom"/>
          </w:tcPr>
          <w:p>
            <w:pPr>
              <w:ind w:left="1000"/>
              <w:spacing w:after="0"/>
              <w:rPr>
                <w:sz w:val="20"/>
                <w:szCs w:val="20"/>
                <w:color w:val="auto"/>
              </w:rPr>
            </w:pPr>
            <w:r>
              <w:rPr>
                <w:rFonts w:ascii="Times New Roman" w:cs="Times New Roman" w:eastAsia="Times New Roman" w:hAnsi="Times New Roman"/>
                <w:sz w:val="29"/>
                <w:szCs w:val="29"/>
                <w:b w:val="1"/>
                <w:bCs w:val="1"/>
                <w:color w:val="auto"/>
              </w:rPr>
              <w:t>Credit Suisse</w:t>
            </w:r>
          </w:p>
        </w:tc>
        <w:tc>
          <w:tcPr>
            <w:tcW w:w="4060" w:type="dxa"/>
            <w:vAlign w:val="bottom"/>
            <w:gridSpan w:val="3"/>
          </w:tcPr>
          <w:p>
            <w:pPr>
              <w:ind w:left="480"/>
              <w:spacing w:after="0"/>
              <w:rPr>
                <w:sz w:val="20"/>
                <w:szCs w:val="20"/>
                <w:color w:val="auto"/>
              </w:rPr>
            </w:pPr>
            <w:r>
              <w:rPr>
                <w:rFonts w:ascii="Times New Roman" w:cs="Times New Roman" w:eastAsia="Times New Roman" w:hAnsi="Times New Roman"/>
                <w:sz w:val="29"/>
                <w:szCs w:val="29"/>
                <w:b w:val="1"/>
                <w:bCs w:val="1"/>
                <w:color w:val="auto"/>
              </w:rPr>
              <w:t>J.P. Morgan</w:t>
            </w:r>
          </w:p>
        </w:tc>
        <w:tc>
          <w:tcPr>
            <w:tcW w:w="2280" w:type="dxa"/>
            <w:vAlign w:val="bottom"/>
          </w:tcPr>
          <w:p>
            <w:pPr>
              <w:jc w:val="right"/>
              <w:ind w:right="1272"/>
              <w:spacing w:after="0"/>
              <w:rPr>
                <w:sz w:val="20"/>
                <w:szCs w:val="20"/>
                <w:color w:val="auto"/>
              </w:rPr>
            </w:pPr>
            <w:r>
              <w:rPr>
                <w:rFonts w:ascii="Times New Roman" w:cs="Times New Roman" w:eastAsia="Times New Roman" w:hAnsi="Times New Roman"/>
                <w:sz w:val="29"/>
                <w:szCs w:val="29"/>
                <w:b w:val="1"/>
                <w:bCs w:val="1"/>
                <w:color w:val="auto"/>
              </w:rPr>
              <w:t>KKR</w:t>
            </w:r>
          </w:p>
        </w:tc>
      </w:tr>
      <w:tr>
        <w:trPr>
          <w:trHeight w:val="533"/>
        </w:trPr>
        <w:tc>
          <w:tcPr>
            <w:tcW w:w="434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2020</w:t>
            </w:r>
          </w:p>
        </w:tc>
        <w:tc>
          <w:tcPr>
            <w:tcW w:w="17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Trademarks, Tradenames and Service Marks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Basis of Presentation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Non-GAAP Financial Measures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Letter From Our CEO</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Selected Historical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own and license a number of registered and common law trademarks and pending applications for trademark registrations in the United States, primarily through our subsidiaries, including, for example: Academy Sports + Outdoors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Magellan Outdoors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BCG</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O’rageous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Outdoor Gourmet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Unless otherwise indicated, all trademarks appearing in this prospectus are proprietary to us, our affiliates and/or licensors. This prospectus also contains trademarks, tradenames and service marks of other companies, which are the property of their respective owners. Solely for convenience, the trademarks, tradenames and service marks referred to in this prospectus may appear without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means our senior secured asset-based revolving credit facility, as described under “Description of Certain Indebtedness;”</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“Academy Sports + Outdoors,” the “Company,” “we,” “us” and “our” refer to, (1) prior to the consummation of this offering, New Academy Holding Company, LLC, a Delaware limited liability company and the current holding company for our operations, and its consolidated subsidiaries; and (2) following the consummation of this offering, Academy Sports and Outdoors, Inc. and its consolidated subsidiaries;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has the meaning set forth under “Certain Relationships and Related Party Transactions—Monitoring Agreement;”</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Managers” means Allstar Managers, LLC, an entity owned by certain current and former executives and directors of the Company;</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means in-store and e-commerce merchandise sales divided by the number of sales transactions, which indicates the average amount of a sales receipt;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“BOPIS” means our buy-online-pickup-in-store program;</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means the percentage of period-over-period net sales increase or decrease for stores open after thirteen full fiscal months and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 this prospectus regarding our comparable sales may not be comparable to similar data made available by other retailers;</w:t>
      </w:r>
    </w:p>
    <w:p>
      <w:pPr>
        <w:spacing w:after="0" w:line="88"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“Gochman Investors” means, collectively, certain investors who are family descendants of our founder, Max Gochman;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means, collectively, investment funds and other entities affiliated with Kohlberg Kravis Roberts &amp; Co. L.P.;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means, collectively, investment entities owned by KKR;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stores” means stores that have been in operation for longer than four years;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“nearest competitors” means large format sporting goods stores, traditional sporting goods stores and specialty outdoor retailers predominately within the Company’s footprint. Based on this definition and publicly available data, there are currently four retailers who the Company considers to be its nearest competitors;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sales transactions” means total quantity of sales transactions generated, whether in-store or online;</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brands” means our private label brands, which include both our own brands, as well as brands we license under exclusive license contracts;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that will take place prior to the consummation of this offering and will result in, among other things, New Academy Holding Company, LLC, the current holding company for the business described in this prospectus, being contributed to Academy Sports and Outdoors, Inc. by its unitholders and becoming a wholly owned subsidiary of Academy Sports and Outdoors, Inc.;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means our senior secured term loan facility, as described under “Description of Certain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Financial Information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New Academy Holding Company, LLC conducts (and after the consummation of this offering, Academy Sports and Outdoors, Inc. will conduct) its operations through its subsidiaries, including its indirect subsidiary, Academy, Ltd., an operating company which is doing business as “Academy Sports + Outdoors.”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“fiscal year,” “fiscal quarter”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and “Adjusted Free Cash Flow.”</w:t>
      </w:r>
    </w:p>
    <w:p>
      <w:pPr>
        <w:spacing w:after="0" w:line="180"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6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LETTER FROM OUR CEO</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Stakeholders and Future Stakeholders: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 am proud to introduce those of you who are not very familiar with, and further inform those of you who know us, to Academy Sports + Outdoors. I am excited to be part of this company and share all the great things we are accomplishing. Academy began over 80 years ago in San Antonio, Texas focusing on its customers with a powerful assortment and great value. It has evolved into a truly remarkable Sports + Outdoors emporium with the same strong focus on customers, assortment, and value.</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Having known Academy since I was growing up in Houston, I was excited to join its Board of Managers three years ago. During that time, I learned more about Academy’s opportunities. When the opportunity to become CEO was presented two years ago, I enthusiastically took the position for three major reasons:</w:t>
      </w:r>
    </w:p>
    <w:p>
      <w:pPr>
        <w:spacing w:after="0" w:line="8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unparalleled opportunity to grow its existing stores within its current footprint, new markets, and through omnichannel penetration;</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chance to improve its operational efficiencies and effectiveness across all elements of the company with an accomplished, experienced leadership team;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lead a company that has tremendous brand position and customer loyalty with an emphasis on fun, family and community.</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Leading Academy is a dream job that allows me to fill my passion for retail and connecting with customers. I have been fortunate to be part of bringing growth and improved performance to retailers in the role of President, CEO, Chairman, or Director. My current role with our strong leadership team creates a significant opportunity to enhance the culture, operations, and customer connections at Academy. We have a deep bench of excellent executives working with me, which has allowed us to achieve positive comparable sales and improving profitability and cash flow, thus helping to drive significant long-term shareholder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I began leading Academy, we have been working on several key initiatives including:</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p>
    <w:p>
      <w:pPr>
        <w:spacing w:after="0" w:line="117"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focused strategy with a clear vision to be the best with a strong positive culture. We have a dedicated staff of over 20,000 team members that are focused on serving our customers and building our company. We have put together an outstanding leadership team from within and outside the company that has transformed the company over the past two years.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p>
    <w:p>
      <w:pPr>
        <w:spacing w:after="0" w:line="11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significant actions to improve our merchandise offering, beginning with strengthening our sports and outdoors assortment quality and selection and exiting or reducing categories that were low profit or did not fit, such as toys, electronics and luggage. We developed and improved our pricing and clearance programs to ensure our value and keep our inventory fresh. In stores, we enhanced our merchandise presentation and signage to make the shopping experience more exciting. We also upgraded our planning and allocation systems to improve our in-stocks and inventory turns and allow us to target markets and stores with the right merchandise.</w:t>
      </w:r>
    </w:p>
    <w:p>
      <w:pPr>
        <w:spacing w:after="0" w:line="2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Omnichannel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had been underdeveloped in omnichannel capabilities, but we have been making major improvements to our capabilities that have shown substantial progress and effects over the past year. We have made numerous website improvements, including increased speed, simplified checkout, expanded payment options, content and product information, and search capabilities. We have increased the connection between our website and our stores through our marketing, inventory, and BOPIS.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p>
    <w:p>
      <w:pPr>
        <w:spacing w:after="0" w:line="117"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substantial enhancements in our stores, including upgrading our service levels by using new technology to hire better team members, scheduling team members to maximize their service level effectiveness, and training team members to improve selling skills and product knowledge. We have improved our supply chain operations by using a new freight system and improved freight handling processes. We have also developed and implemented a work productivity pay program that allows our distribution team members to earn more as they increase their productivity.</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you can see, we have been busy working on these and other high-value programs to improve our long-term performance. Beginning last year, we started to see improvements resulting from these initiatives. We have achieved three consecutive quarters with positive comparable sales and improving profitability and cash flow. These results have allowed us to make significant progress on our long-term goals. While we still have a great deal of work and opportunity ahead of us, we are committed to work and focus on achieving our long-range vision and objectives.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Through the years, we have concentrated on serving our customers and communities, in both good and bad times. I am proud of how our company has continued this commitment during the COVID-19 crisis, with our stores remaining open after being designated as an essential retailer and proving valuable to our customers across our footprint. Our 20,000+ team members have been nothing short of inspiring during this challenging time, which shows not only their dedication, but their ability to adapt and succeed in any environment, be it a hurricane, recession, or pandemic. We will continue to serve our customers by offering a broad, differentiated, value assortment with the service they expect from Academy that satisfies them, regardless of the situation.</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Today and going forward, we will maintain focus on our priorities and the execution necessary to achieve excellence. We have a best-in-class value offering with localized merchandising and marketing, and a strategic footprint that sets us apart from our competitors. We have proven that we are much more than a sporting goods store, as we are sought out for our extensive assortment and value by our customers, in all seasons and situations. Our customers return to our stores knowing they can count on us, time after time.</w:t>
      </w:r>
    </w:p>
    <w:p>
      <w:pPr>
        <w:spacing w:after="0" w:line="180"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are at the beginning of an incredible journey and still have much to accomplish. I know that we can and will be the best. I look forward to connecting with you and hope that you will join us as a public stakeholder in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525780</wp:posOffset>
            </wp:positionV>
            <wp:extent cx="1113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Ken C. Hicks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253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metropolitan statistical areas, or MSAs.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253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60" w:lineRule="exact"/>
        <w:rPr>
          <w:sz w:val="20"/>
          <w:szCs w:val="20"/>
          <w:color w:val="auto"/>
        </w:rPr>
      </w:pPr>
    </w:p>
    <w:p>
      <w:pPr>
        <w:ind w:left="300" w:right="360"/>
        <w:spacing w:after="0" w:line="266" w:lineRule="auto"/>
        <w:rPr>
          <w:sz w:val="20"/>
          <w:szCs w:val="20"/>
          <w:color w:val="auto"/>
        </w:rPr>
      </w:pPr>
      <w:r>
        <w:rPr>
          <w:rFonts w:ascii="Times New Roman" w:cs="Times New Roman" w:eastAsia="Times New Roman" w:hAnsi="Times New Roman"/>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12 months of opening a store.</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03" w:lineRule="exact"/>
        <w:rPr>
          <w:sz w:val="20"/>
          <w:szCs w:val="20"/>
          <w:color w:val="auto"/>
        </w:rPr>
      </w:pPr>
    </w:p>
    <w:p>
      <w:pPr>
        <w:ind w:left="300" w:right="428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300" w:right="422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7" w:lineRule="exact"/>
        <w:rPr>
          <w:sz w:val="20"/>
          <w:szCs w:val="20"/>
          <w:color w:val="auto"/>
        </w:rPr>
      </w:pPr>
    </w:p>
    <w:p>
      <w:pPr>
        <w:ind w:left="300" w:right="20" w:firstLine="426"/>
        <w:spacing w:after="0" w:line="273" w:lineRule="auto"/>
        <w:rPr>
          <w:sz w:val="20"/>
          <w:szCs w:val="20"/>
          <w:color w:val="auto"/>
        </w:rPr>
      </w:pPr>
      <w:r>
        <w:rPr>
          <w:rFonts w:ascii="Times New Roman" w:cs="Times New Roman" w:eastAsia="Times New Roman" w:hAnsi="Times New Roman"/>
          <w:sz w:val="17"/>
          <w:szCs w:val="17"/>
          <w:color w:val="auto"/>
        </w:rPr>
        <w:t>Our stores deliver industry-leading unit sales and profitability, including 2019 net sales per store of $18.7 million, which is nearly two times greater than our nearest competitors, average sales per square foot of $264, which is more productive than our nearest competitors, and average EBITDA per store of $1.3 million, which represents a more profitable store than our nearest competitors.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406% during 2019 and the first quarter 2020,</w:t>
      </w: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793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6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respectively. Our e-commerce sales represented 5% and 13% of our merchandise sales in 2019 and the first quarter 2020, respectively. We are deepening our customer relationships, further integrating our e-commerce platform with our stores and driving operating efficiencies by developing our omnichannel capabilities. Our BOPIS program, launched in 2019, accounted for approximately 24% and 48% of our e-commerce sales during 2019 and the first quarter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30% of our e-commerce sales during first quarter 2020 coming from new households.</w:t>
      </w:r>
    </w:p>
    <w:p>
      <w:pPr>
        <w:spacing w:after="0" w:line="18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May 2, 2020 with approximately $4.9 billion in sales, $85 million of net income and $326 million in Adjusted EBITDA. Although comparable sales have been negative for the past three fiscal years, we have seen three consecutive quarters of positive comparable sales as of the first quarter 2020. In addition, first quarter 2020 reflected our third consecutive quarter of Adjusted EBITDA growth and our fourth consecutive quarter of Adjusted Free Cash Flow growth. We earned net income of $21 million, $120 million and $85 million and Pro Forma Adjusted Net Income of $43 million, $76 million and $82 million in 2018, 2019 and the twelve months ended May 2, 2020, respectively, which included $10 million of net loss and $0.44 million of Pro Forma Adjusted Net Income for first quarter 2020. See “—Summary Historical Consolidated Financial and Other Data” for definitions of Adjusted EBITDA, Pro Forma Adjusted Net Income and Adjusted Free Cash Flow and reconciliations of Adjusted EBITDA and Pro Forma Adjusted Net Income to net income (loss) and Adjusted Free Cash Flow to net cash provided by operating activities.</w:t>
      </w:r>
    </w:p>
    <w:p>
      <w:pPr>
        <w:spacing w:after="0" w:line="211" w:lineRule="exact"/>
        <w:rPr>
          <w:sz w:val="20"/>
          <w:szCs w:val="20"/>
          <w:color w:val="auto"/>
        </w:rPr>
      </w:pPr>
    </w:p>
    <w:p>
      <w:pPr>
        <w:ind w:left="1360"/>
        <w:spacing w:after="0"/>
        <w:tabs>
          <w:tab w:leader="none" w:pos="4840" w:val="left"/>
          <w:tab w:leader="none" w:pos="822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three consecutive quarters ended May 2, 2020, and created a foundation for our future growth. These key initiatives include:</w:t>
      </w:r>
    </w:p>
    <w:p>
      <w:pPr>
        <w:spacing w:after="0" w:line="79" w:lineRule="exact"/>
        <w:rPr>
          <w:sz w:val="20"/>
          <w:szCs w:val="20"/>
          <w:color w:val="auto"/>
        </w:rPr>
      </w:pPr>
    </w:p>
    <w:p>
      <w:pPr>
        <w:ind w:left="1240" w:right="180" w:hanging="415"/>
        <w:spacing w:after="0" w:line="25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jc w:val="both"/>
        <w:ind w:left="1240" w:right="40" w:hanging="415"/>
        <w:spacing w:after="0" w:line="26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176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we have built a profitable omnichannel business that is poised for continued growth and improvement of capabilities.</w:t>
      </w:r>
    </w:p>
    <w:p>
      <w:pPr>
        <w:spacing w:after="0" w:line="129" w:lineRule="exact"/>
        <w:rPr>
          <w:sz w:val="20"/>
          <w:szCs w:val="20"/>
          <w:color w:val="auto"/>
        </w:rPr>
      </w:pPr>
    </w:p>
    <w:p>
      <w:pPr>
        <w:ind w:left="1240" w:right="46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 resulted in an improved customer shopping experience and increased sales.</w:t>
      </w:r>
    </w:p>
    <w:p>
      <w:pPr>
        <w:spacing w:after="0" w:line="63" w:lineRule="exact"/>
        <w:rPr>
          <w:rFonts w:ascii="Times New Roman" w:cs="Times New Roman" w:eastAsia="Times New Roman" w:hAnsi="Times New Roman"/>
          <w:sz w:val="18"/>
          <w:szCs w:val="18"/>
          <w:color w:val="auto"/>
        </w:rPr>
      </w:pPr>
    </w:p>
    <w:p>
      <w:pPr>
        <w:ind w:left="1240" w:right="22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240" w:right="10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240" w:right="20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2.96x as of first quarter 2020.</w:t>
      </w:r>
    </w:p>
    <w:p>
      <w:pPr>
        <w:spacing w:after="0" w:line="85"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(40,000 square feet) in Dallas, Texas in 2019. We believe this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smaller format store allows us to open new stores in urban and less dense areas. During the first quarter 2020, this smaller format store experienced approximately 27% higher sales per square foot and 19% higher inventory turns than the average of all Academy stores which had $62 sales per square foot and 0.8% inventory turns. We evaluate performance inclusive of store sales, as well as BOPIS sales and other fulfilled sales from the location.</w:t>
      </w:r>
    </w:p>
    <w:p>
      <w:pPr>
        <w:spacing w:after="0" w:line="185"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510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60"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&amp; Internet retailers</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92"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and the largest regional sporting goods retailer in the southern United States, with 2019 net sales of $4.8 billion. Management has made this determination on the basis that in 2019 we derived higher total revenue from our stores located in the 2019 U.S. Census Bureau’s “south” region than any other sporting goods and outdoor recreation retailer in this region. We believe our stores are well positioned geographically, with a strong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773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60"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growing presence in six of the top 10 fastest-growing MSAs, including Dallas, Houston, Atlanta, Austin, Charlotte and San Antonio. As of May 2, 2020, 29% of our stores are in four of the top five fastest-growing MSAs. This deep penetration of our established markets results in high customer awareness of, and loyalty to, the Academy name and frequent visits to our conveniently located stores. Our stores deliver industry-leading unit sales and profitability economics, including 2019 net sales per store that are nearly two times greater than our nearest competitors.</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Yeti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0"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geographical footprint.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94"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–passionate local experts who are specially recruited and trained for category-specific positions.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to share experiences and obtain further advice and assistance.</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047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6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and their customers.</w:t>
      </w:r>
    </w:p>
    <w:p>
      <w:pPr>
        <w:spacing w:after="0" w:line="180"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three consecutive quarters of positive comparable sales as of the first quarter 2020, Adjusted EBITDA growth to $323 million in 2019, or 8%, compared to 2018, and Adjusted Free Cash Flow growth of $99 million in 2018 to $197 million in 2019.</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3.8x as of end of first quarter 2020 compared to 5.2x in both 2017 and 2018 and 4.1x in 2019.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80" w:right="1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184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6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but one of our mature stores (stores opened longer than four years) was profitable on a four-wall basis in 2019 and our new stores have average payback periods of four to five years.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300" w:right="80" w:firstLine="426"/>
        <w:spacing w:after="0" w:line="277" w:lineRule="auto"/>
        <w:rPr>
          <w:sz w:val="20"/>
          <w:szCs w:val="20"/>
          <w:color w:val="auto"/>
        </w:rPr>
      </w:pPr>
      <w:r>
        <w:rPr>
          <w:rFonts w:ascii="Times New Roman" w:cs="Times New Roman" w:eastAsia="Times New Roman" w:hAnsi="Times New Roman"/>
          <w:sz w:val="17"/>
          <w:szCs w:val="17"/>
          <w:color w:val="auto"/>
        </w:rPr>
        <w:t>Our e-commerce sales represented 5% and 13% of our merchandise sales for 2019 and for the first quarter 2020, respectively.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68"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quarter 2020, our omnichannel customers spent 50% more than our store-only customers. Since we launched our BOPIS program in 2019, we have seen significant e-commerce penetration that generates higher average order value and incremental in-store purchases.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8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322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6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quarter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2.96x as of first quarter 2020, and has helped us to identify and exit certain product categories, such as luggage and toys.</w:t>
      </w:r>
    </w:p>
    <w:p>
      <w:pPr>
        <w:spacing w:after="0" w:line="187"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89"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While we are the leading sporting goods retailer in the southern United States, we have significant growth opportunities in both our core markets and outside of our footprint. We believe our real estate strategy has</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7221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7221855"/>
                    </a:xfrm>
                    <a:prstGeom prst="rect">
                      <a:avLst/>
                    </a:prstGeom>
                    <a:noFill/>
                  </pic:spPr>
                </pic:pic>
              </a:graphicData>
            </a:graphic>
          </wp:anchor>
        </w:drawing>
      </w:r>
    </w:p>
    <w:p>
      <w:pPr>
        <w:spacing w:after="0" w:line="260"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positioned us well for further expansion, and our track record has demonstrated that we can open and operate stores profitably. Our disciplined approach to new store openings has allowed most of our stores to achieve profitability within the first 12 months of opening a store. As of the end of first quarter 2020, we had 209 mature stores, and all but one were profitable on a four-wall basis for the 12 months ended May 2, 2020. We expect to open eight to 10 new stores per year starting in 2022, which is similar to our growth rates from 2018 to 2019.</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store footprint in markets we would consider.</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store footprint in markets we would consider.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store footprint in markets we would consider.</w:t>
      </w:r>
    </w:p>
    <w:p>
      <w:pPr>
        <w:spacing w:after="0" w:line="1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7461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7461885"/>
                    </a:xfrm>
                    <a:prstGeom prst="rect">
                      <a:avLst/>
                    </a:prstGeom>
                    <a:noFill/>
                  </pic:spPr>
                </pic:pic>
              </a:graphicData>
            </a:graphic>
          </wp:anchor>
        </w:drawing>
      </w:r>
    </w:p>
    <w:p>
      <w:pPr>
        <w:spacing w:after="0" w:line="260"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this Offering</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5" w:lineRule="exact"/>
        <w:rPr>
          <w:sz w:val="20"/>
          <w:szCs w:val="20"/>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1240" w:right="80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the applicable stock exchange rules and, as a result, qualifying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controlling us and their interests conflicting with ours or yours in the future.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1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w:t>
            </w:r>
          </w:p>
        </w:tc>
      </w:tr>
      <w:tr>
        <w:trPr>
          <w:trHeight w:val="22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up to</w:t>
            </w: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additional shares of our common stock at the initial public offering</w:t>
            </w:r>
          </w:p>
        </w:tc>
      </w:tr>
      <w:tr>
        <w:trPr>
          <w:trHeight w:val="234"/>
        </w:trPr>
        <w:tc>
          <w:tcPr>
            <w:tcW w:w="3980" w:type="dxa"/>
            <w:vAlign w:val="bottom"/>
          </w:tcPr>
          <w:p>
            <w:pPr>
              <w:spacing w:after="0"/>
              <w:rPr>
                <w:sz w:val="20"/>
                <w:szCs w:val="20"/>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price, less underwriting discounts and commissions, to cover over-allotments, if any.</w:t>
            </w:r>
          </w:p>
        </w:tc>
      </w:tr>
      <w:tr>
        <w:trPr>
          <w:trHeight w:val="43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1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shares (or</w:t>
            </w: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shares if the underwriters exercise in full their over-allotment</w:t>
            </w:r>
          </w:p>
        </w:tc>
      </w:tr>
      <w:tr>
        <w:trPr>
          <w:trHeight w:val="238"/>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w:t>
            </w:r>
          </w:p>
        </w:tc>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w:t>
            </w:r>
          </w:p>
        </w:tc>
      </w:tr>
      <w:tr>
        <w:trPr>
          <w:trHeight w:val="216"/>
        </w:trPr>
        <w:tc>
          <w:tcPr>
            <w:tcW w:w="398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million, if the underwriters exercise in full their over-</w:t>
            </w:r>
          </w:p>
        </w:tc>
      </w:tr>
      <w:tr>
        <w:trPr>
          <w:trHeight w:val="216"/>
        </w:trPr>
        <w:tc>
          <w:tcPr>
            <w:tcW w:w="3980" w:type="dxa"/>
            <w:vAlign w:val="bottom"/>
          </w:tcPr>
          <w:p>
            <w:pPr>
              <w:spacing w:after="0"/>
              <w:rPr>
                <w:sz w:val="18"/>
                <w:szCs w:val="18"/>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allotment option), assuming an initial public offering price of $</w:t>
            </w:r>
          </w:p>
        </w:tc>
        <w:tc>
          <w:tcPr>
            <w:tcW w:w="1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 share, which is the</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expenses payable by us. For a sensitivity analysis as to the offering price and other</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information, see “Use of Proceeds.”</w:t>
            </w:r>
          </w:p>
        </w:tc>
        <w:tc>
          <w:tcPr>
            <w:tcW w:w="1840" w:type="dxa"/>
            <w:vAlign w:val="bottom"/>
          </w:tcPr>
          <w:p>
            <w:pPr>
              <w:spacing w:after="0"/>
              <w:rPr>
                <w:sz w:val="20"/>
                <w:szCs w:val="20"/>
                <w:color w:val="auto"/>
              </w:rPr>
            </w:pPr>
          </w:p>
        </w:tc>
      </w:tr>
      <w:tr>
        <w:trPr>
          <w:trHeight w:val="441"/>
        </w:trPr>
        <w:tc>
          <w:tcPr>
            <w:tcW w:w="3980" w:type="dxa"/>
            <w:vAlign w:val="bottom"/>
          </w:tcPr>
          <w:p>
            <w:pPr>
              <w:spacing w:after="0"/>
              <w:rPr>
                <w:sz w:val="24"/>
                <w:szCs w:val="24"/>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w:t>
            </w:r>
          </w:p>
        </w:tc>
      </w:tr>
      <w:tr>
        <w:trPr>
          <w:trHeight w:val="234"/>
        </w:trPr>
        <w:tc>
          <w:tcPr>
            <w:tcW w:w="3980" w:type="dxa"/>
            <w:vAlign w:val="bottom"/>
          </w:tcPr>
          <w:p>
            <w:pPr>
              <w:spacing w:after="0"/>
              <w:rPr>
                <w:sz w:val="20"/>
                <w:szCs w:val="20"/>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repayment of certain indebtedness, as will be determined prior to this offering.</w:t>
            </w:r>
          </w:p>
        </w:tc>
      </w:tr>
      <w:tr>
        <w:trPr>
          <w:trHeight w:val="44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common stock. Because KKR Capital Markets LLC, an affiliate of KKR, is an underwriter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this offering and its affiliates own in excess of 10% of our issued and outstanding</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common stock, KKR Capital Markets LLC is deemed to have a ‘‘conflict of interest’’</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Rule 5121, or Rule 5121, of the Financial Industry Regulatory Authority, Inc., or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FINRA. Accordingly, this offering is being made in compliance with the requirements of</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Rule 5121. Pursuant to that rule, the appointment of a ‘‘qualified independent underwriter’’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is not required in connection with this offering as the member primarily responsible for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managing the public offering does not have a conflict of interest, is not an affiliate of any</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member that has a conflict of interest and meets the requirements of paragraph (f)(12)(E)</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of Rule 5121. See ‘‘Underwriting (Conflicts of Interest).”</w:t>
            </w:r>
          </w:p>
        </w:tc>
        <w:tc>
          <w:tcPr>
            <w:tcW w:w="1840" w:type="dxa"/>
            <w:vAlign w:val="bottom"/>
          </w:tcPr>
          <w:p>
            <w:pPr>
              <w:spacing w:after="0"/>
              <w:rPr>
                <w:sz w:val="20"/>
                <w:szCs w:val="20"/>
                <w:color w:val="auto"/>
              </w:rPr>
            </w:pP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tc>
        <w:tc>
          <w:tcPr>
            <w:tcW w:w="6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After the completion of this offering, KKR Stockholders will collectively beneficially own</w:t>
            </w:r>
          </w:p>
        </w:tc>
      </w:tr>
    </w:tbl>
    <w:p>
      <w:pPr>
        <w:ind w:left="4340" w:right="20" w:firstLine="355"/>
        <w:spacing w:after="0" w:line="255" w:lineRule="auto"/>
        <w:tabs>
          <w:tab w:leader="none" w:pos="4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voting power of our common stock. We currently intend to avail ourselves of the controlled company exemption under the corporate governance standards of the applicable stock exchange.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473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7"/>
          <w:szCs w:val="17"/>
          <w:color w:val="auto"/>
        </w:rPr>
        <w:t>We have no current plans to pay dividends on our common stock. Any decision to declare</w:t>
      </w:r>
    </w:p>
    <w:p>
      <w:pPr>
        <w:spacing w:after="0" w:line="31" w:lineRule="exact"/>
        <w:rPr>
          <w:sz w:val="20"/>
          <w:szCs w:val="20"/>
          <w:color w:val="auto"/>
        </w:rPr>
      </w:pPr>
    </w:p>
    <w:p>
      <w:pPr>
        <w:ind w:left="4340" w:right="20"/>
        <w:spacing w:after="0" w:line="253" w:lineRule="auto"/>
        <w:rPr>
          <w:sz w:val="20"/>
          <w:szCs w:val="20"/>
          <w:color w:val="auto"/>
        </w:rPr>
      </w:pPr>
      <w:r>
        <w:rPr>
          <w:rFonts w:ascii="Times New Roman" w:cs="Times New Roman" w:eastAsia="Times New Roman" w:hAnsi="Times New Roman"/>
          <w:sz w:val="18"/>
          <w:szCs w:val="18"/>
          <w:color w:val="auto"/>
        </w:rPr>
        <w:t>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21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shares of our common stock involves a high degree of risk. See “Risk Factors”</w:t>
      </w:r>
    </w:p>
    <w:p>
      <w:pPr>
        <w:spacing w:after="0" w:line="31" w:lineRule="exact"/>
        <w:rPr>
          <w:sz w:val="20"/>
          <w:szCs w:val="20"/>
          <w:color w:val="auto"/>
        </w:rPr>
      </w:pPr>
    </w:p>
    <w:p>
      <w:pPr>
        <w:ind w:left="4340" w:right="160"/>
        <w:spacing w:after="0" w:line="260" w:lineRule="auto"/>
        <w:rPr>
          <w:sz w:val="20"/>
          <w:szCs w:val="20"/>
          <w:color w:val="auto"/>
        </w:rPr>
      </w:pPr>
      <w:r>
        <w:rPr>
          <w:rFonts w:ascii="Times New Roman" w:cs="Times New Roman" w:eastAsia="Times New Roman" w:hAnsi="Times New Roman"/>
          <w:sz w:val="18"/>
          <w:szCs w:val="18"/>
          <w:color w:val="auto"/>
        </w:rPr>
        <w:t>for a discussion of factors you should carefully consider before investing in shares of our common stock.</w:t>
      </w:r>
    </w:p>
    <w:p>
      <w:pPr>
        <w:sectPr>
          <w:pgSz w:w="11900" w:h="16838" w:orient="portrait"/>
          <w:cols w:equalWidth="0" w:num="1">
            <w:col w:w="10900"/>
          </w:cols>
          <w:pgMar w:left="320" w:top="455" w:right="679" w:bottom="1440" w:gutter="0" w:footer="0" w:header="0"/>
        </w:sectPr>
      </w:pPr>
    </w:p>
    <w:p>
      <w:pPr>
        <w:spacing w:after="0" w:line="204"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a discussion of certain U.S. federal income and estate tax consequences that may be relevant to non-U.S. stockholders, see “Material U.S. Federal Income and Estate Tax Consequences to Non-U.S. Holders.”</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tabs>
          <w:tab w:leader="none" w:pos="1620" w:val="left"/>
          <w:tab w:leader="none" w:pos="4320" w:val="left"/>
        </w:tabs>
        <w:rPr>
          <w:sz w:val="20"/>
          <w:szCs w:val="20"/>
          <w:color w:val="auto"/>
        </w:rPr>
      </w:pPr>
      <w:r>
        <w:rPr>
          <w:rFonts w:ascii="Times New Roman" w:cs="Times New Roman" w:eastAsia="Times New Roman" w:hAnsi="Times New Roman"/>
          <w:sz w:val="18"/>
          <w:szCs w:val="18"/>
          <w:b w:val="1"/>
          <w:bCs w:val="1"/>
          <w:color w:val="auto"/>
        </w:rPr>
        <w:t>Proposed</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color w:val="auto"/>
        </w:rPr>
        <w:t>“ASO”.</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this prospectus reflects and assumes:</w:t>
      </w:r>
    </w:p>
    <w:p>
      <w:pPr>
        <w:spacing w:after="0" w:line="131" w:lineRule="exact"/>
        <w:rPr>
          <w:sz w:val="20"/>
          <w:szCs w:val="20"/>
          <w:color w:val="auto"/>
        </w:rPr>
      </w:pPr>
    </w:p>
    <w:p>
      <w:pPr>
        <w:ind w:left="1240" w:hanging="52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price of $ per share of common stock, which is the midpoint of the estimated price range set forth on the cover page of this prospectus; and</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immediately prior to the consummation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excludes:</w:t>
      </w:r>
    </w:p>
    <w:p>
      <w:pPr>
        <w:spacing w:after="0" w:line="131" w:lineRule="exact"/>
        <w:rPr>
          <w:sz w:val="20"/>
          <w:szCs w:val="20"/>
          <w:color w:val="auto"/>
        </w:rPr>
      </w:pPr>
    </w:p>
    <w:p>
      <w:pPr>
        <w:jc w:val="both"/>
        <w:ind w:left="1240" w:right="280" w:hanging="523"/>
        <w:spacing w:after="0" w:line="266" w:lineRule="auto"/>
        <w:tabs>
          <w:tab w:leader="none" w:pos="1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and/or vesting of existing equity awards under the New Academy Holding Company, LLC 2011 Unit Incentive Plan, or the 2011 Equity Plan. See “Executive Compensation—Equity Compensation Plans— 2011 Equity Plan;”</w:t>
      </w:r>
    </w:p>
    <w:p>
      <w:pPr>
        <w:spacing w:after="0" w:line="81" w:lineRule="exact"/>
        <w:rPr>
          <w:rFonts w:ascii="Times New Roman" w:cs="Times New Roman" w:eastAsia="Times New Roman" w:hAnsi="Times New Roman"/>
          <w:sz w:val="18"/>
          <w:szCs w:val="18"/>
          <w:color w:val="auto"/>
        </w:rPr>
      </w:pPr>
    </w:p>
    <w:p>
      <w:pPr>
        <w:ind w:left="1240" w:right="20" w:hanging="523"/>
        <w:spacing w:after="0" w:line="266" w:lineRule="auto"/>
        <w:tabs>
          <w:tab w:leader="none" w:pos="1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new 2020 Omnibus Incentive Plan, or the 2020 Equity Plan, which we intend to adopt in connection with this offering. See “Executive Compensation—Equity Compensation Plans—2020 Equity Plan;” and</w:t>
      </w:r>
    </w:p>
    <w:p>
      <w:pPr>
        <w:spacing w:after="0" w:line="81" w:lineRule="exact"/>
        <w:rPr>
          <w:rFonts w:ascii="Times New Roman" w:cs="Times New Roman" w:eastAsia="Times New Roman" w:hAnsi="Times New Roman"/>
          <w:sz w:val="18"/>
          <w:szCs w:val="18"/>
          <w:color w:val="auto"/>
        </w:rPr>
      </w:pPr>
    </w:p>
    <w:p>
      <w:pPr>
        <w:ind w:left="1240" w:right="60" w:hanging="523"/>
        <w:spacing w:after="0" w:line="266" w:lineRule="auto"/>
        <w:tabs>
          <w:tab w:leader="none" w:pos="1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new 2020 Employee Stock Purchase Plan, or the ESPP, which we intend to adopt in connection with this offering.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4872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340" w:firstLine="426"/>
        <w:spacing w:after="0" w:line="258" w:lineRule="auto"/>
        <w:rPr>
          <w:sz w:val="20"/>
          <w:szCs w:val="20"/>
          <w:color w:val="auto"/>
        </w:rPr>
      </w:pPr>
      <w:r>
        <w:rPr>
          <w:rFonts w:ascii="Times New Roman" w:cs="Times New Roman" w:eastAsia="Times New Roman" w:hAnsi="Times New Roman"/>
          <w:sz w:val="18"/>
          <w:szCs w:val="18"/>
          <w:color w:val="auto"/>
        </w:rPr>
        <w:t>Set forth below is the summary historical consolidated financial and other data for New Academy Holding Company, LLC and its subsidiaries. The summary historical financial data for 2019, 2018 and 2017 has been derived from our audited consolidated financial statements included elsewhere in this prospectus. The summary historical financial data as of May 2, 2020 and for the thirteen weeks ended May 2, 2020 and May 4,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83"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0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60" w:type="dxa"/>
            <w:vAlign w:val="bottom"/>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Period length</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4,829,897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4,783,893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4,835,582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1,136,301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3,398,743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3,415,941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3,436,618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1,239,002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r>
              <w:rPr>
                <w:rFonts w:ascii="Times New Roman" w:cs="Times New Roman" w:eastAsia="Times New Roman" w:hAnsi="Times New Roman"/>
                <w:sz w:val="15"/>
                <w:szCs w:val="15"/>
                <w:color w:val="auto"/>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664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per share amounts and store data)</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(loss) per share of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 of common stock</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1,012,680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1,039,439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4,772,325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1,958,757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198,481</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(66,783)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(115,901)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(123,192)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square feet at end of period (in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(5)</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15"/>
                <w:szCs w:val="15"/>
                <w:color w:val="auto"/>
              </w:rPr>
              <w:t>(5)</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57,774</w:t>
            </w: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Net Income (Loss)</w:t>
            </w:r>
            <w:r>
              <w:rPr>
                <w:rFonts w:ascii="Times New Roman" w:cs="Times New Roman" w:eastAsia="Times New Roman" w:hAnsi="Times New Roman"/>
                <w:sz w:val="15"/>
                <w:szCs w:val="15"/>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15"/>
                <w:szCs w:val="15"/>
                <w:color w:val="auto"/>
              </w:rPr>
              <w:t>(5)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(50,486)</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720" w:right="14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and 2017, we repurchased principal on our Term Loan Facility, which was trading at a discount and recognized a gain, net of the write-off of related deferred loan costs. In 2019, we repurchased a total of $147.7 million of principal for $104.6 million in open market transactions and recognized a related net gain of $42.3 million. In 2017, we repurchased $26.2 million of principal for $19.7 million in open market transactions and recognized a related net gain of $6.3 million.</w:t>
      </w:r>
    </w:p>
    <w:p>
      <w:pPr>
        <w:spacing w:after="0" w:line="1" w:lineRule="exact"/>
        <w:rPr>
          <w:rFonts w:ascii="Times New Roman" w:cs="Times New Roman" w:eastAsia="Times New Roman" w:hAnsi="Times New Roman"/>
          <w:sz w:val="18"/>
          <w:szCs w:val="18"/>
          <w:color w:val="auto"/>
        </w:rPr>
      </w:pPr>
    </w:p>
    <w:p>
      <w:pPr>
        <w:ind w:left="720" w:right="60" w:hanging="422"/>
        <w:spacing w:after="0" w:line="253"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700" w:right="1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0" w:lineRule="exact"/>
        <w:rPr>
          <w:sz w:val="20"/>
          <w:szCs w:val="20"/>
          <w:color w:val="auto"/>
        </w:rPr>
      </w:pPr>
    </w:p>
    <w:p>
      <w:pPr>
        <w:ind w:left="720" w:right="440" w:hanging="422"/>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720" w:right="20" w:hanging="422"/>
        <w:spacing w:after="0" w:line="267"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71" w:lineRule="exact"/>
        <w:rPr>
          <w:rFonts w:ascii="Times New Roman" w:cs="Times New Roman" w:eastAsia="Times New Roman" w:hAnsi="Times New Roman"/>
          <w:sz w:val="17"/>
          <w:szCs w:val="17"/>
          <w:color w:val="auto"/>
        </w:rPr>
      </w:pPr>
    </w:p>
    <w:p>
      <w:pPr>
        <w:ind w:left="72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81" w:lineRule="exact"/>
        <w:rPr>
          <w:rFonts w:ascii="Times New Roman" w:cs="Times New Roman" w:eastAsia="Times New Roman" w:hAnsi="Times New Roman"/>
          <w:sz w:val="17"/>
          <w:szCs w:val="17"/>
          <w:color w:val="auto"/>
        </w:rPr>
      </w:pPr>
    </w:p>
    <w:p>
      <w:pPr>
        <w:ind w:left="7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320" w:top="455" w:right="7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793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60" w:lineRule="exact"/>
        <w:rPr>
          <w:sz w:val="20"/>
          <w:szCs w:val="20"/>
          <w:color w:val="auto"/>
        </w:rPr>
      </w:pPr>
    </w:p>
    <w:p>
      <w:pPr>
        <w:ind w:left="720" w:right="220"/>
        <w:spacing w:after="0" w:line="282" w:lineRule="auto"/>
        <w:rPr>
          <w:sz w:val="20"/>
          <w:szCs w:val="20"/>
          <w:color w:val="auto"/>
        </w:rPr>
      </w:pPr>
      <w:r>
        <w:rPr>
          <w:rFonts w:ascii="Times New Roman" w:cs="Times New Roman" w:eastAsia="Times New Roman" w:hAnsi="Times New Roman"/>
          <w:sz w:val="18"/>
          <w:szCs w:val="18"/>
          <w:color w:val="auto"/>
        </w:rPr>
        <w:t>primarily relying on our GAAP results in addition to using Adjusted EBITDA, Adjusted Net Income (Loss), Pro Forma Adjusted Net Income (Loss) and Adjusted Free Cash Flow supplementally.</w:t>
      </w:r>
    </w:p>
    <w:p>
      <w:pPr>
        <w:spacing w:after="0" w:line="54" w:lineRule="exact"/>
        <w:rPr>
          <w:sz w:val="20"/>
          <w:szCs w:val="20"/>
          <w:color w:val="auto"/>
        </w:rPr>
      </w:pPr>
    </w:p>
    <w:p>
      <w:pPr>
        <w:ind w:left="720" w:right="38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240" w:right="44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240" w:right="80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240" w:right="280" w:hanging="523"/>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240" w:right="38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240" w:right="420" w:hanging="523"/>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1" w:lineRule="exact"/>
        <w:rPr>
          <w:rFonts w:ascii="Times New Roman" w:cs="Times New Roman" w:eastAsia="Times New Roman" w:hAnsi="Times New Roman"/>
          <w:sz w:val="18"/>
          <w:szCs w:val="18"/>
          <w:color w:val="auto"/>
        </w:rPr>
      </w:pPr>
    </w:p>
    <w:p>
      <w:pPr>
        <w:ind w:left="1240" w:right="86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54" w:lineRule="exact"/>
        <w:rPr>
          <w:sz w:val="20"/>
          <w:szCs w:val="20"/>
          <w:color w:val="auto"/>
        </w:rPr>
      </w:pPr>
    </w:p>
    <w:p>
      <w:pPr>
        <w:ind w:left="720" w:right="50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162"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$ 120,043</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58,501</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$(10,020)</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108,652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24,522</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131,816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133,281</w:t>
            </w: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27,447</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29,784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(g)</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(7,745)</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$ 322,814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300,259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$ 53,257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$ 49,589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5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79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120,043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(10,020)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101,469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(25,542)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(14,649)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(18,934)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Adjusted 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75,927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hanging="422"/>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720" w:right="54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720" w:right="22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ind w:left="720" w:hanging="422"/>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9"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720" w:right="92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720" w:right="2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720" w:right="60" w:hanging="422"/>
        <w:spacing w:after="0" w:line="253"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1701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1701165"/>
                    </a:xfrm>
                    <a:prstGeom prst="rect">
                      <a:avLst/>
                    </a:prstGeom>
                    <a:noFill/>
                  </pic:spPr>
                </pic:pic>
              </a:graphicData>
            </a:graphic>
          </wp:anchor>
        </w:drawing>
      </w:r>
    </w:p>
    <w:p>
      <w:pPr>
        <w:spacing w:after="0" w:line="260"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20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7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$ 263,669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$90,756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(115,901)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(9,926)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$ 196,886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99,454</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(32,546)</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80,830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(50,486)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volatility;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Increasing volatility in financial markets may cause some of the aforementioned conditions to change with even greater degree of frequency and magnitude. In addition, the recent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62"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85"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media and electronics-driven leisure activities;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rising fuel prices, rising participation fees and rising sporting license fees;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may adversely affect our business and financial results.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9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the recent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92"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multiple rounds of U.S. tariffs on Chinese goods taking effect. Recently, the Trump administration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67" w:lineRule="exact"/>
        <w:rPr>
          <w:sz w:val="20"/>
          <w:szCs w:val="20"/>
          <w:color w:val="auto"/>
        </w:rPr>
      </w:pPr>
    </w:p>
    <w:p>
      <w:pPr>
        <w:ind w:left="1080" w:right="1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other archery equipment, knives, deer stands and other hunting equipment, trampolines, wheeled goods such as bicycles and ride-on toys, certain merchandise qualifying as hazardous material and other products;</w:t>
      </w:r>
    </w:p>
    <w:p>
      <w:pPr>
        <w:spacing w:after="0" w:line="67" w:lineRule="exact"/>
        <w:rPr>
          <w:sz w:val="20"/>
          <w:szCs w:val="20"/>
          <w:color w:val="auto"/>
        </w:rPr>
      </w:pPr>
    </w:p>
    <w:p>
      <w:pPr>
        <w:ind w:left="1080" w:right="44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owned brand products;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 and</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may be subjected to claims and lawsuits, including potential class actions, relating to our policies and practices on the sale of firearms, ammunition, or related accessories. We may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5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9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9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outsource certain business services and solutions, and rely on the third-party vendors of these business services and solutions, to support a variety of our business functions, including portions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287"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94"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maintain investments necessary for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owned brand merchandise;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67"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(such as snow storms, hurricanes, tornadoes, and floods);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 or public health pandemics) in or affecting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new product introduction;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competitors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6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to meet our labor needs.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9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geographical footprint suffers an economic downturn or any other adverse regional event, there could be an adverse impact on our net sales and results of operations and our ability to implement our planned expansion program.</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key executives could have a material adverse effect on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284"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May 2, 2020, we had approximately $1.5 billion outstanding under the Term Loan Facility. As of May 2, 2020, we had borrowings of $500.0 million outstanding under the ABL Facility, an available borrowing capacity under the ABL Facility of approximately $270.2 million (which is subject to customary borrowing conditions, including a borrowing base), and outstanding letters of credit of $17.3 million, $15.9 million of which were issued under the ABL Facility.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substantial portion of our cash flows to debt service payments. The Term Loan Facility requires quarterly principal and cash interest payments through June 30, 2022. The ABL Facility matures on May 22, 2023, subject to a springing maturity clause which is triggered 91 days before the July 2, 2022 maturity of the Term Loan Facility should it not be paid off or extended at least 91 days beyond the May 22, 2023 maturity date of the ABL Facility.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substantial indebtedness reduces the funds that would otherwise be available for operations, future business opportunities and payments of our debt obligations and limits our ability to:</w:t>
      </w:r>
    </w:p>
    <w:p>
      <w:pPr>
        <w:spacing w:after="0" w:line="67"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Facility and the ABL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indebtedness, and additionally we have further borrowing capacity under the ABL Facility. As of May 2, 2020, we had borrowings of $500.0 million outstanding under the ABL Facility, and an available borrowing capacity under the ABL Facility of approximately $270.2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$200.0 million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agreements governing the Term Loan Facility and the ABL Facility contain restrictive covenants that impose significant operating and financial restrictions on us and may limit our ability to engage in acts that may be in our best interest, including restrictions on our ability to:</w:t>
      </w:r>
    </w:p>
    <w:p>
      <w:pPr>
        <w:spacing w:after="0" w:line="6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our Term Loan Facility and ABL Facility would permit the lenders under our ABL Facility to terminate all commitments to extend further credit under that facility. Furthermore, if we were unable to repay the amounts due and payable under our Term Loan Facility and ABL Facility, those lenders could proceed against the collateral granted to them to secure that indebtedness, and we could be forced into bankruptcy or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the applicable stock exchange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and the application of net proceeds therefrom, KKR Stockholders will collectively beneficially own approximately % of the voting power of common stock (or % if the underwriters exercise in full their over-allotment option). As a result, we will be a “controlled company” within the meaning of the corporate governance standards of the applicable stock exchange.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the applicable stock exchange;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6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Following this offering, we intend to utilize these exemptions. As a result, we may not have a majority of independent directors, our compensation committee and nominating and governance committee may not consist entirely of independent directors. Accordingly, you may not have the same protections afforded to stockholders of companies that are subject to all of the corporate governance requirements of the applicable stock exchange.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KKR Stockholders control us and their interests may conflict with yours in the future.</w:t>
      </w:r>
    </w:p>
    <w:p>
      <w:pPr>
        <w:spacing w:after="0" w:line="121" w:lineRule="exact"/>
        <w:rPr>
          <w:sz w:val="20"/>
          <w:szCs w:val="20"/>
          <w:color w:val="auto"/>
        </w:rPr>
      </w:pPr>
    </w:p>
    <w:p>
      <w:pPr>
        <w:ind w:left="840" w:right="400" w:hanging="278"/>
        <w:spacing w:after="0" w:line="261" w:lineRule="auto"/>
        <w:rPr>
          <w:sz w:val="20"/>
          <w:szCs w:val="20"/>
          <w:color w:val="auto"/>
        </w:rPr>
      </w:pPr>
      <w:r>
        <w:rPr>
          <w:rFonts w:ascii="Times New Roman" w:cs="Times New Roman" w:eastAsia="Times New Roman" w:hAnsi="Times New Roman"/>
          <w:sz w:val="18"/>
          <w:szCs w:val="18"/>
          <w:color w:val="auto"/>
        </w:rPr>
        <w:t>Immediately following this offering, KKR Stockholders will collectively beneficially own</w:t>
      </w:r>
      <w:r>
        <w:rPr>
          <w:sz w:val="20"/>
          <w:szCs w:val="20"/>
          <w:color w:val="auto"/>
        </w:rPr>
        <w:t xml:space="preserve"> </w:t>
      </w:r>
      <w:r>
        <w:rPr>
          <w:rFonts w:ascii="Times New Roman" w:cs="Times New Roman" w:eastAsia="Times New Roman" w:hAnsi="Times New Roman"/>
          <w:sz w:val="18"/>
          <w:szCs w:val="18"/>
          <w:color w:val="auto"/>
        </w:rPr>
        <w:t>% of the voting power of our common stock (or % if the underwriters exercise in full their over-allotment</w:t>
      </w: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7"/>
          <w:szCs w:val="17"/>
          <w:color w:val="auto"/>
        </w:rPr>
        <w:t>option). KKR Stockholders will be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collectively own at least % of all outstanding shares of our stock entitled to vote generally in the election of directors, KKR Stockholders will be able to appoint individuals to our board of directors under the stockholders agreement that we expect to enter into in connection with this offering. See “Certain Relationships and Related Party Transactions—Stockholders Agreement.” The interests of KKR Stockholders may not coincide with the interests of other holders of our common stock.</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 activities, KKR Stockholders and their affiliates may engage in activities where their interests conflict with our interests or those of our stockholders. Our certificate of incorporation will provide that any of KKR Stockholders, any of their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KKR Stockholders and their affiliates will be able to determine the outcome of all matters requiring stockholder approval and will be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insurance, and other expenses that we have not incurred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the applicable stock exchange.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our common stock, fines, sanctions and other regulatory action and potentially civil litigation.</w:t>
      </w:r>
    </w:p>
    <w:p>
      <w:pPr>
        <w:spacing w:after="0" w:line="26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there may not develop or continue an active, liquid trading market for shares of our common stock,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If you purchase shares of our common stock in this offering, you will pay a price that was not established in a competitive market. Instead,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initial public offering price per share of common stock will be determined by agreement among us and the representative(s) of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The lack of an active market may impair your ability to sell your shares at the time you wish to sell them or at a price you consider reasonable. The lack of an active market may also reduce the fair market value of your shares. Furthermore, an inactive market may also impair our ability to raise capital by selling shares of our common stock.</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common stock may be highly volatile and could be subject to wide fluctuations. You may not be able to resell your shares at or above the initial public offering price due to a number of factors such as those listed in “—Risks Related to Our Business” and the following:</w:t>
      </w:r>
    </w:p>
    <w:p>
      <w:pPr>
        <w:spacing w:after="0" w:line="81"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initial public offering price per share of common stock will be substantially higher than our pro forma net tangible book value (deficit) per share immediately after this offering. As a result, you will pay a price per share of common stock that substantially exceeds the per share book value of our tangible assets after subtracting our liabilities. In addition, you will pay more for your shares of common stock than the amounts paid by our existing</w:t>
      </w:r>
    </w:p>
    <w:p>
      <w:pPr>
        <w:spacing w:after="0" w:line="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owners. Assuming an initial public offering price of $ per share of common stock, which is the midpoint of the estimated price range set forth on the cover page of this prospectus, you will incur immediate and substantial dilution in an amount of $ per share of common stock. If the underwriters exercise their over-allotment option, you will experience additional dilution. See “Dilution.”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After this offering we will have approximately shares of common stock authorized but unissued. Our amended and restated certificate of incorporation to become effective immediately prior to the consummation of this offering will authorize us to issue these shares of common stock and options relating to common stock for the consideration and on the terms and conditions established by our board of directors in its sole discretion, whether in connection with acquisitions or otherwise. We have reserved shares for issuance under our 2011 Equity Plan and our 2020 Equity Plan. See “Executive Compensation—Equity Compensation Plans.” Any common stock that we issue, including under our 2011 Equity Plan, 2020 Equity Plan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Additional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91" w:lineRule="exact"/>
        <w:rPr>
          <w:sz w:val="20"/>
          <w:szCs w:val="20"/>
          <w:color w:val="auto"/>
        </w:rPr>
      </w:pPr>
    </w:p>
    <w:p>
      <w:pPr>
        <w:jc w:val="both"/>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owners in the public market following this offering could cause the market price for our common stock to decline.</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our existing owners,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 total of shares of our common stock outstanding. Of the outstanding shares, the shares sold in this offering (or shares if the underwriters exercise in full their over-allotment option) will be freely tradable without restriction or further</w:t>
      </w: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registration under the Securities Act, except that any shares held by our affiliates, as that term is defined under Rule 144 of the Securities Act, or Rule 144, including our directors, executive officers and other affiliates (including our existing owners), may be sold only in compliance with the limitations described in “Shares Eligible for Future Sale.”</w:t>
      </w:r>
    </w:p>
    <w:p>
      <w:pPr>
        <w:sectPr>
          <w:pgSz w:w="11900" w:h="16838" w:orient="portrait"/>
          <w:cols w:equalWidth="0" w:num="1">
            <w:col w:w="11140"/>
          </w:cols>
          <w:pgMar w:left="320" w:top="455" w:right="439" w:bottom="1440" w:gutter="0" w:footer="0" w:header="0"/>
        </w:sectPr>
      </w:pPr>
    </w:p>
    <w:p>
      <w:pPr>
        <w:spacing w:after="0" w:line="18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remaining outstanding shares of common stock held by our existing owners after this offering, representing outstanding shares of our common stock following this offering (or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the total</w:t>
      </w:r>
    </w:p>
    <w:p>
      <w:pPr>
        <w:spacing w:after="0" w:line="373" w:lineRule="exact"/>
        <w:rPr>
          <w:sz w:val="20"/>
          <w:szCs w:val="20"/>
          <w:color w:val="auto"/>
        </w:rPr>
      </w:pPr>
    </w:p>
    <w:p>
      <w:pPr>
        <w:sectPr>
          <w:pgSz w:w="11900" w:h="16838" w:orient="portrait"/>
          <w:cols w:equalWidth="0" w:num="2">
            <w:col w:w="9200" w:space="580"/>
            <w:col w:w="136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over-allotment option),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76"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We, our executive officers, directors and certain of our existing owners, will sign lock-up agreements with the underwriters that will, subject to certain customary exceptions, restrict the sale of the shares of our common stock and certain other securities held by them for 180 days following the</w:t>
      </w:r>
    </w:p>
    <w:p>
      <w:pPr>
        <w:spacing w:after="0" w:line="1"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date of this prospectus. may, in their sole discretion and at any time without notice, release all or any portion of the shares or securities subject to any such lock-up agreements. See “Underwriting (Conflicts of Interest)” for a description of these lock-up agreements.</w:t>
      </w:r>
    </w:p>
    <w:p>
      <w:pPr>
        <w:spacing w:after="0" w:line="1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owners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pursuant to a registration rights agreement, KKR Stockholders will have the right, subject to certain conditions, to require us to</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register the sale of their shares of our common stock under the Securities Act. See “Certain Relationships and Related Party Transactions—Registration</w:t>
      </w:r>
    </w:p>
    <w:p>
      <w:pPr>
        <w:sectPr>
          <w:pgSz w:w="11900" w:h="16838" w:orient="portrait"/>
          <w:cols w:equalWidth="0" w:num="1">
            <w:col w:w="11120"/>
          </w:cols>
          <w:pgMar w:left="320" w:top="455" w:right="459" w:bottom="1440" w:gutter="0" w:footer="0" w:header="0"/>
        </w:sectPr>
      </w:pP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Rights Agreement.” By exercising their registration rights and selling a large number of shares, KKR Stockholders could cause the prevailing market price of our common stock to decline. Certain of our other existing owners have “piggyback” registration rights with respect to future registered offerings of our common stock. Following completion of this offering, the shares covered by registration rights would represent approximately of our total common stock outstanding (or % if the underwriters exercise in full their over-allotment option). Registration of any of these outstanding shares of common stock would result in such shares becoming freely tradable without compliance with Rule 144 upon effectiveness of the registration statement. See “Shares Eligible for Future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896" w:lineRule="exact"/>
        <w:rPr>
          <w:sz w:val="20"/>
          <w:szCs w:val="20"/>
          <w:color w:val="auto"/>
        </w:rPr>
      </w:pPr>
    </w:p>
    <w:p>
      <w:pPr>
        <w:sectPr>
          <w:pgSz w:w="11900" w:h="16838" w:orient="portrait"/>
          <w:cols w:equalWidth="0" w:num="2">
            <w:col w:w="10960" w:space="20"/>
            <w:col w:w="140"/>
          </w:cols>
          <w:pgMar w:left="320" w:top="455" w:right="459" w:bottom="1440" w:gutter="0" w:footer="0" w:header="0"/>
          <w:type w:val="continuous"/>
        </w:sect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common stock.</w:t>
      </w:r>
    </w:p>
    <w:p>
      <w:pPr>
        <w:sectPr>
          <w:pgSz w:w="11900" w:h="16838" w:orient="portrait"/>
          <w:cols w:equalWidth="0" w:num="1">
            <w:col w:w="11120"/>
          </w:cols>
          <w:pgMar w:left="320" w:top="455" w:right="459" w:bottom="1440" w:gutter="0" w:footer="0" w:header="0"/>
          <w:type w:val="continuous"/>
        </w:sectPr>
      </w:pP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owners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may spend the proceeds of this offering in ways with which you may disagree or that may not be profitable.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Although we anticipate using the net proceeds from the offering as described under “Use of Proceeds,” we will have broad discretion as to the application of the net proceeds and could use them for purposes other than those contemplated by this offering. You may not agree with the manner in which our management chooses to allocate and spend the net proceeds. Our management may use the proceeds for corporate purposes that may not increase our profitability or otherwise result in the creation of stockholder value. In addition, pending our use of the proceeds, we may invest the proceeds primarily in instruments that do not produce significant income or that may lose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1080" w:right="38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will be divided into three classes, with each class serving for staggered three-year terms;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76"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in additional series without stockholder approval.</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right="40" w:hanging="4"/>
        <w:spacing w:after="0" w:line="25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8"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14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costs and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(or approximately $ million, if the underwriters exercise in full their over-allotment option) from the sale of shares of our common stock in this offering, assuming an initial public offering price of $ per share,</w:t>
      </w:r>
    </w:p>
    <w:p>
      <w:pPr>
        <w:ind w:left="120"/>
        <w:spacing w:after="0" w:line="265" w:lineRule="auto"/>
        <w:rPr>
          <w:sz w:val="20"/>
          <w:szCs w:val="20"/>
          <w:color w:val="auto"/>
        </w:rPr>
      </w:pPr>
      <w:r>
        <w:rPr>
          <w:rFonts w:ascii="Times New Roman" w:cs="Times New Roman" w:eastAsia="Times New Roman" w:hAnsi="Times New Roman"/>
          <w:sz w:val="17"/>
          <w:szCs w:val="17"/>
          <w:color w:val="auto"/>
        </w:rPr>
        <w:t>which is the midpoint of the estimated price range set forth on the cover page of this prospectus, and after deducting the underwriting discounts and commissions and estimated offering expenses payable by us. An increase (decrease) of 1,000,000 shares from the expected number of shares of common stock to be sold by us in this offering, assuming no change in the assumed initial offering price per share, would increase (decrease) our net proceeds</w:t>
      </w:r>
    </w:p>
    <w:p>
      <w:pPr>
        <w:ind w:left="120"/>
        <w:spacing w:after="0"/>
        <w:tabs>
          <w:tab w:leader="none" w:pos="2140" w:val="left"/>
        </w:tabs>
        <w:rPr>
          <w:sz w:val="20"/>
          <w:szCs w:val="20"/>
          <w:color w:val="auto"/>
        </w:rPr>
      </w:pPr>
      <w:r>
        <w:rPr>
          <w:rFonts w:ascii="Times New Roman" w:cs="Times New Roman" w:eastAsia="Times New Roman" w:hAnsi="Times New Roman"/>
          <w:sz w:val="18"/>
          <w:szCs w:val="18"/>
          <w:color w:val="auto"/>
        </w:rPr>
        <w:t>from this offering by $</w:t>
      </w:r>
      <w:r>
        <w:rPr>
          <w:sz w:val="20"/>
          <w:szCs w:val="20"/>
          <w:color w:val="auto"/>
        </w:rPr>
        <w:tab/>
      </w:r>
      <w:r>
        <w:rPr>
          <w:rFonts w:ascii="Times New Roman" w:cs="Times New Roman" w:eastAsia="Times New Roman" w:hAnsi="Times New Roman"/>
          <w:sz w:val="17"/>
          <w:szCs w:val="17"/>
          <w:color w:val="auto"/>
        </w:rPr>
        <w:t>million. A $1.00 increase (decrease) in the assumed initial offering price would increase (decrease) the net proceeds to us</w:t>
      </w:r>
    </w:p>
    <w:p>
      <w:pPr>
        <w:spacing w:after="0" w:line="9"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from this offering by $ million, assuming the number of shares of common stock offered by us, as set forth on the cover page of this prospectus, remains the same, and after deducting the underwriting discounts and commissions and estimated offering expenses payable by us.</w:t>
      </w:r>
    </w:p>
    <w:p>
      <w:pPr>
        <w:spacing w:after="0" w:line="18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 repayment of certain indebtedness, as will be determined prior to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May 2, 2020 of New Academy Holding Company, LLC on an actual basis and of Academy Sports and Outdoors, Inc. on a pro forma basis to reflect:</w:t>
      </w:r>
    </w:p>
    <w:p>
      <w:pPr>
        <w:spacing w:after="0" w:line="67"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and</w:t>
      </w:r>
    </w:p>
    <w:p>
      <w:pPr>
        <w:spacing w:after="0" w:line="131" w:lineRule="exact"/>
        <w:rPr>
          <w:sz w:val="20"/>
          <w:szCs w:val="20"/>
          <w:color w:val="auto"/>
        </w:rPr>
      </w:pPr>
    </w:p>
    <w:p>
      <w:pPr>
        <w:ind w:left="108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sale of shares of our common stock offered by us in this offering at an assumed initial public offering price of $ per share, which is the midpoint of the estimated price range set forth on the cover page of this prospectus, after deducting the underwriting discounts and commissions and estimated offering expenses payable by us, and the application of the net proceeds to us therefrom as described under “Use of Proceeds.”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As of May 2,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New Academy</w:t>
            </w:r>
          </w:p>
        </w:tc>
        <w:tc>
          <w:tcPr>
            <w:tcW w:w="420" w:type="dxa"/>
            <w:vAlign w:val="bottom"/>
          </w:tcPr>
          <w:p>
            <w:pPr>
              <w:spacing w:after="0"/>
              <w:rPr>
                <w:sz w:val="10"/>
                <w:szCs w:val="10"/>
                <w:color w:val="auto"/>
              </w:rPr>
            </w:pPr>
          </w:p>
        </w:tc>
        <w:tc>
          <w:tcPr>
            <w:tcW w:w="13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Academy Sports and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Holding Company,</w:t>
            </w:r>
          </w:p>
        </w:tc>
        <w:tc>
          <w:tcPr>
            <w:tcW w:w="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LLC</w:t>
            </w:r>
          </w:p>
        </w:tc>
        <w:tc>
          <w:tcPr>
            <w:tcW w:w="420" w:type="dxa"/>
            <w:vAlign w:val="bottom"/>
          </w:tcPr>
          <w:p>
            <w:pPr>
              <w:spacing w:after="0"/>
              <w:rPr>
                <w:sz w:val="15"/>
                <w:szCs w:val="15"/>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Outdoors, Inc.</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725,615</w:t>
            </w:r>
          </w:p>
        </w:tc>
        <w:tc>
          <w:tcPr>
            <w:tcW w:w="1700" w:type="dxa"/>
            <w:vAlign w:val="bottom"/>
            <w:gridSpan w:val="2"/>
          </w:tcPr>
          <w:p>
            <w:pPr>
              <w:jc w:val="right"/>
              <w:ind w:right="112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(2)</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500,000</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(3)</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1,462,111</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debt</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1,962,111</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Partners’/Stockholders’ equity</w:t>
            </w: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 equity</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977,571</w:t>
            </w:r>
          </w:p>
        </w:tc>
        <w:tc>
          <w:tcPr>
            <w:tcW w:w="4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w:t>
            </w:r>
          </w:p>
        </w:tc>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and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w:t>
            </w:r>
          </w:p>
        </w:tc>
        <w:tc>
          <w:tcPr>
            <w:tcW w:w="2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and other comprehensive income (loss)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partners’/stockholders’ equity</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977,571</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2,939,682</w:t>
            </w:r>
          </w:p>
        </w:tc>
        <w:tc>
          <w:tcPr>
            <w:tcW w:w="1700" w:type="dxa"/>
            <w:vAlign w:val="bottom"/>
            <w:gridSpan w:val="2"/>
            <w:shd w:val="clear" w:color="auto" w:fill="CCEEFF"/>
          </w:tcPr>
          <w:p>
            <w:pPr>
              <w:jc w:val="right"/>
              <w:ind w:right="112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4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w:t>
        <w:tab/>
        <w:t>A $1.00 increase (decrease) in the assumed initial public offering price of $ per share, which is the midpoint of the estimated price range set forth on the cover page of this prospectus, would increase (decrease) the net proceeds that we receive in this offering and each of additional paid-in capital, total stockholders’ equity and total capitalization by approximately $ , assuming the number of shares offered by us remains the same as set forth on the cover page of this prospectus and after deducting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40" w:right="540"/>
        <w:spacing w:after="0" w:line="272" w:lineRule="auto"/>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 An increase (decrease) of 1,000,000 shares in the expected number of shares to be sold by us in this offering, assuming no change in the assumed initial public offering price, would increase (decrease) our net proceeds from this offering and each of additional paid-in capital, total stockholders’ equity and total capitalization by</w:t>
      </w:r>
    </w:p>
    <w:p>
      <w:pPr>
        <w:spacing w:after="0" w:line="2" w:lineRule="exact"/>
        <w:rPr>
          <w:sz w:val="20"/>
          <w:szCs w:val="20"/>
          <w:color w:val="auto"/>
        </w:rPr>
      </w:pPr>
    </w:p>
    <w:p>
      <w:pPr>
        <w:ind w:left="540"/>
        <w:spacing w:after="0" w:line="250" w:lineRule="auto"/>
        <w:rPr>
          <w:sz w:val="20"/>
          <w:szCs w:val="20"/>
          <w:color w:val="auto"/>
        </w:rPr>
      </w:pPr>
      <w:r>
        <w:rPr>
          <w:rFonts w:ascii="Times New Roman" w:cs="Times New Roman" w:eastAsia="Times New Roman" w:hAnsi="Times New Roman"/>
          <w:sz w:val="18"/>
          <w:szCs w:val="18"/>
          <w:color w:val="auto"/>
        </w:rPr>
        <w:t>approximately $ . The pro forma column reflects (i) the issuance of shares of common stock of Academy Sports and Outdoors, Inc. in connection with the contribution of New Academy Holding Company, LLC by its unitholders and related reorganization transactions and related cancellation of all outstanding partners’ equity at New Academy Holding Company, LLC in connection with the offering and (ii) the application of the proceeds from this offering as cash and cash equivalents pending application as set forth in Use of Proceeds.</w:t>
      </w:r>
    </w:p>
    <w:p>
      <w:pPr>
        <w:spacing w:after="0" w:line="2" w:lineRule="exact"/>
        <w:rPr>
          <w:sz w:val="20"/>
          <w:szCs w:val="20"/>
          <w:color w:val="auto"/>
        </w:rPr>
      </w:pPr>
    </w:p>
    <w:p>
      <w:pPr>
        <w:ind w:left="540" w:right="180" w:hanging="424"/>
        <w:spacing w:after="0" w:line="265" w:lineRule="auto"/>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2, 2020, there were $17.3 million letters of credit outstanding, $15.9 million of which were issued under the ABL Facility. In June 2020, we repaid the $500 million of borrowings in full. For a further description of our ABL Facility, see “Description of Certain Indebtedness.”</w:t>
      </w:r>
    </w:p>
    <w:p>
      <w:pPr>
        <w:ind w:left="540" w:right="280" w:hanging="424"/>
        <w:spacing w:after="0" w:line="26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above do not reflect deferred loan costs related to the Term Loan Facility. For a further description of our Term Loan Facility, see “Description of Certain Indebtedness.”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pro forma net tangible book value (deficit) per share of our common stock after giving effect to this offering. Dilution results from the fact that the per share offering price of the common stock is substantially in excess of the pro forma net tangible book value per share attributable to our existing owners.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(deficit) as of May 2, 2020 was approximately $ million, or $ per share of our common stock. We calculate pro forma net tangible value (deficit) per share by taking the amount of our total tangible assets, reduced by the amount of our total liabilities, and then dividing that amount by the total number of shares of common stock outstanding on a pro forma basis giving effect to the Reorganization Transactions.</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After giving effect to (i) our sale of shares of common stock in this offering at an assumed initial public offering price of $ per share, which is the midpoint of the estimated price range set forth on the cover page of this prospectus, and (ii) the use of proceeds therefrom, after deducting the underwriting discounts and commissions and estimated offering expenses payable by us, our pro forma net tangible book value (deficit) as of May 2,</w:t>
      </w:r>
    </w:p>
    <w:p>
      <w:pPr>
        <w:spacing w:after="0" w:line="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2020 would have been $ million, or $ per share of our common stock. This amount represents an immediate increase in pro forma net tangible book value (deficit) of $ per share of common stock to our existing owners and an immediate and substantial dilution in pro forma net tangible book value (deficit) of $ per share of common stock to new investors purchasing shares in this offering.</w:t>
      </w:r>
    </w:p>
    <w:p>
      <w:pPr>
        <w:spacing w:after="0" w:line="18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common stock basis assuming the underwriters do not exercise their option to purchase additional shares of common stock:</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common stock</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9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(deficit) per share of common stock as of May 2,</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common stock</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(deficit) per share of common stock after giving effect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this offering</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pro forma net tangible book value per share of common stock to investors in</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pro forma net tangible book value (deficit) per share of common stock after the offering from the initial public offering price per share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per share of common stock would increase or decrease, as applicable,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pro forma net tangible book value by $ per share and the dilution to new investors in the offering by $ per share, assuming that the number of shares offered in this offering, as set forth on the cover page of this prospectus, remains the same. The pro forma information discussed above is for illustrative purposes only. Our net tangible book value (deficit) following the completion of the offering is subject to adjustment based on the actual offering price of our common stock and other terms of this offering determined at pricing.</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May 2, 2020, the total number of shares of common stock purchased from us, the total cash consideration paid to us and the average price per share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paid by our existing owners and by new investors purchasing shares of common stock in this offering.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Total Consideration</w:t>
            </w:r>
          </w:p>
        </w:tc>
        <w:tc>
          <w:tcPr>
            <w:tcW w:w="48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4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47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owners</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480" w:type="dxa"/>
            <w:vAlign w:val="bottom"/>
          </w:tcPr>
          <w:p>
            <w:pPr>
              <w:spacing w:after="0"/>
              <w:rPr>
                <w:sz w:val="18"/>
                <w:szCs w:val="18"/>
                <w:color w:val="auto"/>
              </w:rPr>
            </w:pP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140"/>
          </w:cols>
          <w:pgMar w:left="320" w:top="455" w:right="439" w:bottom="1440" w:gutter="0" w:footer="0" w:header="0"/>
        </w:sectPr>
      </w:pPr>
    </w:p>
    <w:p>
      <w:pPr>
        <w:ind w:left="560"/>
        <w:spacing w:after="0"/>
        <w:rPr>
          <w:sz w:val="20"/>
          <w:szCs w:val="20"/>
          <w:color w:val="auto"/>
        </w:rPr>
      </w:pPr>
      <w:r>
        <w:rPr>
          <w:rFonts w:ascii="Times New Roman" w:cs="Times New Roman" w:eastAsia="Times New Roman" w:hAnsi="Times New Roman"/>
          <w:sz w:val="18"/>
          <w:szCs w:val="18"/>
          <w:color w:val="auto"/>
        </w:rPr>
        <w:t>If the underwriters were to exercise in full their option to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shares of our common stock held by existing owners as of May 2, 2020 would be</w:t>
      </w:r>
    </w:p>
    <w:p>
      <w:pPr>
        <w:spacing w:after="0" w:line="21" w:lineRule="exact"/>
        <w:rPr>
          <w:sz w:val="20"/>
          <w:szCs w:val="20"/>
          <w:color w:val="auto"/>
        </w:rPr>
      </w:pPr>
    </w:p>
    <w:p>
      <w:pPr>
        <w:ind w:left="120"/>
        <w:spacing w:after="0"/>
        <w:tabs>
          <w:tab w:leader="none" w:pos="2800" w:val="left"/>
        </w:tabs>
        <w:rPr>
          <w:sz w:val="20"/>
          <w:szCs w:val="20"/>
          <w:color w:val="auto"/>
        </w:rPr>
      </w:pPr>
      <w:r>
        <w:rPr>
          <w:rFonts w:ascii="Times New Roman" w:cs="Times New Roman" w:eastAsia="Times New Roman" w:hAnsi="Times New Roman"/>
          <w:sz w:val="18"/>
          <w:szCs w:val="18"/>
          <w:color w:val="auto"/>
        </w:rPr>
        <w:t>investors in this offering would be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20" w:hanging="39"/>
        <w:spacing w:after="0" w:line="282" w:lineRule="auto"/>
        <w:rPr>
          <w:sz w:val="20"/>
          <w:szCs w:val="20"/>
          <w:color w:val="auto"/>
        </w:rPr>
      </w:pPr>
      <w:r>
        <w:rPr>
          <w:rFonts w:ascii="Times New Roman" w:cs="Times New Roman" w:eastAsia="Times New Roman" w:hAnsi="Times New Roman"/>
          <w:sz w:val="18"/>
          <w:szCs w:val="18"/>
          <w:color w:val="auto"/>
        </w:rPr>
        <w:t>additional shares of our common stock from us, the percentage of % and the percentage of shares of our common stock held by new</w:t>
      </w:r>
    </w:p>
    <w:p>
      <w:pPr>
        <w:spacing w:after="0" w:line="309" w:lineRule="exact"/>
        <w:rPr>
          <w:sz w:val="20"/>
          <w:szCs w:val="20"/>
          <w:color w:val="auto"/>
        </w:rPr>
      </w:pPr>
    </w:p>
    <w:p>
      <w:pPr>
        <w:sectPr>
          <w:pgSz w:w="11900" w:h="16838" w:orient="portrait"/>
          <w:cols w:equalWidth="0" w:num="2">
            <w:col w:w="5960" w:space="220"/>
            <w:col w:w="496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thirteen weeks ended May 2, 2020 and May 4, 2019 has been derived from our unaudited condensed consolidated financial statements included elsewhere in this prospectus. The results of operations for any period are not necessarily indicative of the results to be expected for any future period.</w:t>
      </w:r>
    </w:p>
    <w:p>
      <w:pPr>
        <w:spacing w:after="0" w:line="17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8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Pr>
          <w:p>
            <w:pPr>
              <w:spacing w:after="0"/>
              <w:rPr>
                <w:sz w:val="10"/>
                <w:szCs w:val="10"/>
                <w:color w:val="auto"/>
              </w:rPr>
            </w:pPr>
          </w:p>
        </w:tc>
        <w:tc>
          <w:tcPr>
            <w:tcW w:w="10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108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40" w:type="dxa"/>
            <w:vAlign w:val="bottom"/>
          </w:tcPr>
          <w:p>
            <w:pPr>
              <w:spacing w:after="0"/>
              <w:rPr>
                <w:sz w:val="10"/>
                <w:szCs w:val="10"/>
                <w:color w:val="auto"/>
              </w:rPr>
            </w:pPr>
          </w:p>
        </w:tc>
        <w:tc>
          <w:tcPr>
            <w:tcW w:w="78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3"/>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4,829,897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4,783,893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4,835,582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4,738,474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4,646,686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1,136,301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1,076,792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3,398,743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3,415,941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3,436,618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3,419,784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3,299,972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838,356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763,796</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1,398,964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1,318,690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1,251,733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1,239,002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1,241,643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1,171,411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283,923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301,602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24,522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retirement of debt, net</w:t>
            </w:r>
            <w:r>
              <w:rPr>
                <w:rFonts w:ascii="Times New Roman" w:cs="Times New Roman" w:eastAsia="Times New Roman" w:hAnsi="Times New Roman"/>
                <w:sz w:val="15"/>
                <w:szCs w:val="15"/>
                <w:color w:val="auto"/>
              </w:rPr>
              <w:t>(2)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(42,265)</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55,498</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1,099,749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1,134,156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1,223,486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1,090,899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1,028,032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1,012,680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1,216,588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538,795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605,083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491,126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344,511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1,039,439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547,478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4,331,321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3,238,957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3,323,046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3,258,354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3,257,275</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4,772,325</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4,400,423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1,462,658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1,625,060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1,675,356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1,681,264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1,699,360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1,958,757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1,600,853</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988,219</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857,039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832,687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756,262</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689,106</w:t>
            </w: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977,571</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885,150</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99"/>
              </w:rPr>
              <w:t>62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10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 w:type="dxa"/>
            <w:vAlign w:val="bottom"/>
          </w:tcPr>
          <w:p>
            <w:pPr>
              <w:spacing w:after="0"/>
              <w:rPr>
                <w:sz w:val="10"/>
                <w:szCs w:val="10"/>
                <w:color w:val="auto"/>
              </w:rPr>
            </w:pPr>
          </w:p>
        </w:tc>
        <w:tc>
          <w:tcPr>
            <w:tcW w:w="56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3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263,669</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198,481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83,355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249,376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90,756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(34,603)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(66,783)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(115,901)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(153,215)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(118,096)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(15,883)</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(123,192)</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(287,052)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5"/>
              </w:rPr>
              <w:t>495,400</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16,219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62,818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11,895</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square feet at end of period (in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and 2017, we repurchased principal on our Term Loan Facility, which was trading at a discount and recognized a gain, net of the write-off of related deferred loan costs. In 2019, we repurchased a total of $147.7 million of principal for $104.6 million in open market transactions and recognized a related net gain of $42.3 million. In 2017, we repurchased $26.2 million of principal for $19.7 million in open market transactions and recognized a related net gain of $6.3 million. In 2015, we entered into the 2015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Times New Roman" w:cs="Times New Roman" w:eastAsia="Times New Roman" w:hAnsi="Times New Roman"/>
          <w:sz w:val="18"/>
          <w:szCs w:val="18"/>
          <w:color w:val="auto"/>
        </w:rPr>
      </w:pPr>
    </w:p>
    <w:p>
      <w:pPr>
        <w:ind w:left="540" w:right="28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analyzes the financial condition and results of operations of New Academy Holding Company, LLC and its subsidiaries and should be read in conjunction with our consolidated financial statements and related notes included elsewhere in this prospectus. The historical consolidated financial data of Academy Sports and Outdoors, Inc. is not discussed below, as Academy Sports and Outdoors, Inc. is a newly incorporated entity, has had no business transactions or activities to date other than in connection with its formation and this offering and had no assets or liabilities during the periods presented in this section. Prior to the consummation of this offering, New Academy Holding Company, LLC, the current holding company for the business described in this prospectus, will be contributed to Academy Sports and Outdoors, Inc., by its unitholders and become a wholly owned subsidiary of Academy Sports and Outdoors, Inc. and Academy Sports and Outdoors, Inc. will be the holding company of the business described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Fiscal</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Ended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Weeks</w:t>
            </w:r>
          </w:p>
        </w:tc>
        <w:tc>
          <w:tcPr>
            <w:tcW w:w="0" w:type="dxa"/>
            <w:vAlign w:val="bottom"/>
          </w:tcPr>
          <w:p>
            <w:pPr>
              <w:spacing w:after="0"/>
              <w:rPr>
                <w:sz w:val="1"/>
                <w:szCs w:val="1"/>
                <w:color w:val="auto"/>
              </w:rPr>
            </w:pPr>
          </w:p>
        </w:tc>
      </w:tr>
      <w:tr>
        <w:trPr>
          <w:trHeight w:val="18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5"/>
              </w:rPr>
              <w:t>Year</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2019</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February 1, 2020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2018</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2, 2019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3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3, 2018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Any reference in this discussion and analysis to the “first quarter 2020” or similar reference refers to the thirteen week period ended May 2, 2020, and any reference to the “first quarter 2019” or similar reference refers to the thirteen week period ended May 4,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May 2,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Trends and Other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Overall Economic Trends</w:t>
      </w:r>
      <w:r>
        <w:rPr>
          <w:rFonts w:ascii="Times New Roman" w:cs="Times New Roman" w:eastAsia="Times New Roman" w:hAnsi="Times New Roman"/>
          <w:sz w:val="18"/>
          <w:szCs w:val="18"/>
          <w:color w:val="auto"/>
        </w:rPr>
        <w:t>. All of our sales are generated within the United States, making our results of operations highly dependent on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Consumer Preferences and Demands. </w:t>
      </w:r>
      <w:r>
        <w:rPr>
          <w:rFonts w:ascii="Times New Roman" w:cs="Times New Roman" w:eastAsia="Times New Roman" w:hAnsi="Times New Roman"/>
          <w:sz w:val="18"/>
          <w:szCs w:val="18"/>
          <w:color w:val="auto"/>
        </w:rPr>
        <w:t>The level of success we achieve is dependent on, among other factors, how accurately and timely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8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Strategic Inventory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must maintain sufficient inventory levels of merchandise that our customers desire to successfully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at lower prices. Much of our margin expansion from 2017 through 2019 can be attributed to our improvements in inventory management. We have deployed several new tools over recent years to improve inventory handling and vendor management, including third party programs to analyze our inventory stock and execute a disciplined markdown strategy throughout the year at every location. This implementation has allowed us to improve our inventory management in stores, increasing our average inventory turns from 2.68x in 2017 to 2.84x in 2019,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Value Strategy</w:t>
      </w:r>
      <w:r>
        <w:rPr>
          <w:rFonts w:ascii="Times New Roman" w:cs="Times New Roman" w:eastAsia="Times New Roman" w:hAnsi="Times New Roman"/>
          <w:sz w:val="18"/>
          <w:szCs w:val="18"/>
          <w:color w:val="auto"/>
        </w:rPr>
        <w:t>. We offer a broad assortment of products at competitive prices that offer extraordinary value. Our in-store experience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BOPIS. </w:t>
      </w:r>
      <w:r>
        <w:rPr>
          <w:rFonts w:ascii="Times New Roman" w:cs="Times New Roman" w:eastAsia="Times New Roman" w:hAnsi="Times New Roman"/>
          <w:sz w:val="18"/>
          <w:szCs w:val="18"/>
          <w:color w:val="auto"/>
        </w:rPr>
        <w:t>We expect that the expansion and enhancement of our omnichannel capabilities will be a key driver of growth in our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gross margin. We continue to invest in initiatives that will increase traffic to our e-commerce website, which reached over 217 million visits in 2019, and drive increased online sales conversion. Our improved website also supports our stores with digital marketing and our BOPIS program. Since we launched our BOPIS program in 2019, we have seen significant penetration in e-commerce that generates high average order value and incremental in-store purchases. In 2019 and the thirteen weeks ended May 2, 2020, BOPIS accounted for 24% and 48%, respectively, of our e-commerce sales and 1% and 6%, respectively, of total net sales for such periods. Our website also has allowed us to reach customers outside of our current store footprint and is also introducing new customers to the Academy brand, with approximately 30% of our first quarter 2020 e-commerce sales coming from new households. Our website is also a platform for marketing and product education, allowing us to connect further with our customers. We believe it is important that we continue to grow our omnichannel capabilities, especially in light of changing customer preferences as a result of the COVID-19 pandemic. Since 2011, we have made a $225 million investment in our omnichannel and information technology capabilities. We expect that expanding and enhancing these capabilities, including BOPIS, will continue to require significant investments by us.</w:t>
      </w:r>
    </w:p>
    <w:p>
      <w:pPr>
        <w:spacing w:after="0" w:line="18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U.S. sporting goods and outdoor recreation retail industries are highly competitive and fragmented. We compete with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8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Sourcing and Supply Chain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to be successful, our suppliers must provide us with quality products in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in compliance with regulatory requirements, at acceptable costs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We depend on approximately 1,300 suppliers to supply us in a timely and efficient manner with the merchandise we purchase for resale.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New Store Openings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new stores will be a key driver of growth in our net sales and gross margin in the future. Our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have been and will continue to be materially affected by the timing and number of new store openings. We are continually assessing the number of locations available that could accommodate our footprint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12 months of opening a store. We have significant whitespace in both our core markets and green field markets.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8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Interim Results and Seasonality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 subject to seasonal fluctuations. A significant portion of our net sales and profits is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53rd Week</w:t>
      </w:r>
      <w:r>
        <w:rPr>
          <w:rFonts w:ascii="Times New Roman" w:cs="Times New Roman" w:eastAsia="Times New Roman" w:hAnsi="Times New Roman"/>
          <w:sz w:val="18"/>
          <w:szCs w:val="18"/>
          <w:color w:val="auto"/>
        </w:rPr>
        <w:t>. We operate on the retail industry’s 4-5-4 calendar. The 4-5-4 calendar is a guide for retailers that ensures sales comparability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outbreak of COVID-19, which has been declared a global pandemic by the World Health Organization, has affected our business, as well as our customers, team members and suppliers, and resulted in federal, state and local governmental authority safety recommendations and requirements aimed at mitigating the spread of the virus, such as stay-at-home orders, prohibitions of large group gatherings, travel restrictions and closures of certain businesses.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and have worked with our business partners to modify vendor and landlord payments and terms. Our temporary furlough period ended by June 8, 2020 for all of our store, distribution center and corporate team members, and on June 25, 2020, we completed repaying the $500 million draw on the ABL Facility. All three of our distribution centers remained open during the thirteen weeks ended May 2, 2020 and as of May 2, 2020, 257 of our 259 stores were fully operational.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impact of the pandemic and actions taken in response to it had varying effects on our results of operations and our business was extremely unpredictable during the thirteen weeks ended May 2,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we experienced decreased sales of certain of our offerings, primarily for apparel and footwear, and have had to cancel certain of our purchase orders for these products.</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have also seen a significant increase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 customers purchasing our products through omnichannel platforms, specifically as customers increasingly take advantage of our curbside pickup service, which we launched during the thirteen weeks ended May 2, 2020.</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actions by government authorities to contain the outbreak or treat its impact, and changes in consumer behavior resulting from the outbreak and such government actions. See “Risk Factors—Risks Related to Our Business—The impact of COVID-19 may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7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Comparable Sales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define comparable sales as the percentage of period-over-period net sales increase or decrease for stores open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thirteen full fiscal months and for all of our e-commerce.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Various factors affect comparable sales and adjusted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8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Adjusted EBITDA, Adjusted Net Income (Loss), Pro Forma Adjusted Net Income (Loss) and Adjusted Free Cash Flow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E-commerce Penetration. </w:t>
      </w:r>
      <w:r>
        <w:rPr>
          <w:rFonts w:ascii="Times New Roman" w:cs="Times New Roman" w:eastAsia="Times New Roman" w:hAnsi="Times New Roman"/>
          <w:sz w:val="18"/>
          <w:szCs w:val="18"/>
          <w:color w:val="auto"/>
        </w:rPr>
        <w:t>E-commerce penetration is defined as total e-commerce merchandise sales (which includes BOPIS)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merchandise sales.</w:t>
      </w:r>
    </w:p>
    <w:p>
      <w:pPr>
        <w:spacing w:after="0" w:line="15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financial and operating metrics (with nearest GAAP measures where applicable)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except percentages</w:t>
            </w: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21,442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58,501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(10,020)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322,814</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300,259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315,420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53,257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101,469</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57,774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74,472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Net Income (Loss)</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75,927</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43,125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55,538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263,669</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198,481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83,355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(34,603)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196,886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99,454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(32,546)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80,830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(50,486)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penetration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profitability is primarily influenced by fluctuations in net sales, gross margin and our ability to leverage selling, general and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7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general and administrative, or SG&amp;A, expenses include store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public company.</w:t>
      </w:r>
    </w:p>
    <w:p>
      <w:pPr>
        <w:spacing w:after="0" w:line="13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Academy Holding Company, LLC is currently treated as a flow through entity for U.S. federal income tax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no federal income tax expense has been recorded in our consolidated statements of income. Our tax rate is almost entirely the result of state income taxes. After consummation of this offering, Academy Sports and Outdoors, Inc. will become subject to U.S. federal income taxes and we will be taxed at the prevailing corporate tax rates. We will be treated as a U.S. corporation for U.S. federal, state, and local income tax purposes after this offering and accordingly, a provision for income taxes will be recorded for the anticipated tax consequences of our reported results of operations for federal, state and local income taxes.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2, 2020 Compared to Thirteen Weeks Ended May 4, 2019</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2019</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r>
      <w:tr>
        <w:trPr>
          <w:trHeight w:val="209"/>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1,136,301</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1,076,792</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$ 59,509</w:t>
            </w:r>
          </w:p>
        </w:tc>
        <w:tc>
          <w:tcPr>
            <w:tcW w:w="3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838,356</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763,796</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70.9%</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74,560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297,945</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312,996</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29.1%</w:t>
            </w:r>
          </w:p>
        </w:tc>
        <w:tc>
          <w:tcPr>
            <w:tcW w:w="11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(15,051)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283,923</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301,602</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28.0%</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(17,679)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14,022</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11,394</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24,522</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27,037</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(2,515)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(41,138)</w:t>
            </w:r>
          </w:p>
        </w:tc>
        <w:tc>
          <w:tcPr>
            <w:tcW w:w="7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41,138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(441)</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(9,507)</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25,936</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(35,443)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513</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530</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25,406</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(35,426)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50"/>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Percentages in table may not sum properly due to rounding.</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2"/>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5"/>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2, 2020</w:t>
            </w:r>
          </w:p>
        </w:tc>
        <w:tc>
          <w:tcPr>
            <w:tcW w:w="40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68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259</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259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Relocated stores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75" w:lineRule="exact"/>
        <w:rPr>
          <w:sz w:val="20"/>
          <w:szCs w:val="20"/>
          <w:color w:val="auto"/>
        </w:rPr>
      </w:pPr>
    </w:p>
    <w:p>
      <w:pPr>
        <w:jc w:val="both"/>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$59.5 million, or 5.5%, in the first quarter 2020 over the prior year first quarter due to an increase in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of 3.1%, as well as additional net sales generated by new locations. As of the end of the first quarter 2020, we operated a net six additional stores as compared to the end of the first quarter 2019 and we had the full benefit of one store opened during the prior year quarter. Collectively, these stores accounted for an increase of $22.9 million in net sales for the first quarter 2020.</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3.1% increase in comparable sales resulted from an increase in comparable sales of 37.9% in the outdoors merchandise division and 15.2% in the sports and recreation merchandise division, which were partially offset by declines of 24.0% and 23.0% in apparel and footwear, respectively. The effects of the COVID-19 pandemic during this period have caused significant increases in popularity of isolated recreation, outdoor and leisure activities that we believe have driven the increases in our outdoors and sports and recreation merchandise divisions. Likewise, we believe that the decreases in our apparel and footwear merchandise divisions were predominately driven by a temporary but significant shift in customer behavior at the substantial beginning of the COVID-19 pandemic, which saw customers focus on purchasing primarily isolated recreation, outdoor and leisure activity products in addition to “essential items.” The outdoors merchandise division increase was driven primarily by strong firearms and ammunition sales. Sports and recreation merchandise division sales increased as a result of various products, such as fitness equipment, bicycles, watersports, trampolines and playsets. We believe that improvements to our business in the back half of 2019, such as the introduction of BOPIS and enhancements to our website, together with our big-box store format and the implementation of a number of safety measures within our stores in response to COVID-19 helped facilitate our customers’ ability to obtain the products they sought in a safe manner, which contributed to the increase in comparable sales during this period. The negative offsets in both apparel and footwear impacted most every product type within these categories.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E-commerce net sales increased $118.4 million, or 405.5%, in the first quarter 2020 compared to the prior year first quarter and represented 13.1% of merchandise sales for the first quarter 2020 compared to 2.8% in the prior year. This increase was driven by a change in consumer shopping preferences and sales restrictions resulting from the COVID-19 pandemic. Additionally, enhancements to our e-commerce platform, including the introduction of BOPIS at the end of the second quarter 2019 and rapid development of curbside fulfillment to further support BOPIS in the first quarter 2020, contributed to the increase in e-commerce sales.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decreased $15.1 million, or 4.8%, to $297.9 million in the first quarter 2020 from $313.0 million in the first quarter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As a percentage of net sales, gross margin decreased 2.9% from 29.1% in the first quarter 2019 to 26.2% in the first quarter 2020. The decrease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290 basis points in gross margin is primarily attributable to:</w:t>
      </w:r>
    </w:p>
    <w:p>
      <w:pPr>
        <w:spacing w:after="0" w:line="112" w:lineRule="exact"/>
        <w:rPr>
          <w:sz w:val="20"/>
          <w:szCs w:val="20"/>
          <w:color w:val="auto"/>
        </w:rPr>
      </w:pPr>
    </w:p>
    <w:p>
      <w:pPr>
        <w:jc w:val="both"/>
        <w:ind w:left="1080" w:right="6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 basis points of unfavorability in merchandise margins from lower margin goods driving the increased sales as a result of the change in consumer preferences that occurred because of the COVID-19 pandemic whereby our customers’ needs turned primarily towards isolated recreation, outdoor and leisure activity products in addition to “essential items;”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basis points of unfavorability related to import freight as a result of increased duties on products sold.</w:t>
      </w:r>
    </w:p>
    <w:p>
      <w:pPr>
        <w:spacing w:after="0" w:line="2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$17.7 million, or 5.9%, to $283.9 million in the first quarter 2020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$301.6 million in the first quarter 2019. As a percentage of net sales, SG&amp;A expenses were down 3.0% to 25.0% in the first quarter 2020 compared to 28.0% in the first quarter 2019. The decrease of 300 basis points in SG&amp;A is primarily attributable to:</w:t>
      </w:r>
    </w:p>
    <w:p>
      <w:pPr>
        <w:spacing w:after="0" w:line="80"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basis point decrease in wages as a result of temporary salary cuts and furloughs during the first quarter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basis point decrease in advertising;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decrease in professional fees related to a prior year strategic initiative;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declines as a result of leveraging SG&amp;A costs on increased sales.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$2.5 million, or 9.3%, in the first quarter 2020 when compared with the first quarter 2019,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result of a lower outstanding balance on our Term Loan Facility from prior year principal repurchases of $147.7 million and lower interest rates partially offset by higher interest on our ABL Facility due to a higher average outstanding balance.</w:t>
      </w:r>
    </w:p>
    <w:p>
      <w:pPr>
        <w:spacing w:after="0" w:line="17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In addition to the factors discussed above, net income decreased $35.4 million, or 139.4%, in the first quarter 2020 compared to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2019 primarily because of the $41.1 million gain on early retirement of debt that was recognized in the first quarter 2019.</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(52 weeks) Compared to 2018 (52 weeks)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4,829,897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4,783,893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$ 46,004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3,398,743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3,415,941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1,431,154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1,367,952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1,251,733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1,239,002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128,950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101,307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(42,265)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$ 98,601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Borders>
              <w:top w:val="single" w:sz="8" w:color="auto"/>
            </w:tcBorders>
            <w:gridSpan w:val="6"/>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$46.0 million, or 1.0%, in 2019 over the prior year. The 1.0% increase was driven primarily by additional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 comparable sales increase of 4.7% in apparel and 1.0% in footwear. The apparel merchandise division increased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2019 increased $63.2 million, or 4.6%, when compared to 2018.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29.6% in 2019 compared to 28.6% in 2018, an increase of 100 basis points. This increase is primarily due to:</w:t>
      </w:r>
    </w:p>
    <w:p>
      <w:pPr>
        <w:spacing w:after="0" w:line="6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basis points of favorability on merchandise margins from favorability in inventory valuation adjustments relative to the prior year;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increased $12.7 million, or 1.0%, to $1,251.7 million in 2019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$1,239.0 million in 2018. As a percentage of net sales, SG&amp;A remained flat at 25.9% in 2019 compared to 2018. The notable changes within SG&amp;A were as follows:</w:t>
      </w:r>
    </w:p>
    <w:p>
      <w:pPr>
        <w:spacing w:after="0" w:line="80" w:lineRule="exact"/>
        <w:rPr>
          <w:sz w:val="20"/>
          <w:szCs w:val="20"/>
          <w:color w:val="auto"/>
        </w:rPr>
      </w:pPr>
    </w:p>
    <w:p>
      <w:pPr>
        <w:ind w:left="1080" w:right="2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$7.3 million, or 6.8%, to $101.3 million in 2019 from $108.7 million in 2018, resulting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lower outstanding balance on our Term Loan Facility due to the principal repurchases of $147.7 million during 2019.</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(52 weeks) Compared to 2017 (53 weeks)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160" w:type="dxa"/>
            <w:vAlign w:val="bottom"/>
          </w:tcPr>
          <w:p>
            <w:pPr>
              <w:spacing w:after="0"/>
              <w:rPr>
                <w:sz w:val="13"/>
                <w:szCs w:val="13"/>
                <w:color w:val="auto"/>
              </w:rPr>
            </w:pPr>
          </w:p>
        </w:tc>
        <w:tc>
          <w:tcPr>
            <w:tcW w:w="20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color w:val="auto"/>
                <w:w w:val="98"/>
              </w:rPr>
              <w:t>Basis</w:t>
            </w:r>
          </w:p>
        </w:tc>
        <w:tc>
          <w:tcPr>
            <w:tcW w:w="30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Current Year</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Prior Year Comparable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Comparable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06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Comparable Period</w:t>
            </w:r>
          </w:p>
        </w:tc>
        <w:tc>
          <w:tcPr>
            <w:tcW w:w="304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185"/>
        </w:trPr>
        <w:tc>
          <w:tcPr>
            <w:tcW w:w="7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1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Comparable</w:t>
            </w:r>
          </w:p>
        </w:tc>
        <w:tc>
          <w:tcPr>
            <w:tcW w:w="9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rPr>
              <w:t>February 2, 2019</w:t>
            </w:r>
          </w:p>
        </w:tc>
        <w:tc>
          <w:tcPr>
            <w:tcW w:w="304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8"/>
              </w:rPr>
              <w:t>February 3, 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Pr>
          <w:p>
            <w:pPr>
              <w:spacing w:after="0"/>
              <w:rPr>
                <w:sz w:val="17"/>
                <w:szCs w:val="17"/>
                <w:color w:val="auto"/>
              </w:rPr>
            </w:pPr>
          </w:p>
        </w:tc>
        <w:tc>
          <w:tcPr>
            <w:tcW w:w="2080" w:type="dxa"/>
            <w:vAlign w:val="bottom"/>
            <w:gridSpan w:val="2"/>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9"/>
              </w:rPr>
              <w:t>Comparable</w:t>
            </w:r>
          </w:p>
        </w:tc>
        <w:tc>
          <w:tcPr>
            <w:tcW w:w="306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304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rPr>
              <w:t>Fifty-two weeks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January 27, 2018</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January 28, 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4,783,893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4,835,582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$(51,689)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3,436,618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1,398,964</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1,241,643</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157,321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108,652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104,857</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Borders>
              <w:top w:val="single" w:sz="8" w:color="auto"/>
            </w:tcBorders>
            <w:gridSpan w:val="6"/>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$51.7 million, or 1.1%, in 2018 over the prior year. The 1.1% decrease was driven primarily by a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disclosure has been updated to reflect the new merchandise division category and product reclassification completed in 2019. See “Business.”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decline in the sports and recreation merchandise division in 2018 was caused by declines in both the team sports/fitness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2018 decreased $31.0 million, or 2.2%, when compared to 2017.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28.6% in 2018 compared to 28.9% in 2017, a decrease of 30 basis points. This decrease is primarily due to:</w:t>
      </w:r>
    </w:p>
    <w:p>
      <w:pPr>
        <w:spacing w:after="0" w:line="64" w:lineRule="exact"/>
        <w:rPr>
          <w:sz w:val="20"/>
          <w:szCs w:val="20"/>
          <w:color w:val="auto"/>
        </w:rPr>
      </w:pPr>
    </w:p>
    <w:p>
      <w:pPr>
        <w:ind w:left="1080" w:right="2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on freight due to increased domestic and international freight pricing and duties;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merchandise margins due to increased clearance and promotional activities, coupled with the growth of e-commerce sales;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due to decreased inventory shrinkage.</w:t>
      </w:r>
    </w:p>
    <w:p>
      <w:pPr>
        <w:spacing w:after="0" w:line="22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$2.6 million, or 0.2%, to $1,239.0 million in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$1,241.6 million in 2017. As a percentage of net sales, SG&amp;A was 25.9% in 2018 compared to 25.7% in 2017. SG&amp;A as a percentage of net sales increased 20 basis points primarily driven by:</w:t>
      </w:r>
    </w:p>
    <w:p>
      <w:pPr>
        <w:spacing w:after="0" w:line="80" w:lineRule="exact"/>
        <w:rPr>
          <w:sz w:val="20"/>
          <w:szCs w:val="20"/>
          <w:color w:val="auto"/>
        </w:rPr>
      </w:pPr>
    </w:p>
    <w:p>
      <w:pPr>
        <w:ind w:left="1080" w:right="1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 decrease in professional fees related to our 2017 profitability and growth initiatives.</w:t>
      </w:r>
    </w:p>
    <w:p>
      <w:pPr>
        <w:spacing w:after="0" w:line="221"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increased $3.8 million, or 3.6%, to $108.7 million in 2018 from $104.9 million in 2017, resulting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rising interest rates on our Term Loan Facility, which was partially offset by more favorable positions on our interest rate swaps relative to 2017.</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comparable sales</w:t>
      </w:r>
    </w:p>
    <w:p>
      <w:pPr>
        <w:spacing w:after="0" w:line="11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our comparable sales to our adjusted comparable sales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except percentages</w:t>
            </w: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80" w:type="dxa"/>
            <w:vAlign w:val="bottom"/>
          </w:tcPr>
          <w:p>
            <w:pPr>
              <w:spacing w:after="0"/>
              <w:rPr>
                <w:sz w:val="10"/>
                <w:szCs w:val="10"/>
                <w:color w:val="auto"/>
              </w:rPr>
            </w:pPr>
          </w:p>
        </w:tc>
        <w:tc>
          <w:tcPr>
            <w:tcW w:w="148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76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May 2, 2020</w:t>
            </w:r>
          </w:p>
        </w:tc>
        <w:tc>
          <w:tcPr>
            <w:tcW w:w="72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sales associated with Houston Astros</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Series appearances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0.7%</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(0.8)%</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sales of a product driven by free</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shipping promotion</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Sales from the exited product categories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Adjusted Net Income (Loss), Pro Forma Adjusted Net Income (Loss) and Adjusted Free Cash Flow</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82"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8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0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4"/>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97"/>
              </w:rPr>
              <w:t>52 weeks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$ 120,043</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58,501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$(10,020)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$ 25,406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101,307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131,816</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133,281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29,784</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3,636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7,881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(41,138)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1,454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7,086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$ 322,814</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300,259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$ 315,420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$ 53,257</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$ 49,589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4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$ 120,043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58,501</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$(10,020)</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$ 25,406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60" w:type="dxa"/>
            <w:vAlign w:val="bottom"/>
            <w:tcBorders>
              <w:right w:val="single" w:sz="8" w:color="CCEEFF"/>
            </w:tcBorders>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(41,138)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$ 101,469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57,774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74,472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Adjusted Net Income (Loss)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75,927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55,538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540" w:right="28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40" w:hanging="424"/>
        <w:spacing w:after="0" w:line="257"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60" w:type="dxa"/>
            <w:vAlign w:val="bottom"/>
            <w:gridSpan w:val="2"/>
          </w:tcPr>
          <w:p>
            <w:pPr>
              <w:jc w:val="center"/>
              <w:ind w:left="145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5"/>
                <w:szCs w:val="15"/>
                <w:color w:val="auto"/>
              </w:rPr>
            </w:pP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$ 263,669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198,481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83,355</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$90,756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(99,027)</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(115,901)</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(9,926)</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(15,883)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$ 196,886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99,454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(32,546)</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80,830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(50,486)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40" w:type="dxa"/>
            <w:vAlign w:val="bottom"/>
            <w:vMerge w:val="restart"/>
          </w:tcPr>
          <w:p>
            <w:pPr>
              <w:jc w:val="right"/>
              <w:ind w:right="475"/>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jc w:val="center"/>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sales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Selling, general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Gain on early retirement of debt,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Comparable sales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comparable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419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419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Net Income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 Forma Adjusted Net Income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reconciliation of comparable sales to adjusted comparable sales for the periods presented:</w:t>
      </w:r>
    </w:p>
    <w:p>
      <w:pPr>
        <w:spacing w:after="0" w:line="24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2780" w:type="dxa"/>
        <w:tblCellMar>
          <w:top w:w="0" w:type="dxa"/>
          <w:left w:w="0" w:type="dxa"/>
          <w:bottom w:w="0" w:type="dxa"/>
          <w:right w:w="0" w:type="dxa"/>
        </w:tblCellMar>
      </w:tblPr>
      <w:tr>
        <w:trPr>
          <w:trHeight w:val="117"/>
        </w:trPr>
        <w:tc>
          <w:tcPr>
            <w:tcW w:w="600" w:type="dxa"/>
            <w:vAlign w:val="bottom"/>
            <w:tcBorders>
              <w:top w:val="single" w:sz="8" w:color="auto"/>
            </w:tcBorders>
          </w:tcPr>
          <w:p>
            <w:pPr>
              <w:jc w:val="center"/>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Borders>
              <w:top w:val="single" w:sz="8" w:color="auto"/>
            </w:tcBorders>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r>
      <w:tr>
        <w:trPr>
          <w:trHeight w:val="175"/>
        </w:trPr>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Comparable sales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sales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Houston Astros World Series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appearances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Additional sales of a product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driven by free shipping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promotion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from the exited product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comparable sales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amortization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Consulting fees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Adviser monitoring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Gain on early extinguishment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Severance and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transition costs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related to the COVID-19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548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Inventory write-down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adjustments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strategic merchandising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initiative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Adviser monitoring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Gain on early extinguishment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debt,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Severance and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Costs related to the COVID-19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pandemic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Inventory write-down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adjustments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strategic merchandising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effects of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Net Income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tax effect of change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C-Corporation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Pro Forma Adjusted Net Income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(Loss)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jc w:val="center"/>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cash used in investing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generated from operating activities and borrowings under our Term Loan Facility and ABL Facility. Our historical uses of cash have been primarily to fund operating activities, such as the purchase and growth of inventory, expansion of our sales and marketing activities and other working capital needs; for capital improvements and support of expansion plans, as well as various investments in store renovations, store fixtures and on-going infrastructure improvements; to pay our debt obligations and related interest expense; and associated with fluctuations in working capital due to timing differences of cash receipts and cash disbursements.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focused on navigating the challenges presented by COVID-19 through the preservation of our liquidity and management of cash flow through preemptive actions to enhance our ability to meet our short-term liquidity needs. We have taken various cost cutting measures to maximize operational cash flows. Such actions include, but are not limited to, reduction of discretionary spending, deferring or cancelling our planned expenses, revisiting and reprioritizing our strategic investments, and reducing our payroll costs, including temporary team member furloughs and pay cuts. Additionally, in March 2020, the Company drew down $500 million on the ABL Facility as a precautionary measure to ensure financial flexibility and maximize liquidity, which we subsequently repaid in full in June 2020. See “—Impact of COVID-19 on Our Business.”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of May 2, 2020, our cash and cash equivalents totaled $725.6 million. We expect to use existing cash balances, internally generated cash flows and available borrowings under our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letters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first quarter 2020 was ample to support our operations and service our requirements.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Liquidity information related to our ABL Facility is as follows as of and for the periods shown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Pr>
          <w:p>
            <w:pPr>
              <w:spacing w:after="0"/>
              <w:rPr>
                <w:sz w:val="10"/>
                <w:szCs w:val="10"/>
                <w:color w:val="auto"/>
              </w:rPr>
            </w:pPr>
          </w:p>
        </w:tc>
      </w:tr>
      <w:tr>
        <w:trPr>
          <w:trHeight w:val="173"/>
        </w:trPr>
        <w:tc>
          <w:tcPr>
            <w:tcW w:w="4720" w:type="dxa"/>
            <w:vAlign w:val="bottom"/>
          </w:tcPr>
          <w:p>
            <w:pPr>
              <w:spacing w:after="0"/>
              <w:rPr>
                <w:sz w:val="15"/>
                <w:szCs w:val="15"/>
                <w:color w:val="auto"/>
              </w:rPr>
            </w:pPr>
          </w:p>
        </w:tc>
        <w:tc>
          <w:tcPr>
            <w:tcW w:w="2400" w:type="dxa"/>
            <w:vAlign w:val="bottom"/>
            <w:gridSpan w:val="2"/>
          </w:tcPr>
          <w:p>
            <w:pPr>
              <w:jc w:val="center"/>
              <w:ind w:left="16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funds drawn</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$232,967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640" w:type="dxa"/>
            <w:vAlign w:val="bottom"/>
            <w:gridSpan w:val="3"/>
            <w:shd w:val="clear" w:color="auto" w:fill="CCEEFF"/>
          </w:tcPr>
          <w:p>
            <w:pPr>
              <w:jc w:val="center"/>
              <w:ind w:left="1395"/>
              <w:spacing w:after="0"/>
              <w:rPr>
                <w:sz w:val="20"/>
                <w:szCs w:val="20"/>
                <w:color w:val="auto"/>
              </w:rPr>
            </w:pPr>
            <w:r>
              <w:rPr>
                <w:rFonts w:ascii="Times New Roman" w:cs="Times New Roman" w:eastAsia="Times New Roman" w:hAnsi="Times New Roman"/>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122,300</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64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$270,152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819,841</w:t>
            </w:r>
          </w:p>
        </w:tc>
      </w:tr>
    </w:tbl>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4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Pr>
          <w:p>
            <w:pPr>
              <w:spacing w:after="0"/>
              <w:rPr>
                <w:sz w:val="10"/>
                <w:szCs w:val="10"/>
                <w:color w:val="auto"/>
              </w:rPr>
            </w:pPr>
          </w:p>
        </w:tc>
      </w:tr>
      <w:tr>
        <w:trPr>
          <w:trHeight w:val="173"/>
        </w:trPr>
        <w:tc>
          <w:tcPr>
            <w:tcW w:w="41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122,300</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Issued letters of credit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borrowing capacity</w:t>
            </w:r>
            <w:r>
              <w:rPr>
                <w:rFonts w:ascii="Times New Roman" w:cs="Times New Roman" w:eastAsia="Times New Roman" w:hAnsi="Times New Roman"/>
                <w:sz w:val="15"/>
                <w:szCs w:val="15"/>
                <w:color w:val="auto"/>
              </w:rPr>
              <w:t>(1)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270,152</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819,841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85725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540" w:right="480" w:hanging="439"/>
        <w:spacing w:after="0" w:line="282"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COVID-19 pandemic, we drew $500 million under our ABL Facility in March 2020, which we subsequently repaid in full in June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2020 to be approximately $50.0 million. Approximately 70% of our planned cash outflow relate to investments in our corporate, e-commerce and information technology programs. The remaining 30% of the planned cash outflow is for our existing stores and distribution centers. We review forecasted capital expenditures throughout the year and will adjust or modify projects based on business conditions at that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Thirteen Weeks Ended May 2, 2020 and May 4,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unaudited statements of cash flows for the periods shown are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495,400</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16,219</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576,230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consists primarily of net income adjusted for non-cash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non-cash lease expense, stock based compensation, amortization of deferred loan and other costs, non-cash gain on early retirement of debt, net, and changes in assets and liabilities.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 the first quarter 2020 increased $125.4 million, compared to the first quarter 2019. This increase in cash is attributable to a $110.1 million net increase in cash flows provided by operating assets and liabilities and a $50.7 million increase in non-cash charges, partially offset by a $35.4 million decrease in net income. The increase in cash flows from operating assets and liabilities for the first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quarter 2020 compared to the first quarter 2019 was primarily attributable to a $169.5 million decrease in merchandise inventories, net, related to the first quarter 2020 inventory reduction from high sell-through and reduction of receipts, compared to an increase in inventory during the first quarter 2019, partially offset by a $47.2 million decrease in accounts payable related to a strategic decrease in inventory receipts in the back half of the first quarter 2020 and a $19.5 million decrease in accrued expenses and other current liabilities related to a decrease in accrued wages as a result of temporarily decreased salaries and furloughs. The increase from non-cash charges was primarily caused by a $41.1 million net gain on the early retirement of debt from the repurchase of a portion of the Term Loan Facility during the first quarter 2019 and a $11.9 million increase in non-cash lease expense due to timing of May rent payments.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73"/>
        </w:trPr>
        <w:tc>
          <w:tcPr>
            <w:tcW w:w="6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17"/>
        </w:trPr>
        <w:tc>
          <w:tcPr>
            <w:tcW w:w="6740" w:type="dxa"/>
            <w:vAlign w:val="bottom"/>
          </w:tcPr>
          <w:p>
            <w:pPr>
              <w:spacing w:after="0"/>
              <w:rPr>
                <w:sz w:val="10"/>
                <w:szCs w:val="10"/>
                <w:color w:val="auto"/>
              </w:rPr>
            </w:pPr>
          </w:p>
        </w:tc>
        <w:tc>
          <w:tcPr>
            <w:tcW w:w="56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40" w:type="dxa"/>
            <w:vAlign w:val="bottom"/>
          </w:tcPr>
          <w:p>
            <w:pPr>
              <w:spacing w:after="0"/>
              <w:rPr>
                <w:sz w:val="10"/>
                <w:szCs w:val="10"/>
                <w:color w:val="auto"/>
              </w:rPr>
            </w:pPr>
          </w:p>
        </w:tc>
      </w:tr>
      <w:tr>
        <w:trPr>
          <w:trHeight w:val="173"/>
        </w:trPr>
        <w:tc>
          <w:tcPr>
            <w:tcW w:w="67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9,926</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$11,895</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$6.0 million in the first quarter 2020 compared to the first quarter 2019. The decrease in cash used in investing activities is primarily due to an issuance of a $4.0 million note receivable to a member in the first quarter 2019 and $2.0 million less capital expenditures due to a planned overall reduction in the first quarter 2020 led by a reduction in new stores and store remodeling.</w:t>
      </w:r>
    </w:p>
    <w:p>
      <w:pPr>
        <w:spacing w:after="0" w:line="17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provided by financing activities increased $479.2 million in the first quarter 2020, compared to the first quarter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primary drivers of the increase were a $377.7 million cash inflow increase related to increased net proceeds from the ABL Facility during the first quarter 2020 and a $101.5 million decrease in cash outflows related to the early retirement of a portion of the Term Loan Facility during the first quarter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2019, 2018 and 2017:</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consolidated statements of cash flows for the periods shown are summarized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r>
      <w:tr>
        <w:trPr>
          <w:trHeight w:val="173"/>
        </w:trPr>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(115,901)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by operating activities for 2019 increased $65.2 million compared to 2018. This increase is attributable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Term Loan Facility in 2019.</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6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3"/>
          </w:tcPr>
          <w:p>
            <w:pPr>
              <w:jc w:val="center"/>
              <w:ind w:left="11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40" w:type="dxa"/>
            <w:vAlign w:val="bottom"/>
            <w:gridSpan w:val="2"/>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3660" w:type="dxa"/>
            <w:vAlign w:val="bottom"/>
          </w:tcPr>
          <w:p>
            <w:pPr>
              <w:spacing w:after="0"/>
              <w:rPr>
                <w:sz w:val="15"/>
                <w:szCs w:val="15"/>
                <w:color w:val="auto"/>
              </w:rPr>
            </w:pPr>
          </w:p>
        </w:tc>
        <w:tc>
          <w:tcPr>
            <w:tcW w:w="29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62,818</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$ 107,905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$ 132,126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$68.4 million in 2019 compared to 2018 primarily due to a $104.6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outflow related to the early retirement of a portion of the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Term Loan Facility of $19.7 million in 2017.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our audited consolidated financial statements included elsewhere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SG&amp;A expenses on the consolidated statements of income. See Note 6</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to our audited consolidated financial statements included elsewhere in this prospectus.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impairment charge is necessary. The income approach uses a discounted cash flow analysis of our projected future income, and the market value approach is based on earnings multiples for a comparable set of public companies.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elected the practical expedient available to us under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color w:val="auto"/>
        </w:rPr>
        <w:t xml:space="preserve">retained earnings of approximately $5.1 million.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May 2,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enter into letters of credit in the ordinary course of operating and financing activities. As of May 2, 2020, we had outstanding letters of credit of $17.3 million, of which $15.9 million were issued under our ABL Facility, primarily for insurance and foreign product purchases.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our letters of credit commitments as of May 2, 2020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5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1 - 3</w:t>
            </w:r>
          </w:p>
        </w:tc>
        <w:tc>
          <w:tcPr>
            <w:tcW w:w="12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6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7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Commercial Commitments:</w:t>
            </w:r>
          </w:p>
        </w:tc>
        <w:tc>
          <w:tcPr>
            <w:tcW w:w="2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350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rPr>
              <w:t>$  17,332</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$ 7,415</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$9,917</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commercial commitments as of February 1, 2020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16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interest</w:t>
            </w:r>
            <w:r>
              <w:rPr>
                <w:rFonts w:ascii="Times New Roman" w:cs="Times New Roman" w:eastAsia="Times New Roman" w:hAnsi="Times New Roman"/>
                <w:sz w:val="15"/>
                <w:szCs w:val="15"/>
                <w:color w:val="auto"/>
              </w:rPr>
              <w:t>(2)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78,855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196,088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related commitments and other</w:t>
            </w:r>
            <w:r>
              <w:rPr>
                <w:rFonts w:ascii="Times New Roman" w:cs="Times New Roman" w:eastAsia="Times New Roman" w:hAnsi="Times New Roman"/>
                <w:sz w:val="15"/>
                <w:szCs w:val="15"/>
                <w:color w:val="auto"/>
              </w:rPr>
              <w:t>(4)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agreement</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$ 3,650,779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$ 1,951,135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excluding discount and debt issuance costs.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shown are approximated based on projected interest rates and do not give effect to interest rate swaps.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technology related contractual commitments and other commitments such as construction commitments. The amounts included in the table are for executed contracts less amounts paid.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16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our contractual payments under our Monitoring Agreement with the Adviser. See “Certain Relationships and Related Party Transactions—Monitoring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320" w:top="455" w:right="5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MSAs.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12 months of opening a store. We are continually assessing the number of locations available that could accommodate our footprint in markets we would consider and we expect to open eight to 10 new stores per year, starting in 2022, which is similar to our growth rates from 2018 to 2019.</w:t>
      </w:r>
    </w:p>
    <w:p>
      <w:pPr>
        <w:spacing w:after="0" w:line="194"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42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-1373505</wp:posOffset>
            </wp:positionV>
            <wp:extent cx="1937385" cy="2520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201" w:lineRule="exact"/>
        <w:rPr>
          <w:sz w:val="20"/>
          <w:szCs w:val="20"/>
          <w:color w:val="auto"/>
        </w:rPr>
      </w:pPr>
    </w:p>
    <w:p>
      <w:pPr>
        <w:ind w:left="120" w:right="458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which is nearly two times greater than our nearest competitors, average sales per square foot of $264, which is more productive than our nearest competitors, and average EBITDA per store of $1.3 million, which represents a more profitable store than our nearest competitors.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406% during 2019 and the first quarter 2020, respectively. Our e-commerce sales represented 5% and 13% of our merchandise sales in 2019 and the first quarter 2020, respectively. We are deepening our customer relationships, further integrating our e-commerce platform with our stores and driving operating efficiencies by developing our omnichannel capabilities. Our BOPIS program, launched in 2019, accounted for approximately 24% and 48% of our e-commerce sales during 2019 and the first quarter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Academy brand, with approximately 30% of our e-commerce sales during first quarter 2020 coming from new households.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4"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finished the twelve months ended May 2, 2020 with approximately $4.9 billion in sales, $85 million of net income and $326 million in Adjusted EBITDA. Although comparable sales have been negative for the past three fiscal years, we have seen three consecutive quarters of positive comparable sales as of the first quarter 2020. In addition, first quarter 2020 reflected our third consecutive quarter of Adjusted EBITDA growth and our fourth consecutive quarter of Adjusted Free Cash Flow growth. We earned net income of $21 million, $120 million and $85 million and Pro Forma Adjusted Net Income of $43 million, $76 million and $82 million in 2018, 2019 and the twelve months ended May 2, 2020, respectively, which included $10 million of net loss and $0.44 million of Pro Forma Adjusted Net Income for first quarter 2020. See “Summary—Summary Historical Consolidated Financial and Other Data” for definitions of Adjusted EBITDA, Pro Forma Adjusted Net Income and Adjusted Free Cash Flow and reconciliations of Adjusted EBITDA and Pro Forma Adjusted Net Income to net income (loss) and Adjusted Free Cash Flow to net cash provided by operating activities.</w:t>
      </w:r>
    </w:p>
    <w:p>
      <w:pPr>
        <w:spacing w:after="0" w:line="194" w:lineRule="exact"/>
        <w:rPr>
          <w:sz w:val="20"/>
          <w:szCs w:val="20"/>
          <w:color w:val="auto"/>
        </w:rPr>
      </w:pPr>
    </w:p>
    <w:p>
      <w:pPr>
        <w:ind w:left="1240"/>
        <w:spacing w:after="0"/>
        <w:tabs>
          <w:tab w:leader="none" w:pos="4820" w:val="left"/>
          <w:tab w:leader="none" w:pos="834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74930</wp:posOffset>
            </wp:positionV>
            <wp:extent cx="6351905" cy="8229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519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We have made significant progress on several key performance improvement initiatives that drove positive comparable sales and Adjusted EBITDA growth in the last three consecutive quarters ended May 2, 2020, and created a foundation for our future growth. These key initiatives include:</w:t>
      </w:r>
    </w:p>
    <w:p>
      <w:pPr>
        <w:spacing w:after="0" w:line="43" w:lineRule="exact"/>
        <w:rPr>
          <w:sz w:val="20"/>
          <w:szCs w:val="20"/>
          <w:color w:val="auto"/>
        </w:rPr>
      </w:pPr>
    </w:p>
    <w:p>
      <w:pPr>
        <w:ind w:left="1080" w:right="80" w:hanging="424"/>
        <w:spacing w:after="0" w:line="25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crawfish boiler sells well in Louisiana, but not in North Carolina,</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our fishing assortment sells better in stores with closer proximity to fishing venues. This initiative resulted in an improved customer shopping experience and increased sales.</w:t>
      </w:r>
    </w:p>
    <w:p>
      <w:pPr>
        <w:spacing w:after="0" w:line="65" w:lineRule="exact"/>
        <w:rPr>
          <w:sz w:val="20"/>
          <w:szCs w:val="20"/>
          <w:color w:val="auto"/>
        </w:rPr>
      </w:pPr>
    </w:p>
    <w:p>
      <w:pPr>
        <w:ind w:left="1080" w:right="300" w:hanging="424"/>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jc w:val="both"/>
        <w:ind w:left="1080" w:right="160" w:hanging="424"/>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2.96x as of first quarter 2020.</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(40,000 square feet) in Dallas, Texas in 2019. We believe this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smaller format store allows us to open new stores in urban and less dense areas. During the first quarter 2020, this smaller format store experienced approximately 27% higher sales per square foot and 19% higher inventory turns than the average of all Academy stores which had $62 sales per square foot and 0.87 inventory turns. We evaluate performance inclusive of store sales, as well as BOPIS sales and other fulfilled sales from the location.</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29" w:lineRule="exact"/>
        <w:rPr>
          <w:sz w:val="20"/>
          <w:szCs w:val="20"/>
          <w:color w:val="auto"/>
        </w:rPr>
      </w:pPr>
    </w:p>
    <w:p>
      <w:pPr>
        <w:ind w:left="1080" w:right="6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(examples: Walmart, Kohl’s and Target) generally range in size from 50,000 to over 200,000 square feet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offer a broad selection of sporting goods and outdoor recreation merchandise.</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are frequently located in regional malls and shopping centers and typically carry a varied assortment of primarily sporting goods merchandise.</w:t>
      </w:r>
    </w:p>
    <w:p>
      <w:pPr>
        <w:spacing w:after="0" w:line="7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 square feet and typically focus on specific categories such as outdoor recreation.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typically focus on specific categories such as athletic footwear.</w:t>
      </w:r>
    </w:p>
    <w:p>
      <w:pPr>
        <w:spacing w:after="0" w:line="63"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and eBay)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outdoor, team sports, apparel and footwear, is expected to grow approximately 6% per annum. The rising popularity in loyalty to premium brands, and importance of experience for customers also serve as constructive tailwinds to our business.</w:t>
      </w:r>
    </w:p>
    <w:p>
      <w:pPr>
        <w:spacing w:after="0" w:line="162"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geographic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and the largest regional sporting goods retailer in the southern United States, with 2019 net sales of $4.8 billion. Management has made this determination on the basis that in 2019 we derived higher total revenue from our stores located in the 2019 U.S. Census Bureau’s “south” region than any other sporting goods and outdoor recreation retailer in this region. We believe our stores are well positioned geographically, with a strong and growing presence in six of the top 10 fastest-growing MSAs, including Dallas, Houston, Atlanta, Austin, Charlotte and San Antonio. As of May 2, 2020, 29% of our stores are in four of the top five fastest-growing MSAs. This deep penetration of our established markets results in high customer awareness of, and loyalty to, the Academy name and frequent visits to our conveniently located stores. Our stores deliver industry-leading unit sales and profitability economics, including 2019 net sales per store that are nearly two times greater than our nearest competitors.</w:t>
      </w:r>
    </w:p>
    <w:p>
      <w:pPr>
        <w:spacing w:after="0" w:line="19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Yeti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geographical footprint.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weather changes, or to purchase an add-on product that was forgotten on a day trip. We have developed considerable expertise in identifying, stocking and selling a relevant assortment to meet the local needs and demands.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8"/>
          <w:szCs w:val="18"/>
          <w:i w:val="1"/>
          <w:iCs w:val="1"/>
          <w:color w:val="auto"/>
        </w:rPr>
        <w:t xml:space="preserve">Enthusiasts </w:t>
      </w:r>
      <w:r>
        <w:rPr>
          <w:rFonts w:ascii="Times New Roman" w:cs="Times New Roman" w:eastAsia="Times New Roman" w:hAnsi="Times New Roman"/>
          <w:sz w:val="18"/>
          <w:szCs w:val="18"/>
          <w:color w:val="auto"/>
        </w:rPr>
        <w:t>–passionate local experts who are specially recruited and trained for category-specific positions. Our</w:t>
      </w:r>
      <w:r>
        <w:rPr>
          <w:rFonts w:ascii="Times New Roman" w:cs="Times New Roman" w:eastAsia="Times New Roman" w:hAnsi="Times New Roman"/>
          <w:sz w:val="18"/>
          <w:szCs w:val="18"/>
          <w:i w:val="1"/>
          <w:iCs w:val="1"/>
          <w:color w:val="auto"/>
        </w:rPr>
        <w:t xml:space="preserve"> Enthusiasts </w:t>
      </w:r>
      <w:r>
        <w:rPr>
          <w:rFonts w:ascii="Times New Roman" w:cs="Times New Roman" w:eastAsia="Times New Roman" w:hAnsi="Times New Roman"/>
          <w:sz w:val="18"/>
          <w:szCs w:val="18"/>
          <w:color w:val="auto"/>
        </w:rPr>
        <w:t>use the products they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to share experiences and obtain further advice and assistance.</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173990</wp:posOffset>
            </wp:positionV>
            <wp:extent cx="1337310" cy="891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3731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and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three consecutive quarters of positive comparable sales as of the first quarter 2020, Adjusted EBITDA growth to $323 million in 2019, or 8%, compared to 2018, and Adjusted Free Cash Flow growth of $99 million in 2018 to $197 million in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3.8x as of end of first quarter 2020 compared to 5.2x in both 2017 and 2018 and 4.1x in 2019.</w:t>
      </w:r>
    </w:p>
    <w:p>
      <w:pPr>
        <w:spacing w:after="0" w:line="18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Free Cash Flow, store-level profitability and return on invested capital. All but one of our mature stores (stores opened longer than four years) was profitable on a four-wall basis in 2019 and our new stores have average payback periods of four to five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e-commerce sales represented 5% and 13% of our merchandise sales for 2019 and for the first quarter 2020, respectively.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quarter 2020, our omnichannel customers spent 50% more than our store-only customers. Since we launched our BOPIS program in 2019, we have seen significant e-commerce penetration that generates higher average order value and incremental in-store purchases.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quarter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2.96x as of first quarter 2020, and has helped us to identify and exit certain product categories, such as luggage and toys.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we are the leading sporting goods retailer in the southern United States, 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12 months of opening a store. As of the end of first quarter 2020, we had 209 mature stores, and all but one were profitable on a four-wall basis for the 12 months ended May 2, 2020. We expect to open eight to 10 new stores per year starting in 2022, which is similar to our growth rates from 2018 to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store footprint in markets we would consider.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store footprint in markets we would consider.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store footprint in markets we would consider.</w:t>
      </w:r>
    </w:p>
    <w:p>
      <w:pPr>
        <w:spacing w:after="0" w:line="17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3351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148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stores range in size from approximately 40,000 to over 130,000 gross square feet, with an average size of approximately 70,000 gross square feet, which, together with our sophisticated social distancing and hygiene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60"/>
          </w:cols>
          <w:pgMar w:left="320" w:top="455" w:right="5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carry a wide variety of national brand products such as Nike, Carhartt, adidas, Columbia Sportswear, North Face, Yeti, Winchester, Brooks, Rawlings, Remington, Skechers, Under Armour and many more.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we generally organized our merchandise in four divisions made up of eleven categories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80" w:type="dxa"/>
            <w:vAlign w:val="bottom"/>
          </w:tcPr>
          <w:p>
            <w:pPr>
              <w:spacing w:after="0"/>
              <w:rPr>
                <w:sz w:val="16"/>
                <w:szCs w:val="16"/>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1"/>
              </w:rPr>
              <w:t>Outdoors</w:t>
            </w: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Camping and cooking</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Outdoor cooking, coolers and drinkware, camping accessories,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camping equipment, sunglasses, backpacks and sports bags</w:t>
            </w:r>
          </w:p>
        </w:tc>
      </w:tr>
      <w:tr>
        <w:trPr>
          <w:trHeight w:val="283"/>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Fishing</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Shooting sports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Firearms, ammunition, archery and archery equipment, shooting</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 optics, airguns and hunting equipment</w:t>
            </w: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 and Recreation</w:t>
            </w: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Team sports/fitness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Baseball, football, basketball, soccer, golf, racket sports, volleyball,</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fitness equipment, fitness accessories and nutrition</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Recreation</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Patio equipment, wheeled goods (bicycles, skateboards and other</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ride-on toys), watersports, pet equipment, electronics and watches,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front-end (consumables, batteries, etc.)</w:t>
            </w: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Apparel</w:t>
            </w: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Outdoor and seasonal</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Outdoor apparel, seasonal apparel, denim, work apparel, camouflage</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apparel</w:t>
            </w: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apparel, waders, graphic t-shirts and accessories</w:t>
            </w:r>
          </w:p>
        </w:tc>
      </w:tr>
      <w:tr>
        <w:trPr>
          <w:trHeight w:val="284"/>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Youth apparel</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Athletic apparel</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Sporting apparel, apparel for fitness and exercise and other</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w:t>
            </w:r>
          </w:p>
        </w:tc>
      </w:tr>
      <w:tr>
        <w:trPr>
          <w:trHeight w:val="284"/>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Licensed apparel</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364"/>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780" w:type="dxa"/>
            <w:vAlign w:val="bottom"/>
          </w:tcPr>
          <w:p>
            <w:pPr>
              <w:spacing w:after="0"/>
              <w:rPr>
                <w:sz w:val="16"/>
                <w:szCs w:val="16"/>
                <w:color w:val="auto"/>
              </w:rPr>
            </w:pPr>
          </w:p>
        </w:tc>
        <w:tc>
          <w:tcPr>
            <w:tcW w:w="496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0"/>
              </w:rPr>
              <w:t>Footwear</w:t>
            </w:r>
          </w:p>
        </w:tc>
        <w:tc>
          <w:tcPr>
            <w:tcW w:w="3900" w:type="dxa"/>
            <w:vAlign w:val="bottom"/>
          </w:tcPr>
          <w:p>
            <w:pPr>
              <w:spacing w:after="0"/>
              <w:rPr>
                <w:sz w:val="16"/>
                <w:szCs w:val="16"/>
                <w:color w:val="auto"/>
              </w:rPr>
            </w:pPr>
          </w:p>
        </w:tc>
        <w:tc>
          <w:tcPr>
            <w:tcW w:w="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Work,</w:t>
            </w:r>
          </w:p>
        </w:tc>
        <w:tc>
          <w:tcPr>
            <w:tcW w:w="780" w:type="dxa"/>
            <w:vAlign w:val="bottom"/>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casual 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Casual shoes and slippers, work and western boots, youth footwear,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socks and hunting footwear</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Running shoes, athletic shoes, sport specific shoes and training</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66"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40" w:type="dxa"/>
            <w:vAlign w:val="bottom"/>
            <w:gridSpan w:val="4"/>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Merchandise division sales</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1,522,985</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merchandise sales</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300" w:hanging="424"/>
        <w:spacing w:after="0" w:line="257"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the number of stores that we operated by state was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83"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utilize data obtained from our CRM tools, which enable us to create effective customer-targeting strategies. Our current CRM programs focus on welcoming our first-time customers, thanking our big spenders,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geographic footprint to efficiently serve our retail locations, and have an ability to service up to an average of 110 locations each.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July 6, 2020, we employed approximately 20,000 team members.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Use</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3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Katy, Texas</w:t>
            </w:r>
          </w:p>
        </w:tc>
        <w:tc>
          <w:tcPr>
            <w:tcW w:w="1200" w:type="dxa"/>
            <w:vAlign w:val="bottom"/>
          </w:tcPr>
          <w:p>
            <w:pPr>
              <w:spacing w:after="0"/>
              <w:rPr>
                <w:sz w:val="16"/>
                <w:szCs w:val="16"/>
                <w:color w:val="auto"/>
              </w:rPr>
            </w:pPr>
          </w:p>
        </w:tc>
        <w:tc>
          <w:tcPr>
            <w:tcW w:w="2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Corporate Office Building 1</w:t>
            </w:r>
          </w:p>
        </w:tc>
        <w:tc>
          <w:tcPr>
            <w:tcW w:w="2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Bulk Warehouse</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Twiggs County, Georgia</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Cookeville, Tennessee</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Global Sourcing Office</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2007.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lease entered in 2017.</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5480" w:right="4900" w:hanging="4824"/>
        <w:spacing w:after="0" w:line="454" w:lineRule="auto"/>
        <w:tabs>
          <w:tab w:leader="none" w:pos="10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 107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3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UKBA and other anti-corruption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 substantially similar issues of law and fact, relate to the April 2016 sale by one of our stores of a firearm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is scheduled in October 2020 to hear oral arguments relating to our motions for summary judgement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320" w:top="455" w:right="5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and directors, their respective ages as of August 12, 2020 and a brief account of the business experience of each of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Ken</w:t>
            </w:r>
          </w:p>
        </w:tc>
        <w:tc>
          <w:tcPr>
            <w:tcW w:w="3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 Hicks</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Lawrence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J. Johnson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Retail Operations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D. Attaway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Ennis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Manish Maini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Jamey Traywick Rutherford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Omnichannel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 G. Casares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Vishal V. Patel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H. Taylor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X. Yan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C. Hicks </w:t>
      </w:r>
      <w:r>
        <w:rPr>
          <w:rFonts w:ascii="Times New Roman" w:cs="Times New Roman" w:eastAsia="Times New Roman" w:hAnsi="Times New Roman"/>
          <w:sz w:val="17"/>
          <w:szCs w:val="17"/>
          <w:color w:val="auto"/>
        </w:rPr>
        <w:t>has served as the Chairman and our President and Chief Executive Officer since May 2018. Mr. Hicks has served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Mullican </w:t>
      </w:r>
      <w:r>
        <w:rPr>
          <w:rFonts w:ascii="Times New Roman" w:cs="Times New Roman" w:eastAsia="Times New Roman" w:hAnsi="Times New Roman"/>
          <w:sz w:val="18"/>
          <w:szCs w:val="18"/>
          <w:color w:val="auto"/>
        </w:rPr>
        <w:t>has served as our Executive Vice President and Chief Financial Officer since January 2018.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(Steve) P. Lawrence </w:t>
      </w:r>
      <w:r>
        <w:rPr>
          <w:rFonts w:ascii="Times New Roman" w:cs="Times New Roman" w:eastAsia="Times New Roman" w:hAnsi="Times New Roman"/>
          <w:sz w:val="18"/>
          <w:szCs w:val="18"/>
          <w:color w:val="auto"/>
        </w:rPr>
        <w:t>has served as our Executive Vice President and Chief Merchandising Officer since joining the Academy Sports +</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Outdoors team in February 2019. Prior to joining Academy Sports + Outdoors, Mr. Lawrence was President and Chief Executive Officer at francesca’s.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May 2012 to September 2016, he served as Chief Merchandising Officer at Stage Stores. Mr. Lawrence also spent nearly 12 years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7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our Executive Vice President, Retail Operations since joining the Academy Sports + Outdoors team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 Mr. Johnson holds a Bachelor of Arts in History and Health from East Tennessee State University.</w:t>
      </w:r>
    </w:p>
    <w:p>
      <w:pPr>
        <w:spacing w:after="0" w:line="179"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(Ken) D. Attaway </w:t>
      </w:r>
      <w:r>
        <w:rPr>
          <w:rFonts w:ascii="Times New Roman" w:cs="Times New Roman" w:eastAsia="Times New Roman" w:hAnsi="Times New Roman"/>
          <w:sz w:val="17"/>
          <w:szCs w:val="17"/>
          <w:color w:val="auto"/>
        </w:rPr>
        <w:t>has served as our Executive Vice President, Chief Operating Officer since October 2013, currently overseeing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and Logistics, Real Estate, Construction, Facilities/Maintenance, Procurement and Enterprise Program Management Office.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Ennis </w:t>
      </w:r>
      <w:r>
        <w:rPr>
          <w:rFonts w:ascii="Times New Roman" w:cs="Times New Roman" w:eastAsia="Times New Roman" w:hAnsi="Times New Roman"/>
          <w:sz w:val="18"/>
          <w:szCs w:val="18"/>
          <w:color w:val="auto"/>
        </w:rPr>
        <w:t>has served as our Senior Vice President, Chief Human Resources Officer since March 2016. Mr. Ennis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Manish Maini </w:t>
      </w:r>
      <w:r>
        <w:rPr>
          <w:rFonts w:ascii="Times New Roman" w:cs="Times New Roman" w:eastAsia="Times New Roman" w:hAnsi="Times New Roman"/>
          <w:sz w:val="18"/>
          <w:szCs w:val="18"/>
          <w:color w:val="auto"/>
        </w:rPr>
        <w:t>has served as our Senior Vice President, Chief Information Officer since joining the Academy Sports + Outdoors team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Jamey Traywick Rutherford </w:t>
      </w:r>
      <w:r>
        <w:rPr>
          <w:rFonts w:ascii="Times New Roman" w:cs="Times New Roman" w:eastAsia="Times New Roman" w:hAnsi="Times New Roman"/>
          <w:sz w:val="18"/>
          <w:szCs w:val="18"/>
          <w:color w:val="auto"/>
        </w:rPr>
        <w:t>has served as our Senior Vice President, Omnichannel since joining the Academy Sports + Outdoors team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8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G. Casares </w:t>
      </w:r>
      <w:r>
        <w:rPr>
          <w:rFonts w:ascii="Times New Roman" w:cs="Times New Roman" w:eastAsia="Times New Roman" w:hAnsi="Times New Roman"/>
          <w:sz w:val="18"/>
          <w:szCs w:val="18"/>
          <w:color w:val="auto"/>
        </w:rPr>
        <w:t>has served as our Senior Vice President, General Counsel and Secretary since March 2018. He joined the company in July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T. Marley </w:t>
      </w:r>
      <w:r>
        <w:rPr>
          <w:rFonts w:ascii="Times New Roman" w:cs="Times New Roman" w:eastAsia="Times New Roman" w:hAnsi="Times New Roman"/>
          <w:sz w:val="18"/>
          <w:szCs w:val="18"/>
          <w:color w:val="auto"/>
        </w:rPr>
        <w:t>has served as a member of the board of managers of New Academy Holding Company, LLC since January 2018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more than 20 years, during which he was a partner for more than 10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8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Vishal V. Patel </w:t>
      </w:r>
      <w:r>
        <w:rPr>
          <w:rFonts w:ascii="Times New Roman" w:cs="Times New Roman" w:eastAsia="Times New Roman" w:hAnsi="Times New Roman"/>
          <w:sz w:val="17"/>
          <w:szCs w:val="17"/>
          <w:color w:val="auto"/>
        </w:rPr>
        <w:t>has served as a member of the board of managers of New Academy Holding Company, LLC since May 2015 and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of Academy Sports and Outdoors, Inc. since June 2020. Mr. Patel is a member of the Retail and Consumer team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Simon </w:t>
      </w:r>
      <w:r>
        <w:rPr>
          <w:rFonts w:ascii="Times New Roman" w:cs="Times New Roman" w:eastAsia="Times New Roman" w:hAnsi="Times New Roman"/>
          <w:sz w:val="18"/>
          <w:szCs w:val="18"/>
          <w:color w:val="auto"/>
        </w:rPr>
        <w:t>has served as a member of the board of managers of New Academy Holding Company, LLC since September 2016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Academy Sports and Outdoors, Inc. since June 2020. Mr. Simon has also served on the board of directors of Darden Restaurants Inc. since July 2012, Chico’s FAS, Inc. since July 2016, and Anixter International Inc. since March 2019. He served on the board of directors of Agrium Inc. from February 2016 to May 2017. Mr. Simon was the President and CEO of Walmart U.S. from 2010 to 2014, and previously was appointed the COO of Walmart U.S. in 2007. Prior to joining Walmart, Mr. Simon held several senior positions at Brinker International, Diageo, Cadbury-Schweppes, PepsiCo and RJR-Nabisco. He also served in the public sector as Secretary of the Florida Department of Management Services, appointed by Governor Jeb Bush. Mr. Simon is currently a senior advisor to KKR and is a member of the faculty of the Hankamer School of Business at Baylor University.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(Nate) H. Taylor </w:t>
      </w:r>
      <w:r>
        <w:rPr>
          <w:rFonts w:ascii="Times New Roman" w:cs="Times New Roman" w:eastAsia="Times New Roman" w:hAnsi="Times New Roman"/>
          <w:sz w:val="18"/>
          <w:szCs w:val="18"/>
          <w:color w:val="auto"/>
        </w:rPr>
        <w:t>has served as a member of the board of managers of New Academy Holding Company, LLC since August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business, financial and investment experience related to the retail industry and prior involvement with KKR’s investment in the Company.</w:t>
      </w:r>
    </w:p>
    <w:p>
      <w:pPr>
        <w:spacing w:after="0" w:line="22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Aileen X. Yan </w:t>
      </w:r>
      <w:r>
        <w:rPr>
          <w:rFonts w:ascii="Times New Roman" w:cs="Times New Roman" w:eastAsia="Times New Roman" w:hAnsi="Times New Roman"/>
          <w:sz w:val="17"/>
          <w:szCs w:val="17"/>
          <w:color w:val="auto"/>
        </w:rPr>
        <w:t>has served as a member of the board of managers of New Academy Holding Company, LLC since November 2019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 after this Offering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will</w:t>
      </w:r>
    </w:p>
    <w:p>
      <w:pPr>
        <w:spacing w:after="0" w:line="27" w:lineRule="exact"/>
        <w:rPr>
          <w:sz w:val="20"/>
          <w:szCs w:val="20"/>
          <w:color w:val="auto"/>
        </w:rPr>
      </w:pPr>
    </w:p>
    <w:p>
      <w:pPr>
        <w:jc w:val="both"/>
        <w:ind w:left="840" w:right="60" w:hanging="719"/>
        <w:spacing w:after="0" w:line="260" w:lineRule="auto"/>
        <w:rPr>
          <w:sz w:val="20"/>
          <w:szCs w:val="20"/>
          <w:color w:val="auto"/>
        </w:rPr>
      </w:pPr>
      <w:r>
        <w:rPr>
          <w:rFonts w:ascii="Times New Roman" w:cs="Times New Roman" w:eastAsia="Times New Roman" w:hAnsi="Times New Roman"/>
          <w:sz w:val="18"/>
          <w:szCs w:val="18"/>
          <w:color w:val="auto"/>
        </w:rPr>
        <w:t>provide for a classified board of directors, with</w:t>
      </w:r>
      <w:r>
        <w:rPr>
          <w:sz w:val="20"/>
          <w:szCs w:val="20"/>
          <w:color w:val="auto"/>
        </w:rPr>
        <w:t xml:space="preserve"> </w:t>
      </w:r>
      <w:r>
        <w:rPr>
          <w:rFonts w:ascii="Times New Roman" w:cs="Times New Roman" w:eastAsia="Times New Roman" w:hAnsi="Times New Roman"/>
          <w:sz w:val="18"/>
          <w:szCs w:val="18"/>
          <w:color w:val="auto"/>
        </w:rPr>
        <w:t>directors in Class I (expected to be ), directors in Class II (expected to be ) and directors in Class III (expected to be ). See “Description of Capital Stock.”</w:t>
      </w:r>
    </w:p>
    <w:p>
      <w:pPr>
        <w:spacing w:after="0" w:line="18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stockholders agreement we expect to enter into in connection with this offering, or the stockholders agreement, KKR Stockholders will have the right to designate nominees to our board of directors subject to the maintenance of certain ownership requirements in us. See “Certain Relationships and Related Party Transactions—Stockholders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After the completion of this offering, KKR Stockholders, who are parties to the stockholders agreement, will continue to beneficially own shares representing more than 50% of the voting power of our shares eligible to vote in the election of directors. As a result, we will be a “controlled company” within the meaning of the corporate governance standards of the applicable stock exchange.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w:t>
      </w:r>
    </w:p>
    <w:p>
      <w:pPr>
        <w:spacing w:after="0" w:line="3" w:lineRule="exact"/>
        <w:rPr>
          <w:sz w:val="20"/>
          <w:szCs w:val="20"/>
          <w:color w:val="auto"/>
        </w:rPr>
      </w:pPr>
    </w:p>
    <w:p>
      <w:pPr>
        <w:ind w:left="120" w:hanging="4"/>
        <w:spacing w:after="0" w:line="253" w:lineRule="auto"/>
        <w:tabs>
          <w:tab w:leader="none" w:pos="3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 For at least some period following this offering, we may utilize one or more of these exemptions since our board of directors has not yet made a determination with respect to the independence of any directors.</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the future, we expect that our board of directors will make a determination as to whether other directors, including directors associated with KKR,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the applicable stock exchange,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47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Board Leadership Structure and Our Board of Director’s Role in Risk Oversight </w:t>
      </w:r>
      <w:r>
        <w:rPr>
          <w:rFonts w:ascii="Times New Roman" w:cs="Times New Roman" w:eastAsia="Times New Roman" w:hAnsi="Times New Roman"/>
          <w:sz w:val="18"/>
          <w:szCs w:val="18"/>
          <w:i w:val="1"/>
          <w:iCs w:val="1"/>
          <w:color w:val="auto"/>
        </w:rPr>
        <w:t>Committees of Our Board of Directors</w:t>
      </w: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standing committees of our board of directors will consist of an Audit Committee, a Compensation Committee and a Nominating and Governance Committee. Our board of directors may also establish from time to time any other committees that it deems necessary or desirable.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KKR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880" w:right="340" w:hanging="323"/>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we expect to have an Audit Committee, consisting of</w:t>
      </w:r>
      <w:r>
        <w:rPr>
          <w:sz w:val="20"/>
          <w:szCs w:val="20"/>
          <w:color w:val="auto"/>
        </w:rPr>
        <w:t xml:space="preserve"> </w:t>
      </w:r>
      <w:r>
        <w:rPr>
          <w:rFonts w:ascii="Times New Roman" w:cs="Times New Roman" w:eastAsia="Times New Roman" w:hAnsi="Times New Roman"/>
          <w:sz w:val="18"/>
          <w:szCs w:val="18"/>
          <w:color w:val="auto"/>
        </w:rPr>
        <w:t>, who will be serving as the Chair, and and . and qualify as independent directors under the corporate governance standards of the applicable stock</w:t>
      </w:r>
    </w:p>
    <w:p>
      <w:pPr>
        <w:ind w:left="120"/>
        <w:spacing w:after="0"/>
        <w:rPr>
          <w:sz w:val="20"/>
          <w:szCs w:val="20"/>
          <w:color w:val="auto"/>
        </w:rPr>
      </w:pPr>
      <w:r>
        <w:rPr>
          <w:rFonts w:ascii="Times New Roman" w:cs="Times New Roman" w:eastAsia="Times New Roman" w:hAnsi="Times New Roman"/>
          <w:sz w:val="18"/>
          <w:szCs w:val="18"/>
          <w:color w:val="auto"/>
        </w:rPr>
        <w:t>exchange and the independence requirements of Rule 10A-3 of the Securities Exchange Act of 1934, as amended, or the Exchange Act. Our board of</w:t>
      </w:r>
    </w:p>
    <w:p>
      <w:pPr>
        <w:spacing w:after="0" w:line="9" w:lineRule="exact"/>
        <w:rPr>
          <w:sz w:val="20"/>
          <w:szCs w:val="20"/>
          <w:color w:val="auto"/>
        </w:rPr>
      </w:pPr>
    </w:p>
    <w:p>
      <w:pPr>
        <w:ind w:left="120"/>
        <w:spacing w:after="0"/>
        <w:tabs>
          <w:tab w:leader="none" w:pos="2940" w:val="left"/>
        </w:tabs>
        <w:rPr>
          <w:sz w:val="20"/>
          <w:szCs w:val="20"/>
          <w:color w:val="auto"/>
        </w:rPr>
      </w:pPr>
      <w:r>
        <w:rPr>
          <w:rFonts w:ascii="Times New Roman" w:cs="Times New Roman" w:eastAsia="Times New Roman" w:hAnsi="Times New Roman"/>
          <w:sz w:val="18"/>
          <w:szCs w:val="18"/>
          <w:color w:val="auto"/>
        </w:rPr>
        <w:t>directors has determined that</w:t>
      </w:r>
      <w:r>
        <w:rPr>
          <w:sz w:val="20"/>
          <w:szCs w:val="20"/>
          <w:color w:val="auto"/>
        </w:rPr>
        <w:tab/>
      </w:r>
      <w:r>
        <w:rPr>
          <w:rFonts w:ascii="Times New Roman" w:cs="Times New Roman" w:eastAsia="Times New Roman" w:hAnsi="Times New Roman"/>
          <w:sz w:val="17"/>
          <w:szCs w:val="17"/>
          <w:color w:val="auto"/>
        </w:rPr>
        <w:t>qualifies as an “audit committee financial expert” as such term is defined in Item 407(d)(5) of Regulation S-K.</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will be to prepare the audit committee report required by the SEC to be included in our proxy statement and to assist our board of directors in overseeing:</w:t>
      </w:r>
    </w:p>
    <w:p>
      <w:pPr>
        <w:spacing w:after="0" w:line="67"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Audit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ectPr>
          <w:pgSz w:w="11900" w:h="16838" w:orient="portrait"/>
          <w:cols w:equalWidth="0" w:num="1">
            <w:col w:w="11040"/>
          </w:cols>
          <w:pgMar w:left="320" w:top="455" w:right="53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completion of this offering, we expect to have a Compensation Committee, consisting of</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who will</w:t>
      </w:r>
    </w:p>
    <w:p>
      <w:pPr>
        <w:spacing w:after="0" w:line="38" w:lineRule="exact"/>
        <w:rPr>
          <w:sz w:val="20"/>
          <w:szCs w:val="20"/>
          <w:color w:val="auto"/>
        </w:rPr>
      </w:pPr>
    </w:p>
    <w:p>
      <w:pPr>
        <w:sectPr>
          <w:pgSz w:w="11900" w:h="16838" w:orient="portrait"/>
          <w:cols w:equalWidth="0" w:num="4">
            <w:col w:w="7700" w:space="720"/>
            <w:col w:w="120" w:space="720"/>
            <w:col w:w="320" w:space="720"/>
            <w:col w:w="74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serve as the Chair.</w:t>
      </w:r>
    </w:p>
    <w:p>
      <w:pPr>
        <w:sectPr>
          <w:pgSz w:w="11900" w:h="16838" w:orient="portrait"/>
          <w:cols w:equalWidth="0" w:num="1">
            <w:col w:w="11040"/>
          </w:cols>
          <w:pgMar w:left="320" w:top="455" w:right="539" w:bottom="1440" w:gutter="0" w:footer="0" w:header="0"/>
          <w:type w:val="continuous"/>
        </w:sectPr>
      </w:pP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2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40"/>
          </w:cols>
          <w:pgMar w:left="320" w:top="455" w:right="539" w:bottom="1440" w:gutter="0" w:footer="0" w:header="0"/>
          <w:type w:val="continuous"/>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compensation rules, regulations and guidelines promulgated by the applicable stock exchange, the SEC and other law, as applicable;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Compensation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ectPr>
          <w:pgSz w:w="11900" w:h="16838" w:orient="portrait"/>
          <w:cols w:equalWidth="0" w:num="1">
            <w:col w:w="11140"/>
          </w:cols>
          <w:pgMar w:left="320" w:top="455" w:right="43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completion of this offering, we expect to have a Nominating and Governance Committee, consisting of</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ectPr>
          <w:pgSz w:w="11900" w:h="16838" w:orient="portrait"/>
          <w:cols w:equalWidth="0" w:num="3">
            <w:col w:w="8740" w:space="720"/>
            <w:col w:w="120" w:space="720"/>
            <w:col w:w="840"/>
          </w:cols>
          <w:pgMar w:left="320" w:top="455" w:right="4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7"/>
          <w:szCs w:val="17"/>
          <w:color w:val="auto"/>
        </w:rPr>
        <w:t>, who will serve as the Chair.</w:t>
      </w:r>
    </w:p>
    <w:p>
      <w:pPr>
        <w:sectPr>
          <w:pgSz w:w="11900" w:h="16838" w:orient="portrait"/>
          <w:cols w:equalWidth="0" w:num="1">
            <w:col w:w="11140"/>
          </w:cols>
          <w:pgMar w:left="320" w:top="455" w:right="439" w:bottom="1440" w:gutter="0" w:footer="0" w:header="0"/>
          <w:type w:val="continuous"/>
        </w:sectPr>
      </w:pP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131"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Nominating and Governance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Business Conduct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adopt a new Code of Ethics and Business Conduct that applies to all of our directors, officers and team members, including our chief executive officer and chief financial and accounting officer. Our Code of Ethics and Business Conduct will be available on our website upon the completion of this offering. Our Code of Ethics and Business Conduct is a “code of ethics,” as defined in Item 406(b) of Regulation S-K. We will make any legally required disclosures regarding amendments to, or waivers of, provisions of our code of ethics on our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2019 were:</w:t>
      </w:r>
    </w:p>
    <w:p>
      <w:pPr>
        <w:spacing w:after="0" w:line="129"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C. Hicks,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P. Mullican, </w:t>
      </w:r>
      <w:r>
        <w:rPr>
          <w:rFonts w:ascii="Times New Roman" w:cs="Times New Roman" w:eastAsia="Times New Roman" w:hAnsi="Times New Roman"/>
          <w:sz w:val="18"/>
          <w:szCs w:val="18"/>
          <w:i w:val="1"/>
          <w:iCs w:val="1"/>
          <w:color w:val="auto"/>
        </w:rPr>
        <w:t>Executive Vice President, Chief Financial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Steven (Steve) P. Lawrence, </w:t>
      </w:r>
      <w:r>
        <w:rPr>
          <w:rFonts w:ascii="Times New Roman" w:cs="Times New Roman" w:eastAsia="Times New Roman" w:hAnsi="Times New Roman"/>
          <w:sz w:val="18"/>
          <w:szCs w:val="18"/>
          <w:i w:val="1"/>
          <w:iCs w:val="1"/>
          <w:color w:val="auto"/>
        </w:rPr>
        <w:t>Executive Vice President, Chief Merchandising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Samuel (Sam) J. Johnson, </w:t>
      </w:r>
      <w:r>
        <w:rPr>
          <w:rFonts w:ascii="Times New Roman" w:cs="Times New Roman" w:eastAsia="Times New Roman" w:hAnsi="Times New Roman"/>
          <w:sz w:val="18"/>
          <w:szCs w:val="18"/>
          <w:i w:val="1"/>
          <w:iCs w:val="1"/>
          <w:color w:val="auto"/>
        </w:rPr>
        <w:t>Executive Vice President, Retail Operations;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Kenneth (Ken) D. Attaway, </w:t>
      </w:r>
      <w:r>
        <w:rPr>
          <w:rFonts w:ascii="Times New Roman" w:cs="Times New Roman" w:eastAsia="Times New Roman" w:hAnsi="Times New Roman"/>
          <w:sz w:val="18"/>
          <w:szCs w:val="18"/>
          <w:i w:val="1"/>
          <w:iCs w:val="1"/>
          <w:color w:val="auto"/>
        </w:rPr>
        <w:t>Executive Vice President, Chief Operations Officer</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We Are and 2019 Business Performance Highlights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Highlights from 2019 include:</w:t>
      </w:r>
    </w:p>
    <w:p>
      <w:pPr>
        <w:spacing w:after="0" w:line="131" w:lineRule="exact"/>
        <w:rPr>
          <w:sz w:val="20"/>
          <w:szCs w:val="20"/>
          <w:color w:val="auto"/>
        </w:rPr>
      </w:pPr>
    </w:p>
    <w:p>
      <w:pPr>
        <w:ind w:left="1080" w:right="80" w:hanging="424"/>
        <w:spacing w:after="0" w:line="26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85"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we served 30 million customers and completed approximately 80 million transactions resulting in strong household penetration in our core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per store were nearly two times greater than our nearest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rolled out BOPIS to all locations, which accounted for approximately 24% of our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8" w:lineRule="exact"/>
        <w:rPr>
          <w:sz w:val="20"/>
          <w:szCs w:val="20"/>
          <w:color w:val="auto"/>
        </w:rPr>
      </w:pPr>
    </w:p>
    <w:p>
      <w:pPr>
        <w:ind w:left="1080" w:right="260" w:hanging="424"/>
        <w:spacing w:after="0" w:line="290"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Competitive</w:t>
      </w:r>
      <w:r>
        <w:rPr>
          <w:rFonts w:ascii="Times New Roman" w:cs="Times New Roman" w:eastAsia="Times New Roman" w:hAnsi="Times New Roman"/>
          <w:sz w:val="17"/>
          <w:szCs w:val="17"/>
          <w:color w:val="auto"/>
        </w:rPr>
        <w:t>: Compensation levels and programs for executive officers, including our Named Executive Officers, should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6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We believe in a pay-for-performance compensation philosophy which targets our team members to be paid 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Equityholder Aligned</w:t>
      </w:r>
      <w:r>
        <w:rPr>
          <w:rFonts w:ascii="Times New Roman" w:cs="Times New Roman" w:eastAsia="Times New Roman" w:hAnsi="Times New Roman"/>
          <w:sz w:val="18"/>
          <w:szCs w:val="18"/>
          <w:color w:val="auto"/>
        </w:rPr>
        <w:t>: Incentives should be structured to create a strong alignment between executive officers and equityholders on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a long-term basis.</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85" w:lineRule="exact"/>
        <w:rPr>
          <w:sz w:val="20"/>
          <w:szCs w:val="20"/>
          <w:color w:val="auto"/>
        </w:rPr>
      </w:pPr>
    </w:p>
    <w:p>
      <w:pPr>
        <w:ind w:left="19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Compensation Mix - CEO</w:t>
      </w:r>
      <w:r>
        <w:rPr>
          <w:sz w:val="20"/>
          <w:szCs w:val="20"/>
          <w:color w:val="auto"/>
        </w:rPr>
        <w:tab/>
      </w:r>
      <w:r>
        <w:rPr>
          <w:rFonts w:ascii="Times New Roman" w:cs="Times New Roman" w:eastAsia="Times New Roman" w:hAnsi="Times New Roman"/>
          <w:sz w:val="17"/>
          <w:szCs w:val="17"/>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1928495" cy="13201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156845</wp:posOffset>
            </wp:positionV>
            <wp:extent cx="1885950" cy="13290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8595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Executive Officer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or the Compensation Committee, of our Board of Managers, or the Board, which is comprised solely of non-employee directors, is responsible for establishing, implementing, and evaluating our executive officer compensation and benefit programs. Following this offering, the same Compensation Committee will be constituted at the level of Academy Sports and Outdoors, Inc.</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discharges the responsibilities of our Board relating to the compensation of our executive officers, including the Named Executive Officers, according to its charter. The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selecting and setting the amount of each compensation element, the Compensation Committee generally considers the following factors:</w:t>
      </w:r>
    </w:p>
    <w:p>
      <w:pPr>
        <w:spacing w:after="0" w:line="131"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objectives established by the Compensation Committee;</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executive officer’s skills, experience, and qualifications relative to other similarly-situated executive officers at the companies in our compensation peer group;</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role compared to other similarly-situated executive officers at the companies in our compensation peer group;</w:t>
      </w:r>
    </w:p>
    <w:p>
      <w:pPr>
        <w:spacing w:after="0" w:line="130"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equality among our executive officers, including the Named Executive Officers (other than our Chief Executive Officer);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compensation peer group; and</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how each executive officer’s target compensation compares to a ranking of similar positions in our compensation peer group.</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Historically, the Compensation Committee has recommended equity awards for each Named Executive Officer, and such awards are then granted by the Board (or its Executive Committee). Following this offering, all equity awards will be granted by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decision-making and final decisions regarding the compensation opportunity for each executive officer. No single factor is determinative in setting pay levels, nor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Management Team for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Prior to this offering, the Compensation Committee has not retained its own compensation consultant but we anticipate that the Compensation Committee will engage its own independent compensation consultant either in connection with or following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compensation benchmarking peer group and approach that is used to develop competitive market data 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base salary levels, annual cash bonus opportunities, long-term incentive compensation opportunities, and perquisites of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assessment of executive compensation trends within our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5" w:right="439"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Auto Parts,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Ascena Retail Group,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AutoZone,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Burlington Stores,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Caleres,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Carter’s,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Dick’s Sporting Goods,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DSW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GameStop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Michaels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Williams-Sonoma, Inc.</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to 2.5x our last four fiscal quarters’ revenue as of the third quarter of 2018;</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primarily in the retail business;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business model and/or product.</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Compensation Committee, with the input of data and analysis from Meridian, approved the same compensation peer group for 2020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We expect that each of our Named Executive Officers will execute a new employment agreement with the Company that will become effective upon the consummation of this offering, each of which will generally have the same economic terms in effect during 2019. These new employment agreements will be described in a subsequent filing. For additional information regarding our employment agreements, see “—Employment Agreements with Named Executive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Setting 2019 Compensation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 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type w:val="continuous"/>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opportunity correlated with superior performance over the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7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may consider performance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the Compensation Committee will continue to adhere to the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Policies and Practices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Either during 2019 or in connection with or following this offering where noted, we either adopted or maintained the following executive officer compensation policies and practices, which include policies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practices that we have implemented to drive performance as well as policies and practices that either prohibit or minimize behaviors that we do not believe serve our equityholders’ long-term interests:</w:t>
      </w:r>
    </w:p>
    <w:p>
      <w:pPr>
        <w:spacing w:after="0" w:line="65"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Compensation Committee</w:t>
      </w:r>
      <w:r>
        <w:rPr>
          <w:rFonts w:ascii="Times New Roman" w:cs="Times New Roman" w:eastAsia="Times New Roman" w:hAnsi="Times New Roman"/>
          <w:sz w:val="18"/>
          <w:szCs w:val="18"/>
          <w:color w:val="auto"/>
        </w:rPr>
        <w:t>. The Compensation Committee is comprised solely of nonemployee directors.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 Advisor</w:t>
      </w:r>
      <w:r>
        <w:rPr>
          <w:rFonts w:ascii="Times New Roman" w:cs="Times New Roman" w:eastAsia="Times New Roman" w:hAnsi="Times New Roman"/>
          <w:sz w:val="18"/>
          <w:szCs w:val="18"/>
          <w:color w:val="auto"/>
        </w:rPr>
        <w:t>. We anticipate that the Compensation Committee will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either in connection with or following this offering. The Company currently retains Meridian as an advisor on executive pay related items.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Officer Compensation Review</w:t>
      </w:r>
      <w:r>
        <w:rPr>
          <w:rFonts w:ascii="Times New Roman" w:cs="Times New Roman" w:eastAsia="Times New Roman" w:hAnsi="Times New Roman"/>
          <w:sz w:val="18"/>
          <w:szCs w:val="18"/>
          <w:color w:val="auto"/>
        </w:rPr>
        <w:t>. The Compensation Committee conducted an annual review and approval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 Compensation Practices</w:t>
      </w:r>
      <w:r>
        <w:rPr>
          <w:rFonts w:ascii="Times New Roman" w:cs="Times New Roman" w:eastAsia="Times New Roman" w:hAnsi="Times New Roman"/>
          <w:sz w:val="18"/>
          <w:szCs w:val="18"/>
          <w:color w:val="auto"/>
        </w:rPr>
        <w:t>. Our compensation philosophy and related corporate governance policies and practices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officer compensation with long-term equityholder interests, including the following:</w:t>
      </w:r>
    </w:p>
    <w:p>
      <w:pPr>
        <w:spacing w:after="0" w:line="78" w:lineRule="exact"/>
        <w:rPr>
          <w:rFonts w:ascii="Times New Roman" w:cs="Times New Roman" w:eastAsia="Times New Roman" w:hAnsi="Times New Roman"/>
          <w:sz w:val="18"/>
          <w:szCs w:val="18"/>
          <w:color w:val="auto"/>
        </w:rPr>
      </w:pPr>
    </w:p>
    <w:p>
      <w:pPr>
        <w:ind w:left="1540" w:right="280" w:hanging="331"/>
        <w:spacing w:after="0" w:line="284"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 Review</w:t>
      </w:r>
      <w:r>
        <w:rPr>
          <w:rFonts w:ascii="Times New Roman" w:cs="Times New Roman" w:eastAsia="Times New Roman" w:hAnsi="Times New Roman"/>
          <w:sz w:val="18"/>
          <w:szCs w:val="18"/>
          <w:color w:val="auto"/>
        </w:rPr>
        <w:t>. The Compensation Committee engages in an annual performance review of each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based on our corporate results and individual performance.</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At Risk</w:t>
      </w:r>
      <w:r>
        <w:rPr>
          <w:rFonts w:ascii="Times New Roman" w:cs="Times New Roman" w:eastAsia="Times New Roman" w:hAnsi="Times New Roman"/>
          <w:sz w:val="18"/>
          <w:szCs w:val="18"/>
          <w:color w:val="auto"/>
        </w:rPr>
        <w:t>. Our executive officer compensation program is designed so that a majority of compensation is “at risk”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performance, in the form of both short-term cash and long-term equity incentives to align the interests of our executive officers and equityholders.</w:t>
      </w:r>
    </w:p>
    <w:p>
      <w:pPr>
        <w:spacing w:after="0" w:line="78" w:lineRule="exact"/>
        <w:rPr>
          <w:rFonts w:ascii="Times New Roman" w:cs="Times New Roman" w:eastAsia="Times New Roman" w:hAnsi="Times New Roman"/>
          <w:sz w:val="18"/>
          <w:szCs w:val="18"/>
          <w:color w:val="auto"/>
        </w:rPr>
      </w:pPr>
    </w:p>
    <w:p>
      <w:pPr>
        <w:ind w:left="1540" w:right="460" w:hanging="331"/>
        <w:spacing w:after="0" w:line="267"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Defined Benefit Pension or Nonqualified Deferred Compensation Plans</w:t>
      </w:r>
      <w:r>
        <w:rPr>
          <w:rFonts w:ascii="Times New Roman" w:cs="Times New Roman" w:eastAsia="Times New Roman" w:hAnsi="Times New Roman"/>
          <w:sz w:val="18"/>
          <w:szCs w:val="18"/>
          <w:color w:val="auto"/>
        </w:rPr>
        <w:t>. We do not currently offer, nor do we have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defined benefit pension arrangements or nonqualified deferred compensation plans or arrangements to our executive officers.</w:t>
      </w:r>
    </w:p>
    <w:p>
      <w:pPr>
        <w:spacing w:after="0" w:line="78"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Nominal Special Health or Welfare Benefits</w:t>
      </w:r>
      <w:r>
        <w:rPr>
          <w:rFonts w:ascii="Times New Roman" w:cs="Times New Roman" w:eastAsia="Times New Roman" w:hAnsi="Times New Roman"/>
          <w:sz w:val="18"/>
          <w:szCs w:val="18"/>
          <w:color w:val="auto"/>
        </w:rPr>
        <w:t>. Our executive officers participate in broad-based company-sponsored health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4"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Post-Employment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or change-in-control payments or benefits.</w:t>
      </w:r>
    </w:p>
    <w:p>
      <w:pPr>
        <w:spacing w:after="0" w:line="63"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Options Granted with Exercise Price Below Fair Market Value, with Pre-Offering Fair Market Value determined based on Third-Party Valuations</w:t>
      </w:r>
      <w:r>
        <w:rPr>
          <w:rFonts w:ascii="Times New Roman" w:cs="Times New Roman" w:eastAsia="Times New Roman" w:hAnsi="Times New Roman"/>
          <w:sz w:val="18"/>
          <w:szCs w:val="18"/>
          <w:color w:val="auto"/>
        </w:rPr>
        <w:t>. All options have been granted with exercise prices equal to the fair market value of our Membership Units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this offering,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right="180" w:hanging="331"/>
        <w:spacing w:after="0" w:line="261"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Time Vesting and Performance Vesting Requirements for Equity Awards</w:t>
      </w:r>
      <w:r>
        <w:rPr>
          <w:rFonts w:ascii="Times New Roman" w:cs="Times New Roman" w:eastAsia="Times New Roman" w:hAnsi="Times New Roman"/>
          <w:sz w:val="18"/>
          <w:szCs w:val="18"/>
          <w:color w:val="auto"/>
        </w:rPr>
        <w:t>. The options and restricted units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4"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Pledging Prohibited</w:t>
      </w:r>
      <w:r>
        <w:rPr>
          <w:rFonts w:ascii="Times New Roman" w:cs="Times New Roman" w:eastAsia="Times New Roman" w:hAnsi="Times New Roman"/>
          <w:sz w:val="18"/>
          <w:szCs w:val="18"/>
          <w:color w:val="auto"/>
        </w:rPr>
        <w:t>. We prohibit our executive officers from hedging our securities, pledging our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for loans, or holding our securities in margin accounts.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elements of our executive officer compensation program for our Named Executive Officers:</w:t>
      </w:r>
    </w:p>
    <w:p>
      <w:pPr>
        <w:spacing w:after="0" w:line="246" w:lineRule="exact"/>
        <w:rPr>
          <w:sz w:val="20"/>
          <w:szCs w:val="20"/>
          <w:color w:val="auto"/>
        </w:rPr>
      </w:pPr>
    </w:p>
    <w:p>
      <w:pPr>
        <w:ind w:left="120"/>
        <w:spacing w:after="0"/>
        <w:tabs>
          <w:tab w:leader="none" w:pos="1980" w:val="left"/>
          <w:tab w:leader="none" w:pos="68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Purpose</w:t>
      </w:r>
      <w:r>
        <w:rPr>
          <w:sz w:val="20"/>
          <w:szCs w:val="20"/>
          <w:color w:val="auto"/>
        </w:rPr>
        <w:tab/>
      </w:r>
      <w:r>
        <w:rPr>
          <w:rFonts w:ascii="Times New Roman" w:cs="Times New Roman" w:eastAsia="Times New Roman" w:hAnsi="Times New Roman"/>
          <w:sz w:val="14"/>
          <w:szCs w:val="14"/>
          <w:b w:val="1"/>
          <w:bCs w:val="1"/>
          <w:color w:val="auto"/>
        </w:rPr>
        <w:t>Overview</w:t>
      </w:r>
    </w:p>
    <w:p>
      <w:pPr>
        <w:sectPr>
          <w:pgSz w:w="11900" w:h="16838" w:orient="portrait"/>
          <w:cols w:equalWidth="0" w:num="1">
            <w:col w:w="11100"/>
          </w:cols>
          <w:pgMar w:left="320" w:top="455" w:right="479" w:bottom="1440" w:gutter="0" w:footer="0" w:header="0"/>
        </w:sectPr>
      </w:pP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01"/>
        </w:trPr>
        <w:tc>
          <w:tcPr>
            <w:tcW w:w="18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Compensate for services rendered each year</w:t>
            </w:r>
          </w:p>
        </w:tc>
      </w:tr>
      <w:tr>
        <w:trPr>
          <w:trHeight w:val="39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Encourage achievement of our corporate performance</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 bonus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objectives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Reward those individuals who significantly impact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results</w:t>
            </w:r>
          </w:p>
        </w:tc>
      </w:tr>
      <w:tr>
        <w:trPr>
          <w:trHeight w:val="641"/>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executive officer and equityholder interests by</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creating a link between executive compensation and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1" w:right="260" w:hanging="361"/>
        <w:spacing w:after="0" w:line="261" w:lineRule="auto"/>
        <w:tabs>
          <w:tab w:leader="none" w:pos="3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position, experience, job responsibilities, and performance</w:t>
      </w:r>
    </w:p>
    <w:p>
      <w:pPr>
        <w:ind w:left="341" w:hanging="341"/>
        <w:spacing w:after="0"/>
        <w:tabs>
          <w:tab w:leader="none" w:pos="3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(90% weighting)</w:t>
      </w:r>
    </w:p>
    <w:p>
      <w:pPr>
        <w:spacing w:after="0" w:line="9" w:lineRule="exact"/>
        <w:rPr>
          <w:rFonts w:ascii="Times New Roman" w:cs="Times New Roman" w:eastAsia="Times New Roman" w:hAnsi="Times New Roman"/>
          <w:sz w:val="18"/>
          <w:szCs w:val="18"/>
          <w:color w:val="auto"/>
        </w:rPr>
      </w:pPr>
    </w:p>
    <w:p>
      <w:pPr>
        <w:ind w:left="721" w:right="740" w:hanging="361"/>
        <w:spacing w:after="0" w:line="250" w:lineRule="auto"/>
        <w:tabs>
          <w:tab w:leader="none" w:pos="70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EBITDA Dollars (40% weighting)</w:t>
      </w:r>
    </w:p>
    <w:p>
      <w:pPr>
        <w:ind w:left="701" w:hanging="341"/>
        <w:spacing w:after="0"/>
        <w:tabs>
          <w:tab w:leader="none" w:pos="70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Sales (weighted 40%)</w:t>
      </w:r>
    </w:p>
    <w:p>
      <w:pPr>
        <w:spacing w:after="0" w:line="9" w:lineRule="exact"/>
        <w:rPr>
          <w:rFonts w:ascii="Times New Roman" w:cs="Times New Roman" w:eastAsia="Times New Roman" w:hAnsi="Times New Roman"/>
          <w:sz w:val="18"/>
          <w:szCs w:val="18"/>
          <w:color w:val="auto"/>
        </w:rPr>
      </w:pPr>
    </w:p>
    <w:p>
      <w:pPr>
        <w:ind w:left="701" w:hanging="341"/>
        <w:spacing w:after="0"/>
        <w:tabs>
          <w:tab w:leader="none" w:pos="70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10%)</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(10% weighting)</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-1382395</wp:posOffset>
            </wp:positionV>
            <wp:extent cx="27260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219"/>
            <w:col w:w="4261"/>
          </w:cols>
          <w:pgMar w:left="320" w:top="455" w:right="47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our Named Executive Officers are provided certain other compensation including perquisites and other benefits, as described in “—Other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 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type w:val="continuous"/>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2018 Base</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2019 Base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to have a significant portion of the compensation of our executive officers, including the Named Executive Officers, tied to performance.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accomplish this objective, we provide our executive officers with the opportunity to earn cash bonuses to encourage the achievement of both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individual performance objectives and to reward those individuals who significantly impact our corporate results.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 EBITDA Dollars, and total Company sales, and of individual performance targets, other than his own, are recommended by Mr. Hicks to the Compensation Committee for its final approval.</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metrics, the weighting of each metric and the minimum, target, and maximum levels of achievement (in each case, expressed as a percentage of the target payout), as well as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 Payout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2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Others</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Company EBITDA Dollars</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65"/>
        </w:trPr>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Company Sales</w:t>
            </w:r>
          </w:p>
        </w:tc>
        <w:tc>
          <w:tcPr>
            <w:tcW w:w="840" w:type="dxa"/>
            <w:vAlign w:val="bottom"/>
            <w:gridSpan w:val="2"/>
            <w:vMerge w:val="restart"/>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shd w:val="clear" w:color="auto" w:fill="CCEEFF"/>
          </w:tcPr>
          <w:p>
            <w:pPr>
              <w:spacing w:after="0"/>
              <w:rPr>
                <w:sz w:val="7"/>
                <w:szCs w:val="7"/>
                <w:color w:val="auto"/>
              </w:rPr>
            </w:pPr>
          </w:p>
        </w:tc>
        <w:tc>
          <w:tcPr>
            <w:tcW w:w="290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ROIC %</w:t>
            </w:r>
          </w:p>
        </w:tc>
        <w:tc>
          <w:tcPr>
            <w:tcW w:w="84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64"/>
        </w:trPr>
        <w:tc>
          <w:tcPr>
            <w:tcW w:w="1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Does not</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Meets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9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Individual Goals</w:t>
            </w:r>
          </w:p>
        </w:tc>
        <w:tc>
          <w:tcPr>
            <w:tcW w:w="840" w:type="dxa"/>
            <w:vAlign w:val="bottom"/>
            <w:gridSpan w:val="2"/>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5"/>
                <w:szCs w:val="5"/>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meet all</w:t>
            </w:r>
          </w:p>
        </w:tc>
        <w:tc>
          <w:tcPr>
            <w:tcW w:w="94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expectations</w:t>
            </w: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expectations</w:t>
            </w:r>
          </w:p>
        </w:tc>
        <w:tc>
          <w:tcPr>
            <w:tcW w:w="9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Performance Metrics</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at 10%. The level of achievement of these targets is subject to the final determination and approval of the Compensation Committee.</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Individual Performance Metrics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Executive Team Bonus Plan, there is an individual performance component that represents 10% of each Named Executive Officer’s annual bonus opportunity. The maximum payout under the individual 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 (iv) 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 of Performance Goals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2019 Company performance metric results: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Achievement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3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tcBorders>
              <w:top w:val="single" w:sz="8" w:color="auto"/>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$317.3 million</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72"/>
        </w:trPr>
        <w:tc>
          <w:tcPr>
            <w:tcW w:w="13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Sales</w:t>
            </w:r>
          </w:p>
        </w:tc>
        <w:tc>
          <w:tcPr>
            <w:tcW w:w="320" w:type="dxa"/>
            <w:vAlign w:val="bottom"/>
            <w:shd w:val="clear" w:color="auto" w:fill="CCEEFF"/>
          </w:tcPr>
          <w:p>
            <w:pPr>
              <w:spacing w:after="0"/>
              <w:rPr>
                <w:sz w:val="6"/>
                <w:szCs w:val="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 billion</w:t>
            </w:r>
          </w:p>
        </w:tc>
        <w:tc>
          <w:tcPr>
            <w:tcW w:w="34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$4.83 billion</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0" w:type="dxa"/>
            <w:vAlign w:val="bottom"/>
          </w:tcPr>
          <w:p>
            <w:pPr>
              <w:spacing w:after="0"/>
              <w:rPr>
                <w:sz w:val="1"/>
                <w:szCs w:val="1"/>
                <w:color w:val="auto"/>
              </w:rPr>
            </w:pPr>
          </w:p>
        </w:tc>
      </w:tr>
      <w:tr>
        <w:trPr>
          <w:trHeight w:val="144"/>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20" w:type="dxa"/>
            <w:vAlign w:val="bottom"/>
            <w:shd w:val="clear" w:color="auto" w:fill="CCEEFF"/>
          </w:tcPr>
          <w:p>
            <w:pPr>
              <w:spacing w:after="0"/>
              <w:rPr>
                <w:sz w:val="12"/>
                <w:szCs w:val="12"/>
                <w:color w:val="auto"/>
              </w:rPr>
            </w:pPr>
          </w:p>
        </w:tc>
        <w:tc>
          <w:tcPr>
            <w:tcW w:w="54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 %</w:t>
            </w:r>
          </w:p>
        </w:tc>
        <w:tc>
          <w:tcPr>
            <w:tcW w:w="138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13.7%</w:t>
            </w:r>
          </w:p>
        </w:tc>
        <w:tc>
          <w:tcPr>
            <w:tcW w:w="1400" w:type="dxa"/>
            <w:vAlign w:val="bottom"/>
            <w:gridSpan w:val="2"/>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14.0%</w:t>
            </w:r>
          </w:p>
        </w:tc>
        <w:tc>
          <w:tcPr>
            <w:tcW w:w="3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80" w:type="dxa"/>
            <w:vAlign w:val="bottom"/>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was determined that each Named Executive Officers achieved his applicable individual performance goals at the targeted level of performance for 2019.</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12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8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Factor (%)</w:t>
            </w: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Achieved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1,650,000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487,822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505,353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690,730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828,876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858,663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463,840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480,509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446,495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446,495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462,541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160" w:hanging="424"/>
        <w:spacing w:after="0" w:line="256"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Sign-on Bonus Payment</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12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85"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desire to motivate, retain, and reward executive talent;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remain competitive in recruiting;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dilution of equityholders’ interests.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Equity Plan, became effective on August 30, 2011 and has been subsequently amended on multiple occasions to increase the number of Membership Units available for issuance thereunder, most recently on March 5,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(defined below), no further awards will be granted under the 2011 Equity Plan. However, all outstanding awards granted under the 2011 Equity Plan will continue to be governed by the existing terms of the 2011 Equity Plan and the applicable award agreements. 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(defined below) to be adopted in connection with this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long-term equity incentive compensation, see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2011 Equity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Option Agreement</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2018 CEO Option Agreement provides: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080" w:right="32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81"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92" w:lineRule="exact"/>
        <w:rPr>
          <w:rFonts w:ascii="Times New Roman" w:cs="Times New Roman" w:eastAsia="Times New Roman" w:hAnsi="Times New Roman"/>
          <w:sz w:val="18"/>
          <w:szCs w:val="18"/>
          <w:color w:val="auto"/>
        </w:rPr>
      </w:pPr>
    </w:p>
    <w:p>
      <w:pPr>
        <w:ind w:left="2200" w:right="40" w:hanging="545"/>
        <w:spacing w:after="0" w:line="258" w:lineRule="auto"/>
        <w:tabs>
          <w:tab w:leader="none" w:pos="22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88"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2" w:lineRule="exact"/>
        <w:rPr>
          <w:rFonts w:ascii="Times New Roman" w:cs="Times New Roman" w:eastAsia="Times New Roman" w:hAnsi="Times New Roman"/>
          <w:sz w:val="18"/>
          <w:szCs w:val="18"/>
          <w:color w:val="auto"/>
        </w:rPr>
      </w:pPr>
    </w:p>
    <w:p>
      <w:pPr>
        <w:ind w:left="2200" w:right="20" w:hanging="545"/>
        <w:spacing w:after="0" w:line="256" w:lineRule="auto"/>
        <w:tabs>
          <w:tab w:leader="none" w:pos="22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92"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during the Option Grant Year, then any then-outstanding and unvested portion of the Performance Options shall become vested and exercisable as to 100%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Membership Units that are subject to such unvested portion, immediately prior to such Change of Control.</w:t>
      </w:r>
    </w:p>
    <w:p>
      <w:pPr>
        <w:spacing w:after="0" w:line="131" w:lineRule="exact"/>
        <w:rPr>
          <w:sz w:val="20"/>
          <w:szCs w:val="20"/>
          <w:color w:val="auto"/>
        </w:rPr>
      </w:pPr>
    </w:p>
    <w:p>
      <w:pPr>
        <w:ind w:left="1540" w:hanging="331"/>
        <w:spacing w:after="0" w:line="258" w:lineRule="auto"/>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CEO Option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2019 CEO Option Agreement is substantially similar to the 2018 CEO Option Agreement, except that (i) vesting is measured from the grant date (not an earlier vesting commencement date), and (ii) with respect to 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80" w:lineRule="exact"/>
        <w:rPr>
          <w:sz w:val="20"/>
          <w:szCs w:val="20"/>
          <w:color w:val="auto"/>
        </w:rPr>
      </w:pPr>
    </w:p>
    <w:p>
      <w:pPr>
        <w:jc w:val="both"/>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Option Agreement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870,757 Time Options with an exercise price of $5.49 to Mr. Hicks pursuant to an Option Agreement under the 2011 Equity Plan, or the 2020 CEO Option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of Time Options, the 2020 CEO Option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shall be vested and exercisable on the date of such termination.</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Option immediately following the date of such termination, had he remained in service through such vesting date, will become vested and exercisable as of such termination.</w:t>
      </w:r>
    </w:p>
    <w:p>
      <w:pPr>
        <w:spacing w:after="0" w:line="67" w:lineRule="exact"/>
        <w:rPr>
          <w:sz w:val="20"/>
          <w:szCs w:val="20"/>
          <w:color w:val="auto"/>
        </w:rPr>
      </w:pPr>
    </w:p>
    <w:p>
      <w:pPr>
        <w:ind w:left="1080" w:right="200" w:hanging="424"/>
        <w:spacing w:after="0" w:line="312" w:lineRule="auto"/>
        <w:tabs>
          <w:tab w:leader="none" w:pos="10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2016 Executive Option Agreement</w:t>
      </w:r>
    </w:p>
    <w:p>
      <w:pPr>
        <w:spacing w:after="0" w:line="11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2016 Executive Option Agreement is substantially similar to the 2018 CEO Option Agreement, except that it contains the following vesting schedule with respect to the Time Options: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Mr. Attaway’s continued service through the applicable vesting date.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2017 Executive Option Agreement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67" w:lineRule="exact"/>
        <w:rPr>
          <w:sz w:val="20"/>
          <w:szCs w:val="20"/>
          <w:color w:val="auto"/>
        </w:rPr>
      </w:pPr>
    </w:p>
    <w:p>
      <w:pPr>
        <w:ind w:left="10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(repriced down from $6.03 by the Compensation Committee in 2018) to Mr. Mullican;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(repriced down from $6.03 by the Compensation Committee in 2018) to Mr. Johnson;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123,154 Time Options and 61,576 Performance Options with an exercise price of $5.30 (repriced down from $6.03 by the Compensation Committee in 2018) to Mr. Attaway.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Time Options:</w:t>
      </w:r>
    </w:p>
    <w:p>
      <w:pPr>
        <w:spacing w:after="0" w:line="131" w:lineRule="exact"/>
        <w:rPr>
          <w:sz w:val="20"/>
          <w:szCs w:val="20"/>
          <w:color w:val="auto"/>
        </w:rPr>
      </w:pPr>
    </w:p>
    <w:p>
      <w:pPr>
        <w:ind w:left="1080" w:right="1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Performance Options: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85" w:lineRule="exact"/>
        <w:rPr>
          <w:sz w:val="20"/>
          <w:szCs w:val="20"/>
          <w:color w:val="auto"/>
        </w:rPr>
      </w:pPr>
    </w:p>
    <w:p>
      <w:pPr>
        <w:ind w:left="1080" w:hanging="424"/>
        <w:spacing w:after="0" w:line="258"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-852170</wp:posOffset>
            </wp:positionV>
            <wp:extent cx="285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Option Agreement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67" w:lineRule="exact"/>
        <w:rPr>
          <w:sz w:val="20"/>
          <w:szCs w:val="20"/>
          <w:color w:val="auto"/>
        </w:rPr>
      </w:pPr>
    </w:p>
    <w:p>
      <w:pPr>
        <w:ind w:left="1080" w:right="32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128,825 Time Options and 64,412 Performance Options with an exercise price of $5.23 to Mr. Mullican;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104,670 Time Options and 52,335 Performance Options with an exercise price of $5.23 to Mr. Johnson;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112,722 Time Options and 56,361 Performance Options with an exercise price of $5.23 to Mr. Attaway.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67"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138,861 Time Options and 68,393 Performance Options with an exercise price of $5.26 to Mr. Mullican;</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121,504 Time Options and 59,844 Performance Options with an exercise price of $5.26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67"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217,689 Time Options with an exercise price of $5.49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2020 Executive Option Agreement provides: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320" w:top="455" w:right="5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consummation of this offering), the Company will record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Independent Non-Employee Director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Restricted Unit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2018 CEO Restricted Unit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and (ii) the date of a Change of Control, any of the foregoing (i) and (ii) being an Initial Vesting Event, if Mr. Hicks is in continuous service on the date of the Initial Vesting Event.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55" w:right="51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540" w:right="260" w:hanging="331"/>
        <w:spacing w:after="0" w:line="282" w:lineRule="auto"/>
        <w:tabs>
          <w:tab w:leader="none" w:pos="1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(June 22, 2018), the total number of Restricted Units that will vest on the Initial Vesting Event shall be increased by 1/24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vesting commencement date, and</w:t>
      </w:r>
    </w:p>
    <w:p>
      <w:pPr>
        <w:spacing w:after="0" w:line="81"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all of the Restricted Units will vest on the Initial Vesting Event;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80" w:hanging="331"/>
        <w:spacing w:after="0" w:line="272" w:lineRule="auto"/>
        <w:tabs>
          <w:tab w:leader="none" w:pos="154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ind w:left="1540" w:right="120" w:hanging="331"/>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Restricted Units as of such date, vesting will continue under the Time and Service Based Requirement as set forth in clause (2) above, each vesting date a Subsequent Vesting Event. If his service is terminated at any time following this offering, any then-unvested Restricted Units shall be forfeited as of the date of his termination of service.</w:t>
      </w:r>
    </w:p>
    <w:p>
      <w:pPr>
        <w:spacing w:after="0" w:line="180"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w:t>
      </w:r>
    </w:p>
    <w:p>
      <w:pPr>
        <w:spacing w:after="0" w:line="2" w:lineRule="exact"/>
        <w:rPr>
          <w:sz w:val="20"/>
          <w:szCs w:val="20"/>
          <w:color w:val="auto"/>
        </w:rPr>
      </w:pPr>
    </w:p>
    <w:p>
      <w:pPr>
        <w:ind w:left="120" w:right="80" w:hanging="4"/>
        <w:spacing w:after="0" w:line="260" w:lineRule="auto"/>
        <w:tabs>
          <w:tab w:leader="none" w:pos="3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after the consummation of the IPO or (y) March 15th of the calendar year following the calendar year in which the IPO is consummated.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Restricted Unit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303,279 Restricted Units to Mr. Hicks pursuant to a Restricted Unit Agreement under the 2011 Equity Plan, or the 2020 CEO Restricted Unit Agreement.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2020 CEO Restricted Unit Agreement provides that only “Earned Restricted Units” are eligible to become vested in accordance with the vesting schedule set forth therein. Restricted Units become “Earned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Company’s actual consolidated Adjusted EBITDA for the RU Grant Year is: (i) equal to or greater than the “high performance target,” then</w:t>
      </w:r>
    </w:p>
    <w:p>
      <w:pPr>
        <w:spacing w:after="0" w:line="27"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8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1"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Mr. Hicks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line="258" w:lineRule="auto"/>
        <w:tabs>
          <w:tab w:leader="none" w:pos="220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the total number of Earned Restricted Units that will vest on the Initial Vesting Event shall be increased by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Earned Restricted Units will vest on the Initial Vesting Event, and</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all of the Earned Restricted Units will vest on the Initial Vesting Event;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(such as this offering),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88"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after IPO.</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Earned Restricted Units as of such date, vesting will continue under the Time and Service Based Requirement schedule as set forth in clause (2) above, each vesting date, a Subsequent Vesting Event. If his service is terminated at any time following this offering, any then-unvested Earned Restricted Units shall be forfeited as of the date of his termination of service.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2020 CEO Restricted Unit Agreement provides that within 30 days following the occurrence of the Initial Vesting Event or any Subsequent Vesting Event as set forth above, Earned Restricted Units that vest as of the Initial Vesting Event or any Subsequent Vesting Event shall be settled; provided, that if the Initial Vesting Event is an IPO (such as this offering),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67"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2018,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377,359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235,850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2018 Executive Restricted Unit Agreement provides:</w:t>
      </w:r>
    </w:p>
    <w:p>
      <w:pPr>
        <w:spacing w:after="0" w:line="131" w:lineRule="exact"/>
        <w:rPr>
          <w:sz w:val="20"/>
          <w:szCs w:val="20"/>
          <w:color w:val="auto"/>
        </w:rPr>
      </w:pPr>
    </w:p>
    <w:p>
      <w:pPr>
        <w:ind w:left="1080" w:right="16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Requirement and (ii) a liquidity event requirement, or the Liquidity Event Requirement, each as described in clauses (1) and (2) below:</w:t>
      </w:r>
    </w:p>
    <w:p>
      <w:pPr>
        <w:spacing w:after="0" w:line="131" w:lineRule="exact"/>
        <w:rPr>
          <w:sz w:val="20"/>
          <w:szCs w:val="20"/>
          <w:color w:val="auto"/>
        </w:rPr>
      </w:pPr>
    </w:p>
    <w:p>
      <w:pPr>
        <w:ind w:left="1540" w:right="40" w:hanging="331"/>
        <w:spacing w:after="0" w:line="266" w:lineRule="auto"/>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the grantee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on or after the first anniversary of the grant date but prior to the second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 on or after the second anniversary of the grant date but prior to the third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 on or after the third anniversary of the grant date but prior to the fourth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25% on or after the fourth anniversary of the grant date;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72" w:lineRule="auto"/>
        <w:tabs>
          <w:tab w:leader="none" w:pos="15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is in continuous service on the date of the Initial Vesting Event, then (i) if the Initial Vesting Event is a Change of Control, all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jc w:val="both"/>
        <w:ind w:left="1540" w:right="160" w:hanging="331"/>
        <w:spacing w:after="0" w:line="266" w:lineRule="auto"/>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at any time following this offering, any then-unvested Restricted Units shall be forfeited as of the date of the grantee’s termination of service.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Restricted Unit Agreement</w:t>
      </w:r>
    </w:p>
    <w:p>
      <w:pPr>
        <w:spacing w:after="0" w:line="11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Restricted Unit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Lawrence, Johnson, and Attaway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2020 Executive Restricted Unit Agreement:</w:t>
      </w:r>
    </w:p>
    <w:p>
      <w:pPr>
        <w:spacing w:after="0" w:line="112"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 Restricted Units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39,427 Restricted Units to Mr. Attaway.</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67" w:lineRule="exact"/>
        <w:rPr>
          <w:sz w:val="20"/>
          <w:szCs w:val="20"/>
          <w:color w:val="auto"/>
        </w:rPr>
      </w:pPr>
    </w:p>
    <w:p>
      <w:pPr>
        <w:ind w:left="1080" w:right="8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1540" w:right="520" w:hanging="331"/>
        <w:spacing w:after="0" w:line="312" w:lineRule="auto"/>
        <w:tabs>
          <w:tab w:leader="none" w:pos="15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45" w:lineRule="exact"/>
        <w:rPr>
          <w:rFonts w:ascii="Times New Roman" w:cs="Times New Roman" w:eastAsia="Times New Roman" w:hAnsi="Times New Roman"/>
          <w:sz w:val="17"/>
          <w:szCs w:val="17"/>
          <w:color w:val="auto"/>
        </w:rPr>
      </w:pPr>
    </w:p>
    <w:p>
      <w:pPr>
        <w:ind w:left="1540" w:right="520" w:hanging="331"/>
        <w:spacing w:after="0" w:line="282"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75% on or after the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100% on or after the fourth anniversary of the vesting commencement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Awards under 2020 Equity Plan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Company’s 2020 Omnibus Incentive Plan, or the 2020 Equity Plan. Equity awards under the 2020 Equity Plan will be designed to reward our Named Executive Officers for long-term equityholder value creation. In determining equity awards, we anticipate that our Compensation Committee will take into account the Company’s overall financial performance as well as its performance versus competitor firms.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Pension Benefits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Nonqualified Deferred Compensation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Benefits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Benefits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Hicks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80" w:hanging="4"/>
        <w:spacing w:after="0" w:line="282" w:lineRule="auto"/>
        <w:tabs>
          <w:tab w:leader="none" w:pos="7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have use of a company-owned vehicle when in Katy, Texas with satellite radio and all maintenance and insurance costs with respect to such vehicle; and</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Johnson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pursuant to his employment agreement, the Company provided Mr. Johnson reimbursement for relocation expenses, with a tax gross-up.</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Attaway</w:t>
      </w:r>
    </w:p>
    <w:p>
      <w:pPr>
        <w:spacing w:after="0" w:line="119"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total compensation earned by our Named Executive Officers in the fiscal year ended February 1, 2020 (or</w:t>
      </w:r>
    </w:p>
    <w:p>
      <w:pPr>
        <w:spacing w:after="0" w:line="27"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86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Ken C. Hicks</w:t>
            </w:r>
          </w:p>
        </w:tc>
        <w:tc>
          <w:tcPr>
            <w:tcW w:w="36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1,100,000</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2,808,290</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1,868,667</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1,089,042</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6,865,999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P. Mullican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487,827</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571,336</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505,353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1,588,183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Chief Financial Officer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P. Lawrence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677,596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1,428,983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858,663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3,165,242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Merchandising Officer(7)</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J. Johnson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463,884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480,509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1,498,182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Retail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D. Attaway</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446,500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464,211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462,541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1,399,456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Operations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Named Executive Officer’s base salary earned during 2019.</w:t>
      </w:r>
    </w:p>
    <w:p>
      <w:pPr>
        <w:spacing w:after="0" w:line="26" w:lineRule="exact"/>
        <w:rPr>
          <w:rFonts w:ascii="Times New Roman" w:cs="Times New Roman" w:eastAsia="Times New Roman" w:hAnsi="Times New Roman"/>
          <w:sz w:val="16"/>
          <w:szCs w:val="16"/>
          <w:color w:val="auto"/>
        </w:rPr>
      </w:pPr>
    </w:p>
    <w:p>
      <w:pPr>
        <w:ind w:left="540" w:right="40" w:hanging="424"/>
        <w:spacing w:after="0" w:line="264" w:lineRule="auto"/>
        <w:tabs>
          <w:tab w:leader="none" w:pos="5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ind w:left="540" w:right="140" w:hanging="424"/>
        <w:spacing w:after="0" w:line="264" w:lineRule="auto"/>
        <w:tabs>
          <w:tab w:leader="none" w:pos="5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ind w:left="540" w:right="20" w:hanging="424"/>
        <w:spacing w:after="0" w:line="268" w:lineRule="auto"/>
        <w:tabs>
          <w:tab w:leader="none" w:pos="5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6"/>
          <w:szCs w:val="16"/>
          <w:i w:val="1"/>
          <w:iCs w:val="1"/>
          <w:color w:val="auto"/>
        </w:rPr>
        <w:t>Equity and Unit-Based Compensation</w:t>
      </w:r>
      <w:r>
        <w:rPr>
          <w:rFonts w:ascii="Times New Roman" w:cs="Times New Roman" w:eastAsia="Times New Roman" w:hAnsi="Times New Roman"/>
          <w:sz w:val="16"/>
          <w:szCs w:val="16"/>
          <w:color w:val="auto"/>
        </w:rPr>
        <w:t xml:space="preserve"> to our audited consolidated financial statements included in our Annual Report,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6" w:lineRule="exact"/>
        <w:rPr>
          <w:sz w:val="20"/>
          <w:szCs w:val="20"/>
          <w:color w:val="auto"/>
        </w:rPr>
      </w:pPr>
    </w:p>
    <w:p>
      <w:pPr>
        <w:ind w:left="540" w:right="380" w:hanging="424"/>
        <w:spacing w:after="0" w:line="269" w:lineRule="auto"/>
        <w:tabs>
          <w:tab w:leader="none" w:pos="5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description of our perquisites, see “Other Compensation—Perquisites and Other Benefits” in this Compensation Discussion and Analysis.</w:t>
      </w:r>
    </w:p>
    <w:p>
      <w:pPr>
        <w:spacing w:after="0" w:line="118" w:lineRule="exact"/>
        <w:rPr>
          <w:rFonts w:ascii="Times New Roman" w:cs="Times New Roman" w:eastAsia="Times New Roman" w:hAnsi="Times New Roman"/>
          <w:sz w:val="16"/>
          <w:szCs w:val="16"/>
          <w:color w:val="auto"/>
        </w:rPr>
      </w:pPr>
    </w:p>
    <w:p>
      <w:pPr>
        <w:ind w:left="560" w:right="4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for Mr. Hicks includes the following perquisites, pursuant to Mr. Hicks’ employment agreement and which were approved by the Compensation Committee:</w:t>
      </w:r>
    </w:p>
    <w:p>
      <w:pPr>
        <w:spacing w:after="0" w:line="56" w:lineRule="exact"/>
        <w:rPr>
          <w:rFonts w:ascii="Times New Roman" w:cs="Times New Roman" w:eastAsia="Times New Roman" w:hAnsi="Times New Roman"/>
          <w:sz w:val="16"/>
          <w:szCs w:val="16"/>
          <w:color w:val="auto"/>
        </w:rPr>
      </w:pPr>
    </w:p>
    <w:p>
      <w:pPr>
        <w:ind w:left="1000" w:right="80" w:hanging="3"/>
        <w:spacing w:after="0" w:line="298" w:lineRule="auto"/>
        <w:tabs>
          <w:tab w:leader="none" w:pos="1194"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56" w:lineRule="exact"/>
        <w:rPr>
          <w:rFonts w:ascii="Times New Roman" w:cs="Times New Roman" w:eastAsia="Times New Roman" w:hAnsi="Times New Roman"/>
          <w:sz w:val="16"/>
          <w:szCs w:val="16"/>
          <w:color w:val="auto"/>
        </w:rPr>
      </w:pPr>
    </w:p>
    <w:p>
      <w:pPr>
        <w:ind w:left="1000" w:right="340" w:hanging="3"/>
        <w:spacing w:after="0" w:line="298" w:lineRule="auto"/>
        <w:tabs>
          <w:tab w:leader="none" w:pos="1239"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56" w:lineRule="exact"/>
        <w:rPr>
          <w:rFonts w:ascii="Times New Roman" w:cs="Times New Roman" w:eastAsia="Times New Roman" w:hAnsi="Times New Roman"/>
          <w:sz w:val="16"/>
          <w:szCs w:val="16"/>
          <w:color w:val="auto"/>
        </w:rPr>
      </w:pPr>
    </w:p>
    <w:p>
      <w:pPr>
        <w:jc w:val="both"/>
        <w:ind w:left="1000" w:right="60" w:hanging="3"/>
        <w:spacing w:after="0" w:line="281" w:lineRule="auto"/>
        <w:tabs>
          <w:tab w:leader="none" w:pos="1284"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69"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56" w:lineRule="exact"/>
        <w:rPr>
          <w:sz w:val="20"/>
          <w:szCs w:val="20"/>
          <w:color w:val="auto"/>
        </w:rPr>
      </w:pPr>
    </w:p>
    <w:p>
      <w:pPr>
        <w:ind w:left="560" w:right="40"/>
        <w:spacing w:after="0" w:line="281" w:lineRule="auto"/>
        <w:rPr>
          <w:sz w:val="20"/>
          <w:szCs w:val="20"/>
          <w:color w:val="auto"/>
        </w:rPr>
      </w:pPr>
      <w:r>
        <w:rPr>
          <w:rFonts w:ascii="Times New Roman" w:cs="Times New Roman" w:eastAsia="Times New Roman" w:hAnsi="Times New Roman"/>
          <w:sz w:val="16"/>
          <w:szCs w:val="16"/>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69"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56"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56" w:lineRule="exact"/>
        <w:rPr>
          <w:sz w:val="20"/>
          <w:szCs w:val="20"/>
          <w:color w:val="auto"/>
        </w:rPr>
      </w:pPr>
    </w:p>
    <w:p>
      <w:pPr>
        <w:ind w:left="560" w:right="260"/>
        <w:spacing w:after="0" w:line="298" w:lineRule="auto"/>
        <w:rPr>
          <w:sz w:val="20"/>
          <w:szCs w:val="20"/>
          <w:color w:val="auto"/>
        </w:rPr>
      </w:pPr>
      <w:r>
        <w:rPr>
          <w:rFonts w:ascii="Times New Roman" w:cs="Times New Roman" w:eastAsia="Times New Roman" w:hAnsi="Times New Roman"/>
          <w:sz w:val="16"/>
          <w:szCs w:val="16"/>
          <w:color w:val="auto"/>
        </w:rPr>
        <w:t>“All Other Compensation” for Mr. Attaway includes: (i) $16,859 for the employer matching contribution by the Company under our 401(k) plan; (ii) $1,800 in connection with an executive physical; (iii) $5,000 in connection with financial planning; and (iv) $2,545 in connection with tax preparation assistance.</w:t>
      </w:r>
    </w:p>
    <w:p>
      <w:pPr>
        <w:spacing w:after="0" w:line="56"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88"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 commenced employment with us on February 11, 2019, after the beginning of the 2019 fiscal year. He did not participate in the 401(k) plan in 2019.</w:t>
      </w:r>
    </w:p>
    <w:p>
      <w:pPr>
        <w:spacing w:after="0" w:line="162"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WITH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Each of Messrs. Hicks, Mullican, Lawrence, and Johnson are subject to the following restrictive covenants under their applicable employment agreements: (i) confidentiality during employment and perpetually upon termination, (ii) irrevocable assignment of all rights of any intellectual property created during employment to the Company, (iii) non-competition during employment and for 24 months following termination, and</w:t>
      </w:r>
    </w:p>
    <w:p>
      <w:pPr>
        <w:spacing w:after="0" w:line="1" w:lineRule="exact"/>
        <w:rPr>
          <w:sz w:val="20"/>
          <w:szCs w:val="20"/>
          <w:color w:val="auto"/>
        </w:rPr>
      </w:pPr>
    </w:p>
    <w:p>
      <w:pPr>
        <w:ind w:left="120" w:right="640" w:hanging="4"/>
        <w:spacing w:after="0" w:line="250" w:lineRule="auto"/>
        <w:tabs>
          <w:tab w:leader="none" w:pos="4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no hire, and non-solicitation of customers for 24 months following termination. Mr. Attaway is subject to the following restrictive covenants under his employment agreement: (i) confidentiality during employment and perpetually upon termination,</w:t>
      </w:r>
    </w:p>
    <w:p>
      <w:pPr>
        <w:ind w:left="120" w:right="140" w:hanging="4"/>
        <w:spacing w:after="0" w:line="253" w:lineRule="auto"/>
        <w:tabs>
          <w:tab w:leader="none" w:pos="3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below, each of the employment agreements also provides for certain severance payments that may be due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Hicks Employment Agreement</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Hicks Employment Agreement has no specified employment term and may be terminated by either the Company or Mr. Hicks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During Mr. Hicks’ employment: (i) the Company shall pay directly or reimburse him for reasonable monthly rent and utilities costs (including electric, gas, water, alarm, cable, housekeeping and internet but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excluding meals and laundry) for a furnished rental apartment in the Katy, Texas area, (ii) 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Mullican Employment Agreement</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Employment Agreement</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Lawrence Employment Agreement has no specified employment term and may be terminated by either the Company or Mr. Lawrence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Johnson Employment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Johnson Employment Agreement provides that Mr. Johnson’s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Johnson.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Attaway Employment Agreement</w:t>
      </w:r>
    </w:p>
    <w:p>
      <w:pPr>
        <w:spacing w:after="0" w:line="121"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 BASED AWARDS IN 2019</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 information regarding equity incentive plan awards, please see “Long-Term Equity Incentive Compensation—Equity Awards under 2011 Equity Plan.”</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 Based Awards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2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Plan Awards(3)</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Annual</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694,301</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1,881,555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341,969</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926,735</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Mullican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243,911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487,822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975,644</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138,861</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383,256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68,393</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188,080</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414,438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828,876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1,657,752</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411,270</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1,135,105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37,488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106,865</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293,878</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142,586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 J. Johnson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231,920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463,840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927,680</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121,504</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335,351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59,844</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164,571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223,247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446,495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892,990</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112,824</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311,394</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55,570</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line="226"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 Named Executive Officers are set forth in the “Summary Compensation Table” above and the calculation of the actual amounts paid is discussed more fully in “—Executive Team Bonus Plan” above.</w:t>
      </w:r>
    </w:p>
    <w:p>
      <w:pPr>
        <w:ind w:left="540" w:hanging="424"/>
        <w:spacing w:after="0" w:line="221"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applicable to each Time Option, Performance Option, and Restricted Unit award is set forth in the “—Outstanding Equity Awards at Fiscal Year End Table” table.</w:t>
      </w:r>
    </w:p>
    <w:p>
      <w:pPr>
        <w:ind w:left="540" w:hanging="424"/>
        <w:spacing w:after="0" w:line="221"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level of achievement is the highest level of achievement possible under the equity incentive plan awards listed in this table.</w:t>
      </w:r>
    </w:p>
    <w:p>
      <w:pPr>
        <w:ind w:left="540" w:right="80" w:hanging="424"/>
        <w:spacing w:after="0" w:line="221"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4"/>
          <w:szCs w:val="14"/>
          <w:i w:val="1"/>
          <w:iCs w:val="1"/>
          <w:color w:val="auto"/>
        </w:rPr>
        <w:t>Equity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Unit-Based Compensation </w:t>
      </w:r>
      <w:r>
        <w:rPr>
          <w:rFonts w:ascii="Times New Roman" w:cs="Times New Roman" w:eastAsia="Times New Roman" w:hAnsi="Times New Roman"/>
          <w:sz w:val="14"/>
          <w:szCs w:val="14"/>
          <w:color w:val="auto"/>
        </w:rPr>
        <w:t>to our audited consolidated financial statements incorporated by reference in this prospectus. The grant date fair value of the Performance Options,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 w:lineRule="exact"/>
        <w:rPr>
          <w:rFonts w:ascii="Times New Roman" w:cs="Times New Roman" w:eastAsia="Times New Roman" w:hAnsi="Times New Roman"/>
          <w:sz w:val="14"/>
          <w:szCs w:val="14"/>
          <w:color w:val="auto"/>
        </w:rPr>
      </w:pPr>
    </w:p>
    <w:p>
      <w:pPr>
        <w:ind w:left="540" w:right="20" w:hanging="424"/>
        <w:spacing w:after="0" w:line="227"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regard to each outstanding equity award held by the Named Executive Officers on February 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040" w:type="dxa"/>
            <w:vAlign w:val="bottom"/>
            <w:gridSpan w:val="3"/>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Date(4)</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1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9/16/2018</w:t>
            </w:r>
          </w:p>
        </w:tc>
        <w:tc>
          <w:tcPr>
            <w:tcW w:w="1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18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735,295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4,036,769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226,674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291,461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259,068</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144,640</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3/7/2019(10)</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341,969</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P. Mullican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9"/>
              </w:rPr>
              <w:t>3/23/2017(11)</w:t>
            </w:r>
          </w:p>
        </w:tc>
        <w:tc>
          <w:tcPr>
            <w:tcW w:w="180" w:type="dxa"/>
            <w:vAlign w:val="bottom"/>
          </w:tcPr>
          <w:p>
            <w:pPr>
              <w:spacing w:after="0"/>
              <w:rPr>
                <w:sz w:val="10"/>
                <w:szCs w:val="10"/>
                <w:color w:val="auto"/>
              </w:rPr>
            </w:pP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49,261</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49,262</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3/23/2017(12)</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21,429</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4/5/2018(13)</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32,206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96,619</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4/5/2018(14)</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64,412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3/7/2019(15)</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138,861</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3/7/2019(16)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68,393</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3/7/2019</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142,586</w:t>
            </w:r>
          </w:p>
        </w:tc>
        <w:tc>
          <w:tcPr>
            <w:tcW w:w="7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411,270</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106,865</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Sam J. Johnson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6/6/2017(19)</w:t>
            </w:r>
          </w:p>
        </w:tc>
        <w:tc>
          <w:tcPr>
            <w:tcW w:w="9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6/6/2017(20)</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10,436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16,072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4/5/2018(21)</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26,167</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78,503</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52,335</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1,294,816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3/7/2019(23)</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121,504</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3/7/2019(24)</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59,844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7/2/2015(25)</w:t>
            </w:r>
          </w:p>
        </w:tc>
        <w:tc>
          <w:tcPr>
            <w:tcW w:w="9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7/2/2015(26)</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3/27/2016(27)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88,752</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29,585</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3/27/2026</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61,576</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61,578</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26,786</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28,180</w:t>
            </w:r>
          </w:p>
        </w:tc>
        <w:tc>
          <w:tcPr>
            <w:tcW w:w="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84,542</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56,361</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141,510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776,889</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3/7/2019(32)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112,824</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55,570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vested Time Options and vested Performance Options as of February 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(i) unvested Time Options as of February 1, 2020, or (ii) Performance Options which became Earned and are subject to time vesting.</w:t>
      </w:r>
    </w:p>
    <w:p>
      <w:pPr>
        <w:ind w:left="540" w:hanging="424"/>
        <w:spacing w:after="0" w:line="221" w:lineRule="auto"/>
        <w:tabs>
          <w:tab w:leader="none" w:pos="5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unvested Performance Options that are not Earned as of February 1, 2020.</w:t>
      </w:r>
    </w:p>
    <w:p>
      <w:pPr>
        <w:ind w:left="540" w:hanging="424"/>
        <w:spacing w:after="0" w:line="221" w:lineRule="auto"/>
        <w:tabs>
          <w:tab w:leader="none" w:pos="5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for each of the Options is the date that is ten years after the initial grant date.</w:t>
      </w:r>
    </w:p>
    <w:p>
      <w:pPr>
        <w:ind w:left="540" w:right="160" w:hanging="424"/>
        <w:spacing w:after="0" w:line="239" w:lineRule="auto"/>
        <w:tabs>
          <w:tab w:leader="none" w:pos="5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Units granted to each Named Executive Officer are reported in this column because they are subject to a liquidity event-based vesting condition which will only be satisfied upon the closing of this offering, in addition to any other vesting conditions that continue to</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300"/>
        <w:spacing w:after="0" w:line="233" w:lineRule="auto"/>
        <w:rPr>
          <w:sz w:val="20"/>
          <w:szCs w:val="20"/>
          <w:color w:val="auto"/>
        </w:rPr>
      </w:pPr>
      <w:r>
        <w:rPr>
          <w:rFonts w:ascii="Times New Roman" w:cs="Times New Roman" w:eastAsia="Times New Roman" w:hAnsi="Times New Roman"/>
          <w:sz w:val="14"/>
          <w:szCs w:val="14"/>
          <w:color w:val="auto"/>
        </w:rPr>
        <w:t>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ind w:left="540" w:right="22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ind w:left="540" w:right="66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2018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vesting commencement date (April 5, 2018), subject to continued employment through the applicable vesting date.</w:t>
      </w:r>
    </w:p>
    <w:p>
      <w:pPr>
        <w:ind w:left="540" w:right="10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66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2019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grant date, subject to continued employment through the applicable vesting date.</w:t>
      </w:r>
    </w:p>
    <w:p>
      <w:pPr>
        <w:ind w:left="540" w:right="6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39" w:lineRule="auto"/>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80" w:hanging="424"/>
        <w:spacing w:after="0" w:line="224"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jc w:val="both"/>
        <w:ind w:left="540" w:right="4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ind w:left="540" w:right="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ind w:left="540" w:right="12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8"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100" w:hanging="424"/>
        <w:spacing w:after="0" w:line="233" w:lineRule="auto"/>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120" w:hanging="424"/>
        <w:spacing w:after="0" w:line="228" w:lineRule="auto"/>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2019 Restricted Units Vested Table</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Units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80" w:hanging="424"/>
        <w:spacing w:after="0" w:line="261"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ind w:left="540" w:right="160" w:hanging="424"/>
        <w:spacing w:after="0" w:line="290" w:lineRule="auto"/>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 (i) exercise all of the powers granted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it under the 2011 Equity Plan, (ii) construe, interpret and implement the 2011 Equity Plan and any award agreement, (iii) prescribe, amend and rescind rules and regulations relating to the 2011 Equity Plan, including rules governing its own operations, (iv) 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Membership Unit Reserve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a total of 36,933,859 Membership Units available for awards under the 2011 Equity Plan.</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2011 Equity Plan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 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and Distributions of Awards</w:t>
      </w:r>
    </w:p>
    <w:p>
      <w:pPr>
        <w:spacing w:after="0" w:line="11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2011 Equity Plan and Awards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 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Treatment of Awards upon Change of Control</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the 2011 Equity Plan, “Change of Control” is generally defined as (a) the sale of all or substantially all of the assets of the Company or Allstar LLC, or the Managing Member, to any “Person,” as such 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 (B) 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Named Executive Officers for long-term equityholder value creation. The following summary is qualified in its entirety by reference to the 2020 Equity Plan that has been adopted by the Board.</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2020 Equity Plan will be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 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2020 Equity Plan</w:t>
      </w:r>
    </w:p>
    <w:p>
      <w:pPr>
        <w:sectPr>
          <w:pgSz w:w="11900" w:h="16838" w:orient="portrait"/>
          <w:cols w:equalWidth="0" w:num="1">
            <w:col w:w="11060"/>
          </w:cols>
          <w:pgMar w:left="320" w:top="455" w:right="51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Equity Plan provides that the total number of shares of common stock that may be issued under the 2020 Equity Plan 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Absolute Share Limit. No more than the number of shares of common stock equal to the Absolute Share Limit may be issued in the aggregate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exercise of incentive stock options. The maximum number of shares of common stock granted during a single fiscal year to</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or</w:t>
      </w:r>
    </w:p>
    <w:p>
      <w:pPr>
        <w:spacing w:after="0" w:line="600" w:lineRule="exact"/>
        <w:rPr>
          <w:sz w:val="20"/>
          <w:szCs w:val="20"/>
          <w:color w:val="auto"/>
        </w:rPr>
      </w:pPr>
    </w:p>
    <w:p>
      <w:pPr>
        <w:sectPr>
          <w:pgSz w:w="11900" w:h="16838" w:orient="portrait"/>
          <w:cols w:equalWidth="0" w:num="2">
            <w:col w:w="10580" w:space="60"/>
            <w:col w:w="420"/>
          </w:cols>
          <w:pgMar w:left="320" w:top="455" w:right="51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5" w:right="519" w:bottom="1440" w:gutter="0" w:footer="0" w:header="0"/>
          <w:type w:val="continuous"/>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any non-employee director, taken together with any cash fees paid to such non-employee director during the fiscal year, may not exceed $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effective date (as defined therein), but awards granted before then may extend beyond that date.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The Compensation Committee may grant non-qualified stock options and incentive stock options, under the 2020 Equity Plan, with terms and conditions determined by the Compensation Committee that are not 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will be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w:t>
      </w:r>
    </w:p>
    <w:p>
      <w:pPr>
        <w:spacing w:after="0" w:line="7" w:lineRule="exact"/>
        <w:rPr>
          <w:sz w:val="20"/>
          <w:szCs w:val="20"/>
          <w:color w:val="auto"/>
        </w:rPr>
      </w:pPr>
    </w:p>
    <w:p>
      <w:pPr>
        <w:ind w:left="120" w:right="180" w:hanging="4"/>
        <w:spacing w:after="0" w:line="260" w:lineRule="auto"/>
        <w:tabs>
          <w:tab w:leader="none" w:pos="4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“net exercise” procedure effected by withholding the minimum number of shares needed to pay the exercise price. Any fractional shares of common stock will be settled in cash.</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Equity-Based Awards and Cash-Based Awards</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2020 Equity Plan and Awards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any change of control, the Compensation Committee may, in its sole discretion, provide for any one or more of the following:</w:t>
      </w:r>
    </w:p>
    <w:p>
      <w:pPr>
        <w:spacing w:after="0" w:line="27" w:lineRule="exact"/>
        <w:rPr>
          <w:sz w:val="20"/>
          <w:szCs w:val="20"/>
          <w:color w:val="auto"/>
        </w:rPr>
      </w:pPr>
    </w:p>
    <w:p>
      <w:pPr>
        <w:ind w:left="120" w:right="40" w:hanging="4"/>
        <w:spacing w:after="0" w:line="267" w:lineRule="auto"/>
        <w:tabs>
          <w:tab w:leader="none" w:pos="33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Clawback/Repayment</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the Board will adopt, and we expect our equityholders to approve, the Company’s 2020 Employee Stock Purchase Plan, or the ESPP. The following summary is qualified in its entirety by reference to the ESPP that has been adopted by the Board.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number of shares of our common stock that may be issued under the ESPP may not exceed shares, which number will be</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automatically increased on the first day of each fiscal year beginning in [2021] in an amount equal to the least of (i)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such other committee as may be designated by the Board, or the Board (such administering body, the “Administrator”). The Administrator will have full authority to make, administer and interpret such terms, rules and regulations regarding administration of the ESPP as it may deem advisable, and such decisions are final and binding.</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ESPP will have a term of ten years unless earlier terminated (i) on the date on which all the shares of common stock available for issuance under the ESPP have been issued or (ii) by the Administrator in accordance with the terms of the ESPP.</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Eligible Employees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Administrator’s ability to exclude certain groups of employees on a uniform and nondiscriminatory basis, including Section 16 officers and/or non-U.S. employees, generally, all of our employees will be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40"/>
          </w:cols>
          <w:pgMar w:left="320" w:top="455" w:right="5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Offering periods under the ESPP will be 6 months long, except that the first offering period will run from the date of completion of this offering and end on June 30, 2021. Commencing in 2021, a new offering period will commence on each of January 5 and July 5 of each calendar year.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this offering). Eligible employees participate by authorizing payroll deductions before the beginning of an offering period, which deduction may not exceed 15% of such employee’s cash compensation.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 and Grants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all participants in any particular purchase period is limited to [2,000] shares (subject to adjustment as provided in the ESPP), and the maximum number of shares of our common stock that may be purchased by any participant during any one year period is limited to [4,000] shares. The Administrator may modify this limit from time to time by resolution or otherwise.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Cancellation of Election to Purchase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a Change in Control</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as Stockholder</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have no rights as a stockholder with respect to the shares of our common stock that the participant has an option to purchase in any offering until those shares have been issued to the participant.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 not Transferable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participant’s option under the ESPP will be exercisable only by the participant and may not be sold, transferred, pledged or assigned in any manner other than by will or the laws of descent and distribution.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S-8</w:t>
      </w:r>
    </w:p>
    <w:p>
      <w:pPr>
        <w:spacing w:after="0" w:line="121"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w:t>
      </w:r>
    </w:p>
    <w:p>
      <w:pPr>
        <w:spacing w:after="0" w:line="9" w:lineRule="exact"/>
        <w:rPr>
          <w:sz w:val="20"/>
          <w:szCs w:val="20"/>
          <w:color w:val="auto"/>
        </w:rPr>
      </w:pPr>
    </w:p>
    <w:p>
      <w:pPr>
        <w:ind w:left="120"/>
        <w:spacing w:after="0"/>
        <w:tabs>
          <w:tab w:leader="none" w:pos="3140" w:val="left"/>
        </w:tabs>
        <w:rPr>
          <w:sz w:val="20"/>
          <w:szCs w:val="20"/>
          <w:color w:val="auto"/>
        </w:rPr>
      </w:pPr>
      <w:r>
        <w:rPr>
          <w:rFonts w:ascii="Times New Roman" w:cs="Times New Roman" w:eastAsia="Times New Roman" w:hAnsi="Times New Roman"/>
          <w:sz w:val="18"/>
          <w:szCs w:val="18"/>
          <w:color w:val="auto"/>
        </w:rPr>
        <w:t>statement on Form S-8 will cover</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calculated the acceleration value of Options and Restricted Units in the tables below using the Market Value Per Membership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Hicks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Hicks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w:t>
      </w:r>
    </w:p>
    <w:p>
      <w:pPr>
        <w:spacing w:after="0" w:line="54" w:lineRule="exact"/>
        <w:rPr>
          <w:sz w:val="20"/>
          <w:szCs w:val="20"/>
          <w:color w:val="auto"/>
        </w:rPr>
      </w:pPr>
    </w:p>
    <w:p>
      <w:pPr>
        <w:ind w:left="560" w:hanging="4"/>
        <w:spacing w:after="0" w:line="253" w:lineRule="auto"/>
        <w:tabs>
          <w:tab w:leader="none" w:pos="7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83" w:lineRule="exact"/>
        <w:rPr>
          <w:rFonts w:ascii="Times New Roman" w:cs="Times New Roman" w:eastAsia="Times New Roman" w:hAnsi="Times New Roman"/>
          <w:sz w:val="18"/>
          <w:szCs w:val="18"/>
          <w:color w:val="auto"/>
        </w:rPr>
      </w:pPr>
    </w:p>
    <w:p>
      <w:pPr>
        <w:ind w:left="560" w:right="20" w:hanging="4"/>
        <w:spacing w:after="0" w:line="253" w:lineRule="auto"/>
        <w:tabs>
          <w:tab w:leader="none" w:pos="82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83"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Hicks Employment Agreement, the Company may terminate Mr. Hicks’ employment for “Cause” if he: (i) commits gross negligence or willful misconduct, an act of fraud, embezzlement, theft or other criminal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 his employment agreement, Mr. Hicks will have 30 days after receiving notice of a termination for Cause to cure or remedy any breach pursuant to items (iii) or (iv) of the preceding sentence.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the 2019 CEO Option Agreement. The Time Options vest as 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80" w:hanging="545"/>
        <w:spacing w:after="0" w:line="266" w:lineRule="auto"/>
        <w:tabs>
          <w:tab w:leader="none" w:pos="220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200" w:hanging="545"/>
        <w:spacing w:after="0" w:line="258" w:lineRule="auto"/>
        <w:tabs>
          <w:tab w:leader="none" w:pos="220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Hicks upon Termination or Change of Control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20" w:type="dxa"/>
            <w:vAlign w:val="bottom"/>
            <w:vMerge w:val="restart"/>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for Termination</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5,937,334</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(4)</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1,703,900</w:t>
            </w:r>
            <w:r>
              <w:rPr>
                <w:rFonts w:ascii="Times New Roman" w:cs="Times New Roman" w:eastAsia="Times New Roman" w:hAnsi="Times New Roman"/>
                <w:sz w:val="15"/>
                <w:szCs w:val="15"/>
                <w:color w:val="auto"/>
              </w:rPr>
              <w:t>(1)</w:t>
            </w:r>
          </w:p>
        </w:tc>
        <w:tc>
          <w:tcPr>
            <w:tcW w:w="170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1,868,667</w:t>
            </w:r>
            <w:r>
              <w:rPr>
                <w:rFonts w:ascii="Times New Roman" w:cs="Times New Roman" w:eastAsia="Times New Roman" w:hAnsi="Times New Roman"/>
                <w:sz w:val="15"/>
                <w:szCs w:val="15"/>
                <w:color w:val="auto"/>
              </w:rPr>
              <w:t>(5)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w:t>
            </w: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5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140,995</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78,652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4,036,769</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1,708,035</w:t>
            </w:r>
          </w:p>
        </w:tc>
        <w:tc>
          <w:tcPr>
            <w:tcW w:w="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  7,806,239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4,256,416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56"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sz w:val="20"/>
          <w:szCs w:val="20"/>
          <w:color w:val="auto"/>
        </w:rPr>
      </w:pPr>
    </w:p>
    <w:p>
      <w:pPr>
        <w:ind w:left="540" w:right="6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 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right="2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3"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 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2"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65" w:lineRule="auto"/>
        <w:tabs>
          <w:tab w:leader="none" w:pos="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ind w:left="540" w:right="260"/>
        <w:spacing w:after="0" w:line="250" w:lineRule="auto"/>
        <w:rPr>
          <w:sz w:val="20"/>
          <w:szCs w:val="20"/>
          <w:color w:val="auto"/>
        </w:rPr>
      </w:pPr>
      <w:r>
        <w:rPr>
          <w:rFonts w:ascii="Times New Roman" w:cs="Times New Roman" w:eastAsia="Times New Roman" w:hAnsi="Times New Roman"/>
          <w:sz w:val="18"/>
          <w:szCs w:val="18"/>
          <w:color w:val="auto"/>
        </w:rPr>
        <w:t>(B) 291,461 Time Options (the unvested portion under the 2018 CEO Option Agreement immediately prior to February 1, 2020); and (ii) $126,422, which is the product of (A) the difference between the Market Value Per Membership Interest and the exercise price ($5.26), and (B) 549,661 Time Options (the unvested portion under the 2019 CEO Option Agreement immediately prior to February 1, 2020).</w:t>
      </w:r>
    </w:p>
    <w:p>
      <w:pPr>
        <w:spacing w:after="0" w:line="1" w:lineRule="exact"/>
        <w:rPr>
          <w:sz w:val="20"/>
          <w:szCs w:val="20"/>
          <w:color w:val="auto"/>
        </w:rPr>
      </w:pPr>
    </w:p>
    <w:p>
      <w:pPr>
        <w:ind w:left="540" w:right="100" w:hanging="424"/>
        <w:spacing w:after="0" w:line="253"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120" w:hanging="424"/>
        <w:spacing w:after="0" w:line="261"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Mullican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Mullican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Mullican’s employment without Cause or Mr. Mullican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6" w:lineRule="auto"/>
        <w:tabs>
          <w:tab w:leader="none" w:pos="82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sz w:val="20"/>
          <w:szCs w:val="20"/>
          <w:color w:val="auto"/>
        </w:rPr>
      </w:pPr>
    </w:p>
    <w:p>
      <w:pPr>
        <w:ind w:left="560" w:right="160" w:hanging="4"/>
        <w:spacing w:after="0" w:line="253" w:lineRule="auto"/>
        <w:tabs>
          <w:tab w:leader="none" w:pos="8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Mullican and his covered dependents medical insurance benefits, contingent on Mr. Mullican electing continuation 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5" w:lineRule="exact"/>
        <w:rPr>
          <w:rFonts w:ascii="Times New Roman" w:cs="Times New Roman" w:eastAsia="Times New Roman" w:hAnsi="Times New Roman"/>
          <w:sz w:val="18"/>
          <w:szCs w:val="18"/>
          <w:color w:val="auto"/>
        </w:rPr>
      </w:pPr>
    </w:p>
    <w:p>
      <w:pPr>
        <w:jc w:val="both"/>
        <w:ind w:left="5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5" w:right="49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Mullican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1,327,936</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456,570</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92,908</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21,037</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66,418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1,322</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18,374</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2,071,700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$ 478,929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2,156,492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 portion under the 2019 Executive Option Agreement that would have become vested on the vesting date immediately following termination had Mr. Mullican remained employed).</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($489,500 for 2019) and (B) the average annual bonus paid to (or earned by, to the extent not yet paid as of the termination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date) him under the Executive Team Bonus Plan for the two fiscal years of the Company immediately preceding the fiscal year in which the termination date occurs ($256,028 for 2017 and $92,908 for 2018).</w:t>
      </w:r>
    </w:p>
    <w:p>
      <w:pPr>
        <w:ind w:left="540" w:right="2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ind w:left="540" w:right="1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Mullican’s portion of such premiums as if Mr. Mullican was an active employee, which payment shall be paid in advance on the first payroll day of each month during the such 24-month period ($912 per month).</w:t>
      </w:r>
    </w:p>
    <w:p>
      <w:pPr>
        <w:ind w:left="540" w:right="10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 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Lawrence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Lawrence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 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Lawrence’s employment without Cause or Mr. Lawrence resigns for Good Reason, the Company shall pay:</w:t>
      </w:r>
    </w:p>
    <w:p>
      <w:pPr>
        <w:spacing w:after="0" w:line="117" w:lineRule="exact"/>
        <w:rPr>
          <w:sz w:val="20"/>
          <w:szCs w:val="20"/>
          <w:color w:val="auto"/>
        </w:rPr>
      </w:pPr>
    </w:p>
    <w:p>
      <w:pPr>
        <w:ind w:left="560" w:right="100" w:hanging="4"/>
        <w:spacing w:after="0" w:line="255" w:lineRule="auto"/>
        <w:tabs>
          <w:tab w:leader="none" w:pos="7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hanging="4"/>
        <w:spacing w:after="0" w:line="254" w:lineRule="auto"/>
        <w:tabs>
          <w:tab w:leader="none" w:pos="8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Lawrence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2019, the Company granted 411,270 Time Options and 106,865 Performance Options with an exercise price of $5.26 to</w:t>
      </w:r>
    </w:p>
    <w:p>
      <w:pPr>
        <w:spacing w:after="0" w:line="27"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1" w:lineRule="auto"/>
        <w:tabs>
          <w:tab w:leader="none" w:pos="220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5"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hanging="331"/>
        <w:spacing w:after="0"/>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Lawrence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1,410,000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756,646</w:t>
            </w:r>
            <w:r>
              <w:rPr>
                <w:rFonts w:ascii="Times New Roman" w:cs="Times New Roman" w:eastAsia="Times New Roman" w:hAnsi="Times New Roman"/>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23,647</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94,592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24,578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782,797</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$ 780,293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1,432,248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901,967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840" w:hanging="424"/>
        <w:spacing w:after="0" w:line="282"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 Mr. Lawrence or his designated beneficiary or legal representative (if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w:t>
      </w:r>
    </w:p>
    <w:p>
      <w:pPr>
        <w:spacing w:after="0" w:line="3" w:lineRule="exact"/>
        <w:rPr>
          <w:sz w:val="20"/>
          <w:szCs w:val="20"/>
          <w:color w:val="auto"/>
        </w:rPr>
      </w:pPr>
    </w:p>
    <w:p>
      <w:pPr>
        <w:ind w:left="540" w:right="60"/>
        <w:spacing w:after="0" w:line="250" w:lineRule="auto"/>
        <w:rPr>
          <w:sz w:val="20"/>
          <w:szCs w:val="20"/>
          <w:color w:val="auto"/>
        </w:rPr>
      </w:pPr>
      <w:r>
        <w:rPr>
          <w:rFonts w:ascii="Times New Roman" w:cs="Times New Roman" w:eastAsia="Times New Roman" w:hAnsi="Times New Roman"/>
          <w:sz w:val="18"/>
          <w:szCs w:val="18"/>
          <w:color w:val="auto"/>
        </w:rPr>
        <w:t>(y) a fraction, the numerator of which is equal to the number of days between and including his commencement date of February 11, 2019 and the termination date (356 days), and the denominator of which is equal to 365.</w:t>
      </w:r>
    </w:p>
    <w:p>
      <w:pPr>
        <w:ind w:left="540" w:right="14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right="4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 date) him under the Executive Team Bonus Plan for the two fiscal years of the Company immediately preceding the fiscal year in which the termination date occurs ($0 for 2017 and $0 for 2018).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Options (the unvested portion under the 2019 Executive Option Agreement immediately prior to February 1, 2020, which is the entire grant).</w:t>
      </w:r>
    </w:p>
    <w:p>
      <w:pPr>
        <w:spacing w:after="0" w:line="27" w:lineRule="exact"/>
        <w:rPr>
          <w:sz w:val="20"/>
          <w:szCs w:val="20"/>
          <w:color w:val="auto"/>
        </w:rPr>
      </w:pPr>
    </w:p>
    <w:p>
      <w:pPr>
        <w:ind w:left="540" w:right="220" w:hanging="424"/>
        <w:spacing w:after="0" w:line="253"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Johnson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Johnson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80" w:hanging="4"/>
        <w:spacing w:after="0" w:line="255" w:lineRule="auto"/>
        <w:tabs>
          <w:tab w:leader="none" w:pos="37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Johnson’s employment without Cause or Mr. Johnson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61" w:lineRule="auto"/>
        <w:tabs>
          <w:tab w:leader="none" w:pos="82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5" w:lineRule="exact"/>
        <w:rPr>
          <w:sz w:val="20"/>
          <w:szCs w:val="20"/>
          <w:color w:val="auto"/>
        </w:rPr>
      </w:pPr>
    </w:p>
    <w:p>
      <w:pPr>
        <w:ind w:left="560" w:hanging="4"/>
        <w:spacing w:after="0" w:line="253" w:lineRule="auto"/>
        <w:tabs>
          <w:tab w:leader="none" w:pos="8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during the 24 month period following the termination date; and</w:t>
      </w:r>
    </w:p>
    <w:p>
      <w:pPr>
        <w:spacing w:after="0" w:line="98" w:lineRule="exact"/>
        <w:rPr>
          <w:rFonts w:ascii="Times New Roman" w:cs="Times New Roman" w:eastAsia="Times New Roman" w:hAnsi="Times New Roman"/>
          <w:sz w:val="18"/>
          <w:szCs w:val="18"/>
          <w:color w:val="auto"/>
        </w:rPr>
      </w:pPr>
    </w:p>
    <w:p>
      <w:pPr>
        <w:ind w:left="560" w:right="140" w:hanging="4"/>
        <w:spacing w:after="0" w:line="266" w:lineRule="auto"/>
        <w:tabs>
          <w:tab w:leader="none" w:pos="8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 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9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60"/>
          </w:cols>
          <w:pgMar w:left="320" w:top="455" w:right="51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00" w:hanging="545"/>
        <w:spacing w:after="0" w:line="266"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20" w:hanging="545"/>
        <w:spacing w:after="0" w:line="258"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5" w:right="51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Johnson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1,316,378</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434,125</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87,284</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17,299</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55,376</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15,747</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1,294,816</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$ 452,415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1,425,910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1,365,939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52"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6"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20" w:hanging="424"/>
        <w:spacing w:after="0" w:line="254"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Johnson’s portion of such premiums as if Mr. Johnson was an active employee, which payment shall be paid in advance on the first payroll day of each month during the such 24-month period ($912 per month).</w:t>
      </w:r>
    </w:p>
    <w:p>
      <w:pPr>
        <w:ind w:left="540" w:right="2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36,946 Time Options (the unvested portion under the 2017 Executive Option Agreement immediately prior to February 1, 2020); (ii)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Attaway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Attaway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54" w:lineRule="exact"/>
        <w:rPr>
          <w:sz w:val="20"/>
          <w:szCs w:val="20"/>
          <w:color w:val="auto"/>
        </w:rPr>
      </w:pPr>
    </w:p>
    <w:p>
      <w:pPr>
        <w:ind w:left="560" w:right="20" w:hanging="4"/>
        <w:spacing w:after="0" w:line="261" w:lineRule="auto"/>
        <w:tabs>
          <w:tab w:leader="none" w:pos="7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times his base salary as in effect on the termination date, payable in equal installments ratably over 12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1" w:lineRule="exact"/>
        <w:rPr>
          <w:rFonts w:ascii="Times New Roman" w:cs="Times New Roman" w:eastAsia="Times New Roman" w:hAnsi="Times New Roman"/>
          <w:sz w:val="18"/>
          <w:szCs w:val="18"/>
          <w:color w:val="auto"/>
        </w:rPr>
      </w:pPr>
    </w:p>
    <w:p>
      <w:pPr>
        <w:ind w:left="560" w:hanging="4"/>
        <w:spacing w:after="0" w:line="256" w:lineRule="auto"/>
        <w:tabs>
          <w:tab w:leader="none" w:pos="8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bonus earned by him under the Executive Team Bonus Plan for the fiscal year of the Company immediately preceding the fiscal year of the Company in which the termination date occurs, payable in equal installments ratably over 12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Such payment is in lieu of the bonus that would have otherwise been due to him under the Executive Team Bonus Plan for the performance period in which the termination date occurs.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Attaway’s employment without Cause or Mr. Attaway resigns for Good Reason, the Company shall pay:</w:t>
      </w:r>
    </w:p>
    <w:p>
      <w:pPr>
        <w:spacing w:after="0" w:line="117" w:lineRule="exact"/>
        <w:rPr>
          <w:sz w:val="20"/>
          <w:szCs w:val="20"/>
          <w:color w:val="auto"/>
        </w:rPr>
      </w:pPr>
    </w:p>
    <w:p>
      <w:pPr>
        <w:ind w:left="560" w:right="60" w:hanging="4"/>
        <w:spacing w:after="0" w:line="255" w:lineRule="auto"/>
        <w:tabs>
          <w:tab w:leader="none" w:pos="7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2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380" w:hanging="4"/>
        <w:spacing w:after="0" w:line="282" w:lineRule="auto"/>
        <w:tabs>
          <w:tab w:leader="none" w:pos="8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Attaway and his covered dependents medical insurance benefits, contingent on Mr. Attaway electing continuation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 Mr. Attaway during the 24 month period following the termination date; and</w:t>
      </w:r>
    </w:p>
    <w:p>
      <w:pPr>
        <w:spacing w:after="0" w:line="81" w:lineRule="exact"/>
        <w:rPr>
          <w:sz w:val="20"/>
          <w:szCs w:val="20"/>
          <w:color w:val="auto"/>
        </w:rPr>
      </w:pPr>
    </w:p>
    <w:p>
      <w:pPr>
        <w:ind w:left="560" w:right="180" w:hanging="4"/>
        <w:spacing w:after="0" w:line="266" w:lineRule="auto"/>
        <w:tabs>
          <w:tab w:leader="none" w:pos="8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Attaway Employment Agreement contains the same definition of “Cause” provided in the Hicks Employment Agreement.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 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6"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1"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20" w:hanging="545"/>
        <w:spacing w:after="0" w:line="266"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40" w:hanging="545"/>
        <w:spacing w:after="0" w:line="258"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5" w:right="4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Attaway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531,677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1,244,520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83,677</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20,856</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25,285</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65,251</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1,652</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16,086</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776,889</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$ 558,614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1,349,413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858,226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12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12 months following the termination date in accordance with the Company’s normal payroll cycle and procedures ($83,677 for 2018).</w:t>
      </w:r>
    </w:p>
    <w:p>
      <w:pPr>
        <w:spacing w:after="0" w:line="5"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 the exercise price ($5.30), and (B) 30,789 Time Options (the portion under the 2017 Executive Option Agreement that would have become vested on the vesting date immediately following termination had 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1" w:lineRule="exact"/>
        <w:rPr>
          <w:rFonts w:ascii="Times New Roman" w:cs="Times New Roman" w:eastAsia="Times New Roman" w:hAnsi="Times New Roman"/>
          <w:sz w:val="17"/>
          <w:szCs w:val="17"/>
          <w:color w:val="auto"/>
        </w:rPr>
      </w:pPr>
    </w:p>
    <w:p>
      <w:pPr>
        <w:ind w:left="540" w:right="220" w:hanging="424"/>
        <w:spacing w:after="0" w:line="250"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40" w:hanging="424"/>
        <w:spacing w:after="0" w:line="265" w:lineRule="auto"/>
        <w:tabs>
          <w:tab w:leader="none" w:pos="5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ind w:left="540"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at the rate in effect as of the last day of the year immediately preceding the termination date ($448,000 as of the last day of 2018) and (B) the average annual bonus paid to (or earned by, to the extent not yet paid as of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380"/>
        <w:spacing w:after="0" w:line="261" w:lineRule="auto"/>
        <w:rPr>
          <w:sz w:val="20"/>
          <w:szCs w:val="20"/>
          <w:color w:val="auto"/>
        </w:rPr>
      </w:pPr>
      <w:r>
        <w:rPr>
          <w:rFonts w:ascii="Times New Roman" w:cs="Times New Roman" w:eastAsia="Times New Roman" w:hAnsi="Times New Roman"/>
          <w:sz w:val="18"/>
          <w:szCs w:val="18"/>
          <w:color w:val="auto"/>
        </w:rPr>
        <w:t>termination date) him under the Executive Team Bonus Plan for the two fiscal years of the Company immediately preceding the fiscal year in which the termination date occurs ($264,844 for 2017 and $83,677 for 2018).</w:t>
      </w:r>
    </w:p>
    <w:p>
      <w:pPr>
        <w:ind w:left="540" w:right="2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0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ind w:left="540" w:right="40" w:firstLine="8"/>
        <w:spacing w:after="0" w:line="265" w:lineRule="auto"/>
        <w:tabs>
          <w:tab w:leader="none" w:pos="825"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29,585 Time Options (the unvested portion under the 2016 Executive Option Agreement immediately prior to February 1, 2020); (ii) $11,699, which is the product of (A) the difference between the Market Value Per Membership Interest and the exercise price ($5.30), and (B) 61,578 Time Options (the unvested portion under the 2017 Executive 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w:t>
      </w:r>
    </w:p>
    <w:p>
      <w:pPr>
        <w:ind w:left="540" w:right="60" w:firstLine="8"/>
        <w:spacing w:after="0" w:line="250" w:lineRule="auto"/>
        <w:tabs>
          <w:tab w:leader="none" w:pos="83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Market Value Per Membership Interest and the exercise price ($5.26), and (B) 112,824 Time Options (the unvested portion under the 2019 Executive Option Agreement immediately prior to February 1, 2020, which is the entire grant).</w:t>
      </w:r>
    </w:p>
    <w:p>
      <w:pPr>
        <w:ind w:left="54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 Table for 2019</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tcPr>
          <w:p>
            <w:pPr>
              <w:spacing w:after="0"/>
              <w:rPr>
                <w:sz w:val="15"/>
                <w:szCs w:val="15"/>
                <w:color w:val="auto"/>
              </w:rPr>
            </w:pP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amount of cash retainers paid during 2019.</w:t>
      </w:r>
    </w:p>
    <w:p>
      <w:pPr>
        <w:spacing w:after="0" w:line="27"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Times New Roman" w:cs="Times New Roman" w:eastAsia="Times New Roman" w:hAnsi="Times New Roman"/>
          <w:sz w:val="18"/>
          <w:szCs w:val="18"/>
          <w:i w:val="1"/>
          <w:iCs w:val="1"/>
          <w:color w:val="auto"/>
        </w:rPr>
        <w:t>Equity and Unit-Based Compensation</w:t>
      </w:r>
      <w:r>
        <w:rPr>
          <w:rFonts w:ascii="Times New Roman" w:cs="Times New Roman" w:eastAsia="Times New Roman" w:hAnsi="Times New Roman"/>
          <w:sz w:val="18"/>
          <w:szCs w:val="18"/>
          <w:color w:val="auto"/>
        </w:rPr>
        <w:t xml:space="preserve"> to our consolidated financial statements included in this prospectus for the assumptions used in calculating these values.</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has been granted Restricted Units pursuant to a Restricted Unit Agreement under the 2011 Equity Plan, which contains the following vesting terms: subject to the grantee’s continued service on such date, 100% of the Restricted Units vest on the earliest of</w:t>
      </w: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 Marley and Simon was granted 18,215 Restricted Units, all of which vest on the earliest of (i) the first anniversary of the grant date, (ii) the grantee’s death or disability or (iii) a Change of Control.</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60"/>
          </w:cols>
          <w:pgMar w:left="320" w:top="455" w:right="5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stockholders agreement with our stockholders party thereto. We intend to describe the material terms of this agreement in a subsequent pre-effective amendment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the registration rights agreement among New Academy Holding Company, LLC and Allstar LLC and Allstar Managers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and approximately $0.9 million in each of the thirteen weeks ended May 2, 2020 and May 4, 2019. These expenses are included in SG&amp;A expenses in the consolidated statements of income.</w:t>
      </w:r>
    </w:p>
    <w:p>
      <w:pPr>
        <w:spacing w:after="0" w:line="188"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Monitoring Agreement terminates automatically upon the consummation of an initial public offering, including this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In connection with this offering, the Monitoring Agreement will terminate automatically in accordance with its terms and we expect to pay termination fees</w:t>
      </w:r>
    </w:p>
    <w:p>
      <w:pPr>
        <w:spacing w:after="0" w:line="3"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8"/>
          <w:szCs w:val="18"/>
          <w:color w:val="auto"/>
        </w:rPr>
        <w:t>of approximately $</w:t>
      </w:r>
      <w:r>
        <w:rPr>
          <w:sz w:val="20"/>
          <w:szCs w:val="20"/>
          <w:color w:val="auto"/>
        </w:rPr>
        <w:tab/>
      </w:r>
      <w:r>
        <w:rPr>
          <w:rFonts w:ascii="Times New Roman" w:cs="Times New Roman" w:eastAsia="Times New Roman" w:hAnsi="Times New Roman"/>
          <w:sz w:val="17"/>
          <w:szCs w:val="17"/>
          <w:color w:val="auto"/>
        </w:rPr>
        <w:t>million to Adviser.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Purchases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2019, Allstar Managers repurchased at fair market value approximately $0.5 million of Redeemable Membership Units from a director and an executive of the Company for cash. New Academy Holding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LLC concurrently repurchased from Allstar Managers for cash, at fair market value, a number of its membership units equal to the number for Redeemable Membership Units repurchased from the director and executive.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KKR Capstone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Receivable from Member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current limited liability company agreement for New Academy Holding Company, LLC, each of the Gochman Investors may require the Company to provide a tax loan on their behalf under certain circumstances. On April 10, 2019, the Company loaned $4.0 million with a note receivable issued to one of the Gochman Investors. The note receivable bears semi-annual compounding interest at 2.5% per annum with outstanding principal and interest due on April 10, 2022, and is recorded in other non-current assets in the consolidated balance sheet. On April 5, 2018, the Company loaned $4.1 million with a note receivable issued to one of the Gochman Investors. The note receivable bears semi-annual compounding interest at 2.1% per annum, with outstanding principal and interest due on April 5, 2021. These notes receivable have been recorded in other non-current assets in the consolidated balance sheets.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certain agreements with our officers which are described in the section entitled “Executive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Unitholders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following the initial public offering of our common stock, the directors and executive officers party to the Management Unitholders Agreement will have limited “piggyback” registration rights with respect to their shares of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Prior to the completion of this offering, our board of directors will adopt a written statement of policy regarding transactions with related persons, which we refer to as our “related person policy,” that is in conformity with the requirements upon issuers having publicly-held common stock that is listed on the applicable stock exchange.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related person policy will require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(1) each person known to us to beneficially own more than 5% of our voting securities, (2) each of our directors, (3) each of our named executive officers and (4) all directors and executive officers as a group.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outstanding and percentage of beneficial ownership before this offering are based on the number of shares to be issued and outstanding immediately prior to the consummation of this offering, including after giving effect to the Reorganization Transactions. The number of shares of common stock and percentage of beneficial ownership after the consummation of this offering set forth below are based on the number of shares to be issued and outstanding immediately after the consummation of this offering.</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8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tcPr>
          <w:p>
            <w:pPr>
              <w:spacing w:after="0"/>
              <w:rPr>
                <w:sz w:val="10"/>
                <w:szCs w:val="10"/>
                <w:color w:val="auto"/>
              </w:rPr>
            </w:pPr>
          </w:p>
        </w:tc>
        <w:tc>
          <w:tcPr>
            <w:tcW w:w="1780" w:type="dxa"/>
            <w:vAlign w:val="bottom"/>
            <w:tcBorders>
              <w:top w:val="single" w:sz="8" w:color="auto"/>
            </w:tcBorders>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After the</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860" w:type="dxa"/>
            <w:vAlign w:val="bottom"/>
          </w:tcPr>
          <w:p>
            <w:pPr>
              <w:spacing w:after="0"/>
              <w:rPr>
                <w:sz w:val="12"/>
                <w:szCs w:val="12"/>
                <w:color w:val="auto"/>
              </w:rPr>
            </w:pPr>
          </w:p>
        </w:tc>
        <w:tc>
          <w:tcPr>
            <w:tcW w:w="17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Option is Not</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7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3240" w:type="dxa"/>
            <w:vAlign w:val="bottom"/>
            <w:vMerge w:val="restart"/>
          </w:tcPr>
          <w:p>
            <w:pPr>
              <w:spacing w:after="0"/>
              <w:rPr>
                <w:sz w:val="15"/>
                <w:szCs w:val="15"/>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Pr>
          <w:p>
            <w:pPr>
              <w:spacing w:after="0"/>
              <w:rPr>
                <w:sz w:val="15"/>
                <w:szCs w:val="15"/>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0" w:type="dxa"/>
            <w:vAlign w:val="bottom"/>
          </w:tcPr>
          <w:p>
            <w:pPr>
              <w:spacing w:after="0"/>
              <w:rPr>
                <w:sz w:val="1"/>
                <w:szCs w:val="1"/>
                <w:color w:val="auto"/>
              </w:rPr>
            </w:pPr>
          </w:p>
        </w:tc>
      </w:tr>
      <w:tr>
        <w:trPr>
          <w:trHeight w:val="149"/>
        </w:trPr>
        <w:tc>
          <w:tcPr>
            <w:tcW w:w="176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6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8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KKR Stockholders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MSI 2011 LLC</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 C. Hicks</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P. Mullican</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Steven P. Lawrence</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J. Johnson</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Kenneth D. Attaway</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T. Marley</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Vishal V. Patel</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William S. Simon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Nathaniel H. Taylor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Aileen X. Yan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Directors and executive officers as a group (fourteen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 of common stock outstanding.</w:t>
      </w:r>
    </w:p>
    <w:p>
      <w:pPr>
        <w:spacing w:after="0" w:line="27" w:lineRule="exact"/>
        <w:rPr>
          <w:sz w:val="20"/>
          <w:szCs w:val="20"/>
          <w:color w:val="auto"/>
        </w:rPr>
      </w:pPr>
    </w:p>
    <w:p>
      <w:pPr>
        <w:ind w:left="540" w:right="560" w:hanging="424"/>
        <w:spacing w:after="0" w:line="260"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below, the address of each of the individuals named above is: c/o Academy Sports + Outdoors, Attention: General Counsel, 1800 North Mason Road, Katy, Texas 77449.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Upon</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consummation of this offering, our authorized capital stock will consist of shares of common stock, par value $0.01 per share, and shares of preferred stock. Immediately following the completion of this offering, there are expected to be outstanding shares of common stock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vote of the then outstanding shares of our common stock is required, the affirmative vote of a majority in voting power of shares present at a meeting of the holders of our common stock is required.</w:t>
      </w:r>
    </w:p>
    <w:p>
      <w:pPr>
        <w:spacing w:after="0" w:line="19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amended and restated certificate of incorporation will authorize our board of directors to establish one or more series of preferred stock (including convertible preferred stock). Unless required by law or by the applicable stock exchange, the authorized shares of preferred stock will be available for issuance without further action by you. Our board of directors will be able to determine, with respect to any series of preferred stock, the terms and rights of that series, including:</w:t>
      </w:r>
    </w:p>
    <w:p>
      <w:pPr>
        <w:spacing w:after="0" w:line="85" w:lineRule="exact"/>
        <w:rPr>
          <w:sz w:val="20"/>
          <w:szCs w:val="20"/>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applicable stock exchange, which would apply if and so long as our common stock remains listed on the applicable stock exchange,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40" w:hanging="532"/>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7"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any of KKR Stockholders and their affiliates and any of their respective direct or indirect transferees and any group as to which such persons are a party do not constitute “interested stockholders” for purposes of this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KKR Stockholders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KKR Stockholders and their affiliates for as long as the stockholders agreement to be entered into in connection with this offering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KKR Stockholders and their affiliates beneficially own, in the aggregate, less than 40% of the voting power of all outstanding shares of stock entitled to vote generally in the election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21" w:lineRule="exact"/>
        <w:rPr>
          <w:sz w:val="20"/>
          <w:szCs w:val="20"/>
          <w:color w:val="auto"/>
        </w:rPr>
      </w:pPr>
    </w:p>
    <w:p>
      <w:pPr>
        <w:ind w:left="120" w:right="40" w:firstLine="44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all the then-outstanding shares of stock entitled to vote generally in the election of directors, voting together as a single class.</w:t>
      </w:r>
    </w:p>
    <w:p>
      <w:pPr>
        <w:spacing w:after="0" w:line="19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once KKR Stockholders and their affiliates beneficially own, in the aggregate, less than 40% of the voting power of all outstanding shares of stock entitled to vote generally in the election of directors, the following provisions in our amended and restated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63"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1"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certificate of incorporation may be amended, altered, repealed or rescinded only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 for stockholders to amend our amended and restated bylaws;</w:t>
      </w:r>
    </w:p>
    <w:p>
      <w:pPr>
        <w:spacing w:after="0" w:line="1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hanging="4"/>
        <w:spacing w:after="0" w:line="251" w:lineRule="auto"/>
        <w:tabs>
          <w:tab w:leader="none" w:pos="33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tabs>
          <w:tab w:leader="none" w:pos="5320" w:val="left"/>
        </w:tabs>
        <w:rPr>
          <w:sz w:val="20"/>
          <w:szCs w:val="20"/>
          <w:color w:val="auto"/>
        </w:rPr>
      </w:pPr>
      <w:r>
        <w:rPr>
          <w:rFonts w:ascii="Times New Roman" w:cs="Times New Roman" w:eastAsia="Times New Roman" w:hAnsi="Times New Roman"/>
          <w:sz w:val="18"/>
          <w:szCs w:val="18"/>
          <w:color w:val="auto"/>
        </w:rPr>
        <w:t>The transfer agent and registrar for our common stock is</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tabs>
          <w:tab w:leader="none" w:pos="5580" w:val="left"/>
        </w:tabs>
        <w:rPr>
          <w:sz w:val="20"/>
          <w:szCs w:val="20"/>
          <w:color w:val="auto"/>
        </w:rPr>
      </w:pPr>
      <w:r>
        <w:rPr>
          <w:rFonts w:ascii="Times New Roman" w:cs="Times New Roman" w:eastAsia="Times New Roman" w:hAnsi="Times New Roman"/>
          <w:sz w:val="18"/>
          <w:szCs w:val="18"/>
          <w:color w:val="auto"/>
        </w:rPr>
        <w:t>We intend to apply to have our common stock listed on the</w:t>
      </w:r>
      <w:r>
        <w:rPr>
          <w:sz w:val="20"/>
          <w:szCs w:val="20"/>
          <w:color w:val="auto"/>
        </w:rPr>
        <w:tab/>
      </w:r>
      <w:r>
        <w:rPr>
          <w:rFonts w:ascii="Times New Roman" w:cs="Times New Roman" w:eastAsia="Times New Roman" w:hAnsi="Times New Roman"/>
          <w:sz w:val="17"/>
          <w:szCs w:val="17"/>
          <w:color w:val="auto"/>
        </w:rPr>
        <w:t>under the symbol “ASO.”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or as amended, the ABL Facility, to increase the commitments under the facility from $650 million to $1 billion. The ABL Facility matures on May 22, 2023, subject to a springing maturity clause which is triggered 91 days before the July 2, 2022 maturity of the Term Loan Facility should it not be paid off or extended at least 91 days beyond the May 22, 2023 maturity date of the ABL Facility. Academy, Ltd. has the option to increase the commitments under the ABL Facility by $250 million, subject to the satisfaction of certain conditions under the credit agreement governing the ABL Facility.</w:t>
      </w:r>
    </w:p>
    <w:p>
      <w:pPr>
        <w:spacing w:after="0" w:line="18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90% of the net orderly liquidation value percentage of our eligible inventory on a consolidated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then applicable amount of all reserves.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May 2, 2020, we had outstanding letters of credit of approximately $17.3 million, of which $15.9 million were issued under the ABL Facility, and had borrowings of $500.0 million outstanding under the ABL Facility, leaving the available borrowing capacity under the ABL Facility of $270.2 million (which is subject to customary borrowing conditions, including a borrowing base). We repaid the $500 million of borrowings in full in June 2020.</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weighted average interest rate of the ABL Facility as of May 2, 2020 was 1.93%. The terms and conditions of the ABL Facility also require that we prepay outstanding loans under the ABL Facility under certain circumstances. As of May 2, 2020, no future prepayments of outstanding loans have been triggered under the terms and conditions of the ABL Facility.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Term Loan Facility, with Morgan Stanley Senior Funding, Inc., as the administrative and collateral agent, and other lenders. The Term Loan Facility matures on July 2, 2022. The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May 2, 2020, the weighted average interest rate was 5.00%, with interest payable monthly. The terms and conditions of the Term Loan Facility also require that outstanding loans under the Term Loan Facility are prepaid under certain circumstances. As of May 2, 2020, a $15.9 million prepayment was due under the terms and conditions of the Term Loan Facility.</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Beginning in the third quarter of 2017 through the end of 2017, we repurchased a total of $26.2 million of principal of the Term Loan Facility, which was trading at a discount, for $19.7 million in open market transactions and recognized a related net gain of $6.3 million. In 2019, we repurchased $147.7 million of principal of the Term Loan Facility, which was trading at a discount, for $104.6 million in open market transactions and recognized a net gain of $42.3 million. As of May 2, 2020, there was $1,462.1 million of principal outstanding under the Term Loan Facility, net of discount.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Liens and Guarantees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All obligations under the Term Loan Facility and the guarantees of those obligations are secured by:</w:t>
      </w:r>
    </w:p>
    <w:p>
      <w:pPr>
        <w:spacing w:after="0" w:line="81" w:lineRule="exact"/>
        <w:rPr>
          <w:sz w:val="20"/>
          <w:szCs w:val="20"/>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ABL Facility and the Term Loan Facility are each guaranteed on a senior secured basis by New Academy Holding Company, LLC and all of its subsidiaries, except for Academy International Limited, a Hong Kong limited liability company and subsidiary of Academy,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agreements governing ABL Facility and the Term Loan Facility contain covenants, including, among other things, covenants that restrict Academy, Ltd.’s and its restricted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certain minimum adjusted fixed charge coverage ratio. These covenants are subject to certain qualifications and limitations. We were in compliance with these covenants as of May 2,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ABL Facility and the Term Loan Facility contain customary events of default including, but not limited to,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Future 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owners in the public market following this offering could cause the market price of our common stock to decline.”</w:t>
      </w:r>
    </w:p>
    <w:p>
      <w:pPr>
        <w:spacing w:after="0" w:line="188" w:lineRule="exact"/>
        <w:rPr>
          <w:sz w:val="20"/>
          <w:szCs w:val="20"/>
          <w:color w:val="auto"/>
        </w:rPr>
      </w:pPr>
    </w:p>
    <w:p>
      <w:pPr>
        <w:ind w:left="880" w:right="60" w:hanging="323"/>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 total of</w:t>
      </w:r>
      <w:r>
        <w:rPr>
          <w:sz w:val="20"/>
          <w:szCs w:val="20"/>
          <w:color w:val="auto"/>
        </w:rPr>
        <w:t xml:space="preserve"> </w:t>
      </w:r>
      <w:r>
        <w:rPr>
          <w:rFonts w:ascii="Times New Roman" w:cs="Times New Roman" w:eastAsia="Times New Roman" w:hAnsi="Times New Roman"/>
          <w:sz w:val="18"/>
          <w:szCs w:val="18"/>
          <w:color w:val="auto"/>
        </w:rPr>
        <w:t>shares of our common stock outstanding. Of the outstanding shares, the shares sold in this offering (or shares if the underwriters exercise in full their over-allotment option) will be freely tradable without</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In connection with this offering, we, our executive officers, directors and certain of our existing owners will agree, subject to certain exceptions, not to sell, dispose of or hedge any shares of our common stock or securities convertible into or exchangeable for shares of our common stock, without,</w:t>
      </w:r>
    </w:p>
    <w:p>
      <w:pPr>
        <w:spacing w:after="0" w:line="1" w:lineRule="exact"/>
        <w:rPr>
          <w:sz w:val="20"/>
          <w:szCs w:val="20"/>
          <w:color w:val="auto"/>
        </w:rPr>
      </w:pPr>
    </w:p>
    <w:p>
      <w:pPr>
        <w:ind w:left="120"/>
        <w:spacing w:after="0"/>
        <w:tabs>
          <w:tab w:leader="none" w:pos="3780" w:val="left"/>
        </w:tabs>
        <w:rPr>
          <w:sz w:val="20"/>
          <w:szCs w:val="20"/>
          <w:color w:val="auto"/>
        </w:rPr>
      </w:pPr>
      <w:r>
        <w:rPr>
          <w:rFonts w:ascii="Times New Roman" w:cs="Times New Roman" w:eastAsia="Times New Roman" w:hAnsi="Times New Roman"/>
          <w:sz w:val="18"/>
          <w:szCs w:val="18"/>
          <w:color w:val="auto"/>
        </w:rPr>
        <w:t>in each case, the prior written consent of</w:t>
      </w:r>
      <w:r>
        <w:rPr>
          <w:sz w:val="20"/>
          <w:szCs w:val="20"/>
          <w:color w:val="auto"/>
        </w:rPr>
        <w:tab/>
      </w:r>
      <w:r>
        <w:rPr>
          <w:rFonts w:ascii="Times New Roman" w:cs="Times New Roman" w:eastAsia="Times New Roman" w:hAnsi="Times New Roman"/>
          <w:sz w:val="17"/>
          <w:szCs w:val="17"/>
          <w:color w:val="auto"/>
        </w:rPr>
        <w:t>, for a period of 180 days after the date of this prospectus. See “Underwriting.”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beginning 90 days after the date of this prospectus, a number of shares that does not exceed the greater of:</w:t>
      </w:r>
    </w:p>
    <w:p>
      <w:pPr>
        <w:sectPr>
          <w:pgSz w:w="11900" w:h="16838" w:orient="portrait"/>
          <w:cols w:equalWidth="0" w:num="1">
            <w:col w:w="11120"/>
          </w:cols>
          <w:pgMar w:left="320" w:top="455" w:right="459" w:bottom="1440" w:gutter="0" w:footer="0" w:header="0"/>
        </w:sectPr>
      </w:pP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w:t>
      </w:r>
    </w:p>
    <w:p>
      <w:pPr>
        <w:spacing w:after="0" w:line="357" w:lineRule="exact"/>
        <w:rPr>
          <w:sz w:val="20"/>
          <w:szCs w:val="20"/>
          <w:color w:val="auto"/>
        </w:rPr>
      </w:pPr>
    </w:p>
    <w:p>
      <w:pPr>
        <w:sectPr>
          <w:pgSz w:w="11900" w:h="16838" w:orient="portrait"/>
          <w:cols w:equalWidth="0" w:num="3">
            <w:col w:w="620" w:space="460"/>
            <w:col w:w="7280" w:space="720"/>
            <w:col w:w="2040"/>
          </w:cols>
          <w:pgMar w:left="320" w:top="455" w:right="459" w:bottom="1440" w:gutter="0" w:footer="0" w:header="0"/>
          <w:type w:val="continuous"/>
        </w:sectPr>
      </w:pPr>
    </w:p>
    <w:p>
      <w:pPr>
        <w:ind w:left="1080" w:right="580" w:hanging="532"/>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the applicable stock exchange during the four calendar weeks preceding the filing of a notice on Form 144 with respect to such sale.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type w:val="continuous"/>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2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issuance under the existing 2011 Equity Plan and the 2020 Equity Plan and the ESPP to be adopted in connection with this offering. Any such Form S-8 registration statement will automatically become effective upon filing. Accordingly shares of our common stock registered under such registration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statements will be available for sale in the open market. We expect that the initial registration statement on Form S-8 will cover shares of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rights some holders of common stock will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of common stock also</w:t>
      </w: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may be sold under Rule 144, depending on their holding period and subject to restrictions in the case of shares held by persons deemed to be our affiliates.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67" w:lineRule="exact"/>
        <w:rPr>
          <w:sz w:val="20"/>
          <w:szCs w:val="20"/>
          <w:color w:val="auto"/>
        </w:rPr>
      </w:pPr>
    </w:p>
    <w:p>
      <w:pPr>
        <w:ind w:left="1080" w:right="420" w:hanging="532"/>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not and do not anticipate becoming a “U.S. real property holding corporation” for U.S. federal income tax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 2020, we have agreed to sell to the underwriters named below, for whom are acting as representatives, the following respective numbers of shares of common stock:</w:t>
      </w:r>
    </w:p>
    <w:p>
      <w:pPr>
        <w:sectPr>
          <w:pgSz w:w="11900" w:h="16838" w:orient="portrait"/>
          <w:cols w:equalWidth="0" w:num="1">
            <w:col w:w="11100"/>
          </w:cols>
          <w:pgMar w:left="320" w:top="455" w:right="479" w:bottom="1440" w:gutter="0" w:footer="0" w:header="0"/>
        </w:sectPr>
      </w:pPr>
    </w:p>
    <w:p>
      <w:pPr>
        <w:spacing w:after="0" w:line="1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u w:val="single" w:color="auto"/>
          <w:color w:val="auto"/>
        </w:rPr>
        <w:t>Underwriter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Number of Shares</w:t>
      </w:r>
    </w:p>
    <w:p>
      <w:pPr>
        <w:spacing w:after="0" w:line="38" w:lineRule="exact"/>
        <w:rPr>
          <w:sz w:val="20"/>
          <w:szCs w:val="20"/>
          <w:color w:val="auto"/>
        </w:rPr>
      </w:pPr>
    </w:p>
    <w:p>
      <w:pPr>
        <w:sectPr>
          <w:pgSz w:w="11900" w:h="16838" w:orient="portrait"/>
          <w:cols w:equalWidth="0" w:num="2">
            <w:col w:w="7020" w:space="720"/>
            <w:col w:w="3360"/>
          </w:cols>
          <w:pgMar w:left="320" w:top="455" w:right="47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KKR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5715</wp:posOffset>
            </wp:positionV>
            <wp:extent cx="12433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additional shares at the initial public offering price less the underwriting discounts and commissions. The option may be exercised only to cover any over-allotments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w:t>
      </w:r>
    </w:p>
    <w:p>
      <w:pPr>
        <w:spacing w:after="0" w:line="2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selling group members at that price less a selling concession of up to $ per share. After the initial public offering the representatives may change the public offering price and concession.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spacing w:after="0"/>
              <w:rPr>
                <w:sz w:val="15"/>
                <w:szCs w:val="15"/>
                <w:color w:val="auto"/>
              </w:rPr>
            </w:pPr>
          </w:p>
        </w:tc>
        <w:tc>
          <w:tcPr>
            <w:tcW w:w="22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900" w:type="dxa"/>
            <w:vAlign w:val="bottom"/>
          </w:tcPr>
          <w:p>
            <w:pPr>
              <w:spacing w:after="0"/>
              <w:rPr>
                <w:sz w:val="10"/>
                <w:szCs w:val="10"/>
                <w:color w:val="auto"/>
              </w:rPr>
            </w:pP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0" w:type="dxa"/>
            <w:vAlign w:val="bottom"/>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2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8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Underwriting Discounts and Commissions</w:t>
            </w: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have also agreed to reimburse the underwriters for up to $</w:t>
            </w:r>
          </w:p>
        </w:tc>
        <w:tc>
          <w:tcPr>
            <w:tcW w:w="5700" w:type="dxa"/>
            <w:vAlign w:val="bottom"/>
            <w:gridSpan w:val="7"/>
          </w:tcPr>
          <w:p>
            <w:pPr>
              <w:jc w:val="center"/>
              <w:ind w:left="275"/>
              <w:spacing w:after="0"/>
              <w:rPr>
                <w:sz w:val="20"/>
                <w:szCs w:val="20"/>
                <w:color w:val="auto"/>
              </w:rPr>
            </w:pPr>
            <w:r>
              <w:rPr>
                <w:rFonts w:ascii="Times New Roman" w:cs="Times New Roman" w:eastAsia="Times New Roman" w:hAnsi="Times New Roman"/>
                <w:sz w:val="18"/>
                <w:szCs w:val="18"/>
                <w:color w:val="auto"/>
              </w:rPr>
              <w:t>of expenses related to the review of this offering by the Financial Industry</w:t>
            </w:r>
          </w:p>
        </w:tc>
      </w:tr>
    </w:tbl>
    <w:p>
      <w:pPr>
        <w:ind w:left="120" w:right="620"/>
        <w:spacing w:after="0" w:line="260" w:lineRule="auto"/>
        <w:rPr>
          <w:sz w:val="20"/>
          <w:szCs w:val="20"/>
          <w:color w:val="auto"/>
        </w:rPr>
      </w:pPr>
      <w:r>
        <w:rPr>
          <w:rFonts w:ascii="Times New Roman" w:cs="Times New Roman" w:eastAsia="Times New Roman" w:hAnsi="Times New Roman"/>
          <w:sz w:val="18"/>
          <w:szCs w:val="18"/>
          <w:color w:val="auto"/>
        </w:rPr>
        <w:t>Regulatory Authority, Inc., or FINRA. In accordance with FINRA Rule 5110, this reimbursed fee is deemed underwriting compensation for this offering.</w:t>
      </w:r>
    </w:p>
    <w:p>
      <w:pPr>
        <w:spacing w:after="0" w:line="18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w:t>
      </w:r>
    </w:p>
    <w:p>
      <w:pPr>
        <w:spacing w:after="0" w:line="2" w:lineRule="exact"/>
        <w:rPr>
          <w:sz w:val="20"/>
          <w:szCs w:val="20"/>
          <w:color w:val="auto"/>
        </w:rPr>
      </w:pPr>
    </w:p>
    <w:p>
      <w:pPr>
        <w:ind w:left="120"/>
        <w:spacing w:after="0"/>
        <w:tabs>
          <w:tab w:leader="none" w:pos="3460" w:val="left"/>
        </w:tabs>
        <w:rPr>
          <w:sz w:val="20"/>
          <w:szCs w:val="20"/>
          <w:color w:val="auto"/>
        </w:rPr>
      </w:pPr>
      <w:r>
        <w:rPr>
          <w:rFonts w:ascii="Times New Roman" w:cs="Times New Roman" w:eastAsia="Times New Roman" w:hAnsi="Times New Roman"/>
          <w:sz w:val="18"/>
          <w:szCs w:val="18"/>
          <w:color w:val="auto"/>
        </w:rPr>
        <w:t>without the prior written consent of</w:t>
      </w:r>
      <w:r>
        <w:rPr>
          <w:sz w:val="20"/>
          <w:szCs w:val="20"/>
          <w:color w:val="auto"/>
        </w:rPr>
        <w:tab/>
      </w:r>
      <w:r>
        <w:rPr>
          <w:rFonts w:ascii="Times New Roman" w:cs="Times New Roman" w:eastAsia="Times New Roman" w:hAnsi="Times New Roman"/>
          <w:sz w:val="17"/>
          <w:szCs w:val="17"/>
          <w:color w:val="auto"/>
        </w:rPr>
        <w:t>for a period of 180 days after the date of this prospectus.</w:t>
      </w:r>
    </w:p>
    <w:p>
      <w:pPr>
        <w:spacing w:after="0" w:line="20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certain of our existing owners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55" w:right="479" w:bottom="1440" w:gutter="0" w:footer="0" w:header="0"/>
          <w:type w:val="continuous"/>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publicly disclose the intention to make any such offer, sale, pledge or disposition, or to enter into any such transaction, swap, hedge or other</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arrangement, without, in each case, the prior written consent of for a period of 180 days after the date of this prospectus, subject to certain exceptions.</w:t>
      </w:r>
    </w:p>
    <w:p>
      <w:pPr>
        <w:spacing w:after="0" w:line="181" w:lineRule="exact"/>
        <w:rPr>
          <w:sz w:val="20"/>
          <w:szCs w:val="20"/>
          <w:color w:val="auto"/>
        </w:rPr>
      </w:pPr>
    </w:p>
    <w:p>
      <w:pPr>
        <w:ind w:left="560"/>
        <w:spacing w:after="0"/>
        <w:tabs>
          <w:tab w:leader="none" w:pos="5040" w:val="left"/>
        </w:tabs>
        <w:rPr>
          <w:sz w:val="20"/>
          <w:szCs w:val="20"/>
          <w:color w:val="auto"/>
        </w:rPr>
      </w:pPr>
      <w:r>
        <w:rPr>
          <w:rFonts w:ascii="Times New Roman" w:cs="Times New Roman" w:eastAsia="Times New Roman" w:hAnsi="Times New Roman"/>
          <w:sz w:val="18"/>
          <w:szCs w:val="18"/>
          <w:color w:val="auto"/>
        </w:rPr>
        <w:t>We will apply to list the shares of common stock on</w:t>
      </w:r>
      <w:r>
        <w:rPr>
          <w:sz w:val="20"/>
          <w:szCs w:val="20"/>
          <w:color w:val="auto"/>
        </w:rPr>
        <w:tab/>
      </w:r>
      <w:r>
        <w:rPr>
          <w:rFonts w:ascii="Times New Roman" w:cs="Times New Roman" w:eastAsia="Times New Roman" w:hAnsi="Times New Roman"/>
          <w:sz w:val="17"/>
          <w:szCs w:val="17"/>
          <w:color w:val="auto"/>
        </w:rPr>
        <w:t>, under the symbol “ASO”.</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among us and the representatives and will not necessarily reflect the market price of the common stock following this offering. The principal factors that were considered in determining the initial public offering price included:</w:t>
      </w:r>
    </w:p>
    <w:p>
      <w:pPr>
        <w:spacing w:after="0" w:line="81" w:lineRule="exact"/>
        <w:rPr>
          <w:sz w:val="20"/>
          <w:szCs w:val="20"/>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720" w:hanging="532"/>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applicable stock exchange or otherwise and, if commenced, may be discontinued at any time.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KKR Capital Markets LLC will not confirm sales of the securities to any account over which it exercises discretionary authority without the specific written approval of the account holder.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to the public in that Member State prior to the publication of a prospectus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1"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1080" w:right="20" w:hanging="532"/>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85"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5480" w:right="1800" w:hanging="4932"/>
        <w:spacing w:after="0" w:line="454" w:lineRule="auto"/>
        <w:tabs>
          <w:tab w:leader="none" w:pos="10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SFA, 210</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right="2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will be subject to the informational reporting requirements of the Exchange Act and, in accordance with the Exchange Act, we will file annual, quarterly and current reports, proxy statements and other information with the SEC. Our filings with the SEC will be available to the public on the SEC’s website at http://www.sec.gov. Those filings will also be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available to our common stockholders annual reports containing consolidated financial statements audited by an independent registered public accounting firm.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0"/>
                <w:szCs w:val="20"/>
                <w:color w:val="auto"/>
              </w:rPr>
            </w:pPr>
          </w:p>
        </w:tc>
      </w:tr>
      <w:tr>
        <w:trPr>
          <w:trHeight w:val="441"/>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tc>
        <w:tc>
          <w:tcPr>
            <w:tcW w:w="520" w:type="dxa"/>
            <w:vAlign w:val="bottom"/>
          </w:tcPr>
          <w:p>
            <w:pPr>
              <w:spacing w:after="0"/>
              <w:rPr>
                <w:sz w:val="24"/>
                <w:szCs w:val="24"/>
                <w:color w:val="auto"/>
              </w:rPr>
            </w:pPr>
          </w:p>
        </w:tc>
      </w:tr>
      <w:tr>
        <w:trPr>
          <w:trHeight w:val="21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20" w:type="dxa"/>
            <w:vAlign w:val="bottom"/>
          </w:tcPr>
          <w:p>
            <w:pPr>
              <w:spacing w:after="0"/>
              <w:rPr>
                <w:sz w:val="18"/>
                <w:szCs w:val="18"/>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Unaudited Consolidated Balance Sheets as of May 2, 2020, February 1,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Unaudited Consolidated Statements of Income (Loss)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Unaudited Consolidated Statements of Comprehensive Income (Loss)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Unaudited Consolidated Statement of Partners’ Equity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Unaudited Consolidated Statements of Cash Flows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34"/>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Condensed 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0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520" w:type="dxa"/>
            <w:vAlign w:val="bottom"/>
          </w:tcPr>
          <w:p>
            <w:pPr>
              <w:spacing w:after="0"/>
              <w:rPr>
                <w:sz w:val="24"/>
                <w:szCs w:val="24"/>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1">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2">
              <w:r>
                <w:rPr>
                  <w:rFonts w:ascii="Times New Roman" w:cs="Times New Roman" w:eastAsia="Times New Roman" w:hAnsi="Times New Roman"/>
                  <w:sz w:val="18"/>
                  <w:szCs w:val="18"/>
                  <w:u w:val="single" w:color="auto"/>
                  <w:color w:val="0000EE"/>
                </w:rPr>
                <w:t>Consolidated Balance Sheets as of February 1, 2020 and February 2,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3">
              <w:r>
                <w:rPr>
                  <w:rFonts w:ascii="Times New Roman" w:cs="Times New Roman" w:eastAsia="Times New Roman" w:hAnsi="Times New Roman"/>
                  <w:sz w:val="18"/>
                  <w:szCs w:val="18"/>
                  <w:u w:val="single" w:color="auto"/>
                  <w:color w:val="0000EE"/>
                </w:rPr>
                <w:t>Consolidated Statements of Income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94"/>
        </w:trPr>
        <w:tc>
          <w:tcPr>
            <w:tcW w:w="10440" w:type="dxa"/>
            <w:vAlign w:val="bottom"/>
            <w:gridSpan w:val="5"/>
          </w:tcPr>
          <w:p>
            <w:pPr>
              <w:ind w:left="360"/>
              <w:spacing w:after="0" w:line="194" w:lineRule="exact"/>
              <w:rPr>
                <w:rFonts w:ascii="Times New Roman" w:cs="Times New Roman" w:eastAsia="Times New Roman" w:hAnsi="Times New Roman"/>
                <w:sz w:val="18"/>
                <w:szCs w:val="18"/>
                <w:color w:val="0000EE"/>
              </w:rPr>
            </w:pPr>
            <w:hyperlink w:anchor="page244">
              <w:r>
                <w:rPr>
                  <w:rFonts w:ascii="Times New Roman" w:cs="Times New Roman" w:eastAsia="Times New Roman" w:hAnsi="Times New Roman"/>
                  <w:sz w:val="18"/>
                  <w:szCs w:val="18"/>
                  <w:color w:val="0000EE"/>
                </w:rPr>
                <w:t>Consolidated Statements of Comprehensive Income (Loss) for the fiscal year ended February 1, 2020, February 2, 2019 and February 3,</w:t>
              </w:r>
            </w:hyperlink>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44">
              <w:r>
                <w:rPr>
                  <w:rFonts w:ascii="Times New Roman" w:cs="Times New Roman" w:eastAsia="Times New Roman" w:hAnsi="Times New Roman"/>
                  <w:sz w:val="18"/>
                  <w:szCs w:val="18"/>
                  <w:color w:val="0000EE"/>
                </w:rPr>
                <w:t>2018</w:t>
              </w:r>
            </w:hyperlink>
          </w:p>
        </w:tc>
        <w:tc>
          <w:tcPr>
            <w:tcW w:w="9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5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5">
              <w:r>
                <w:rPr>
                  <w:rFonts w:ascii="Times New Roman" w:cs="Times New Roman" w:eastAsia="Times New Roman" w:hAnsi="Times New Roman"/>
                  <w:sz w:val="18"/>
                  <w:szCs w:val="18"/>
                  <w:u w:val="single" w:color="auto"/>
                  <w:color w:val="0000EE"/>
                </w:rPr>
                <w:t>Consolidated Statements of Partners’ Equity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Consolidated Statements of Cash Flows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7">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520" w:type="dxa"/>
            <w:vAlign w:val="bottom"/>
          </w:tcPr>
          <w:p>
            <w:pPr>
              <w:spacing w:after="0"/>
              <w:rPr>
                <w:sz w:val="24"/>
                <w:szCs w:val="24"/>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75">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76">
              <w:r>
                <w:rPr>
                  <w:rFonts w:ascii="Times New Roman" w:cs="Times New Roman" w:eastAsia="Times New Roman" w:hAnsi="Times New Roman"/>
                  <w:sz w:val="18"/>
                  <w:szCs w:val="18"/>
                  <w:u w:val="single" w:color="auto"/>
                  <w:color w:val="0000EE"/>
                </w:rPr>
                <w:t>Balance Sheet as of June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77">
              <w:r>
                <w:rPr>
                  <w:rFonts w:ascii="Times New Roman" w:cs="Times New Roman" w:eastAsia="Times New Roman" w:hAnsi="Times New Roman"/>
                  <w:sz w:val="18"/>
                  <w:szCs w:val="18"/>
                  <w:u w:val="single" w:color="auto"/>
                  <w:color w:val="0000EE"/>
                </w:rPr>
                <w:t>Notes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6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8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ind w:left="31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725,615</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149,385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41,424</w:t>
            </w:r>
          </w:p>
        </w:tc>
        <w:tc>
          <w:tcPr>
            <w:tcW w:w="0" w:type="dxa"/>
            <w:vAlign w:val="bottom"/>
          </w:tcPr>
          <w:p>
            <w:pPr>
              <w:spacing w:after="0"/>
              <w:rPr>
                <w:sz w:val="1"/>
                <w:szCs w:val="1"/>
                <w:color w:val="auto"/>
              </w:rPr>
            </w:pPr>
          </w:p>
        </w:tc>
      </w:tr>
      <w:tr>
        <w:trPr>
          <w:trHeight w:val="198"/>
        </w:trPr>
        <w:tc>
          <w:tcPr>
            <w:tcW w:w="7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 less allowance for doubtful accounts of $4,432, $3,275 and $2,988,</w:t>
            </w:r>
          </w:p>
        </w:tc>
        <w:tc>
          <w:tcPr>
            <w:tcW w:w="100" w:type="dxa"/>
            <w:vAlign w:val="bottom"/>
          </w:tcPr>
          <w:p>
            <w:pPr>
              <w:spacing w:after="0"/>
              <w:rPr>
                <w:sz w:val="17"/>
                <w:szCs w:val="17"/>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13,999</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1,012,680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1,099,749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1,216,588</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24,548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1,777,653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1,297,075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418,476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441,407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479,926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1,125,933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1,145,705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1,164,779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577,000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577,000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861,920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15,845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19,723</w:t>
            </w:r>
          </w:p>
        </w:tc>
        <w:tc>
          <w:tcPr>
            <w:tcW w:w="0" w:type="dxa"/>
            <w:vAlign w:val="bottom"/>
          </w:tcPr>
          <w:p>
            <w:pPr>
              <w:spacing w:after="0"/>
              <w:rPr>
                <w:sz w:val="1"/>
                <w:szCs w:val="1"/>
                <w:color w:val="auto"/>
              </w:rPr>
            </w:pP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4,772,325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4,400,423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411,263</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428,823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468,780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187,736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211,381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177,717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76,329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84,850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738,214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750,649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749,597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1,924,641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1,428,542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1,582,603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1,106,225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1,141,896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1,146,736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19,197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3,791,777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3,340,284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3,497,388</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228,306,033;</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988,178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228,274,749 and 228,289,163, respectively</w:t>
            </w:r>
          </w:p>
        </w:tc>
        <w:tc>
          <w:tcPr>
            <w:tcW w:w="10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996,285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881,094</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(10,607)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988,219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885,150</w:t>
            </w:r>
          </w:p>
        </w:tc>
        <w:tc>
          <w:tcPr>
            <w:tcW w:w="0" w:type="dxa"/>
            <w:vAlign w:val="bottom"/>
          </w:tcPr>
          <w:p>
            <w:pPr>
              <w:spacing w:after="0"/>
              <w:rPr>
                <w:sz w:val="1"/>
                <w:szCs w:val="1"/>
                <w:color w:val="auto"/>
              </w:rPr>
            </w:pP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4,772,325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4,400,423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26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8360" w:type="dxa"/>
            <w:vAlign w:val="bottom"/>
          </w:tcPr>
          <w:p>
            <w:pPr>
              <w:spacing w:after="0"/>
              <w:rPr>
                <w:sz w:val="12"/>
                <w:szCs w:val="12"/>
                <w:color w:val="auto"/>
              </w:rPr>
            </w:pPr>
          </w:p>
        </w:tc>
        <w:tc>
          <w:tcPr>
            <w:tcW w:w="154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10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20" w:type="dxa"/>
            <w:vAlign w:val="bottom"/>
          </w:tcPr>
          <w:p>
            <w:pPr>
              <w:spacing w:after="0"/>
              <w:rPr>
                <w:sz w:val="12"/>
                <w:szCs w:val="12"/>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1,136,301</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1,076,792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838,356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763,796</w:t>
            </w:r>
          </w:p>
        </w:tc>
      </w:tr>
      <w:tr>
        <w:trPr>
          <w:trHeight w:val="27"/>
        </w:trPr>
        <w:tc>
          <w:tcPr>
            <w:tcW w:w="8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5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297,945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312,996</w:t>
            </w: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283,923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-5080</wp:posOffset>
            </wp:positionV>
            <wp:extent cx="16116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Gain on early retirement of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46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br w:type="column"/>
      </w: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14,022</w:t>
      </w:r>
      <w:r>
        <w:rPr>
          <w:sz w:val="20"/>
          <w:szCs w:val="20"/>
          <w:color w:val="auto"/>
        </w:rPr>
        <w:tab/>
      </w:r>
      <w:r>
        <w:rPr>
          <w:rFonts w:ascii="Times New Roman" w:cs="Times New Roman" w:eastAsia="Times New Roman" w:hAnsi="Times New Roman"/>
          <w:sz w:val="18"/>
          <w:szCs w:val="18"/>
          <w:color w:val="auto"/>
        </w:rPr>
        <w:t>11,394</w:t>
      </w:r>
    </w:p>
    <w:p>
      <w:pPr>
        <w:spacing w:after="0" w:line="3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24,522</w:t>
      </w:r>
      <w:r>
        <w:rPr>
          <w:sz w:val="20"/>
          <w:szCs w:val="20"/>
          <w:color w:val="auto"/>
        </w:rPr>
        <w:tab/>
      </w:r>
      <w:r>
        <w:rPr>
          <w:rFonts w:ascii="Times New Roman" w:cs="Times New Roman" w:eastAsia="Times New Roman" w:hAnsi="Times New Roman"/>
          <w:sz w:val="18"/>
          <w:szCs w:val="18"/>
          <w:color w:val="auto"/>
        </w:rPr>
        <w:t>27,037</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(41,138)</w:t>
      </w:r>
    </w:p>
    <w:p>
      <w:pPr>
        <w:spacing w:after="0" w:line="23" w:lineRule="exact"/>
        <w:rPr>
          <w:sz w:val="20"/>
          <w:szCs w:val="20"/>
          <w:color w:val="auto"/>
        </w:rPr>
      </w:pPr>
    </w:p>
    <w:p>
      <w:pPr>
        <w:ind w:left="1700" w:hanging="1545"/>
        <w:spacing w:after="0"/>
        <w:tabs>
          <w:tab w:leader="none" w:pos="170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(441)</w:t>
      </w:r>
    </w:p>
    <w:p>
      <w:pPr>
        <w:spacing w:after="0" w:line="41" w:lineRule="exact"/>
        <w:rPr>
          <w:sz w:val="20"/>
          <w:szCs w:val="20"/>
          <w:color w:val="auto"/>
        </w:rPr>
      </w:pPr>
    </w:p>
    <w:p>
      <w:pPr>
        <w:sectPr>
          <w:pgSz w:w="11900" w:h="16838" w:orient="portrait"/>
          <w:cols w:equalWidth="0" w:num="2">
            <w:col w:w="8280" w:space="720"/>
            <w:col w:w="21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8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(9,507)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25,936</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228,289,163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235,292,995</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 (Note 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(9,507)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25,936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 forma income tax expense (benefit)</w:t>
            </w:r>
          </w:p>
        </w:tc>
        <w:tc>
          <w:tcPr>
            <w:tcW w:w="1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(7,691)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19,052</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228,289,163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235,292,995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type w:val="continuous"/>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886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2019</w:t>
            </w:r>
          </w:p>
        </w:tc>
        <w:tc>
          <w:tcPr>
            <w:tcW w:w="120" w:type="dxa"/>
            <w:vAlign w:val="bottom"/>
          </w:tcPr>
          <w:p>
            <w:pPr>
              <w:spacing w:after="0"/>
              <w:rPr>
                <w:sz w:val="12"/>
                <w:szCs w:val="12"/>
                <w:color w:val="auto"/>
              </w:rPr>
            </w:pP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25,406</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swaps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(4,434)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(3,510)</w:t>
            </w: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1,893</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(12,561)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21,014</w:t>
            </w:r>
          </w:p>
        </w:tc>
      </w:tr>
      <w:tr>
        <w:trPr>
          <w:trHeight w:val="20"/>
        </w:trPr>
        <w:tc>
          <w:tcPr>
            <w:tcW w:w="8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5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3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$996,285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$ 988,219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(10,020)</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 to Redeemable Units for settlement of vested Restricted Units</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38,024</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38,024</w:t>
            </w:r>
          </w:p>
        </w:tc>
        <w:tc>
          <w:tcPr>
            <w:tcW w:w="0" w:type="dxa"/>
            <w:vAlign w:val="bottom"/>
          </w:tcPr>
          <w:p>
            <w:pPr>
              <w:spacing w:after="0"/>
              <w:rPr>
                <w:sz w:val="1"/>
                <w:szCs w:val="1"/>
                <w:color w:val="auto"/>
              </w:rPr>
            </w:pPr>
          </w:p>
        </w:tc>
      </w:tr>
      <w:tr>
        <w:trPr>
          <w:trHeight w:val="126"/>
        </w:trPr>
        <w:tc>
          <w:tcPr>
            <w:tcW w:w="490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6,740</w:t>
            </w: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Managers</w:t>
            </w: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2, 2020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542,808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2,977</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$988,178</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(10,607)</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$ 977,571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228,306,033</w:t>
            </w: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4,289,056</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17,885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224,000,107</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$848,591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8,448</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$ 857,039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228,289,163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25,406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25,406</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90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w:t>
            </w:r>
          </w:p>
        </w:tc>
        <w:tc>
          <w:tcPr>
            <w:tcW w:w="8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5,075</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Standard</w:t>
            </w: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May 4, 2019</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17,885</w:t>
            </w:r>
          </w:p>
        </w:tc>
        <w:tc>
          <w:tcPr>
            <w:tcW w:w="20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224,000,107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$881,094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$ 885,150</w:t>
            </w:r>
          </w:p>
        </w:tc>
        <w:tc>
          <w:tcPr>
            <w:tcW w:w="2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27,447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12,871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2,109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gain on early retirement of debt,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4,229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87,069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(82,432)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1,048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(12,149)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35,079</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(26,428)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3,741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0"/>
        </w:trPr>
        <w:tc>
          <w:tcPr>
            <w:tcW w:w="8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90,756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(9,926)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receivable from member</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30"/>
        </w:trPr>
        <w:tc>
          <w:tcPr>
            <w:tcW w:w="8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187,700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(65,400)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(4,563)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(106,081)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Redeemable Membership Units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495,400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576,230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(34,267)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149,385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75,691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725,615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41,424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28,258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28,297</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state and local income taxes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2,330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NEW ACADEMY HOLDING COMPANY, LLC CONDENSED NOTES TO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60" w:right="8940" w:hanging="444"/>
        <w:spacing w:after="0" w:line="400" w:lineRule="auto"/>
        <w:tabs>
          <w:tab w:leader="none" w:pos="552"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2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May 2,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324" w:lineRule="exact"/>
        <w:rPr>
          <w:sz w:val="20"/>
          <w:szCs w:val="20"/>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or GAAP, for complete financial statements. The information furnished herein reflects all normal recurring adjustments which are, in the opinion of management, necessary for a fair presentation of the results for the interim periods presented. The results of operations for the thirteen weeks ended May 2,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for the year ended February 1, 2020.</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affect the financial statements involve difficult, subjective or complex judgments by management include the valuation of merchandise inventories, performing goodwill, intangible and long-lived asset impairment analyses, establishing self-insurance reserves related to workers’ compensation, employee health benefits and general liability matters, and establishing reserves for vendor allowances. Given the global economic climate and additional unforseen effects from the COVID-19 pandemic, these estimates are becoming more challenging, and actual results could differ materially from our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statements of income (loss) provides the estimated impact to net income (loss) and earnings per unit based upon the anticipated conversion of the Company to a C corporation. We are currently treated as a flow through entity for U.S. federal income tax purposes, and thus no federal income tax expense has been recorded in our consolidated statements of income (loss). After consummation of this offering,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this offering may be different from our assumed rate, and such difference may be material.</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May 4, 2019 for comparability purposes. This reclassification is in divisional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10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right="80" w:firstLine="423"/>
        <w:spacing w:after="0" w:line="256"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320"/>
        <w:spacing w:after="0" w:line="282" w:lineRule="auto"/>
        <w:rPr>
          <w:sz w:val="20"/>
          <w:szCs w:val="20"/>
          <w:color w:val="auto"/>
        </w:rPr>
      </w:pPr>
      <w:r>
        <w:rPr>
          <w:rFonts w:ascii="Times New Roman" w:cs="Times New Roman" w:eastAsia="Times New Roman" w:hAnsi="Times New Roman"/>
          <w:sz w:val="18"/>
          <w:szCs w:val="18"/>
          <w:color w:val="auto"/>
        </w:rPr>
        <w:t>employment for reasons other than death or disability. Due to the lapse of this right for certain issuances, $14.9 million was reclassified from temporary equity to Partners’ Equity during the third quarter 2019.</w:t>
      </w:r>
    </w:p>
    <w:p>
      <w:pPr>
        <w:spacing w:after="0" w:line="306" w:lineRule="exact"/>
        <w:rPr>
          <w:sz w:val="20"/>
          <w:szCs w:val="20"/>
          <w:color w:val="auto"/>
        </w:rPr>
      </w:pPr>
    </w:p>
    <w:p>
      <w:pPr>
        <w:ind w:left="540" w:hanging="424"/>
        <w:spacing w:after="0"/>
        <w:tabs>
          <w:tab w:leader="none" w:pos="5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020" w:type="dxa"/>
            <w:vAlign w:val="bottom"/>
          </w:tcPr>
          <w:p>
            <w:pPr>
              <w:spacing w:after="0"/>
              <w:rPr>
                <w:sz w:val="12"/>
                <w:szCs w:val="12"/>
                <w:color w:val="auto"/>
              </w:rPr>
            </w:pPr>
          </w:p>
        </w:tc>
        <w:tc>
          <w:tcPr>
            <w:tcW w:w="9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5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40" w:type="dxa"/>
            <w:vAlign w:val="bottom"/>
          </w:tcPr>
          <w:p>
            <w:pPr>
              <w:spacing w:after="0"/>
              <w:rPr>
                <w:sz w:val="12"/>
                <w:szCs w:val="12"/>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454,483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321,501</w:t>
            </w: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264,666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225,330</w:t>
            </w: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213,055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274,761</w:t>
            </w: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196,425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250,637</w:t>
            </w:r>
          </w:p>
        </w:tc>
      </w:tr>
      <w:tr>
        <w:trPr>
          <w:trHeight w:val="223"/>
        </w:trPr>
        <w:tc>
          <w:tcPr>
            <w:tcW w:w="6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1,128,629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1,072,229</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7,672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4,563</w:t>
            </w:r>
          </w:p>
        </w:tc>
      </w:tr>
      <w:tr>
        <w:trPr>
          <w:trHeight w:val="223"/>
        </w:trPr>
        <w:tc>
          <w:tcPr>
            <w:tcW w:w="6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1,136,301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1,076,792</w:t>
            </w:r>
          </w:p>
        </w:tc>
        <w:tc>
          <w:tcPr>
            <w:tcW w:w="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80" w:hanging="224"/>
        <w:spacing w:after="0" w:line="255" w:lineRule="auto"/>
        <w:tabs>
          <w:tab w:leader="none" w:pos="34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May 4, 2019 for comparability purposes. This reclassification is in divisional presentation only and did not impact the overall net sales balances previously disclosed (see Note 2).</w:t>
      </w:r>
    </w:p>
    <w:p>
      <w:pPr>
        <w:spacing w:after="0" w:line="2"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13.1% and 2.8% of merchandise sales for the thirteen weeks ended May 2, 2020 and May 4, 2019, respectively.</w:t>
      </w:r>
    </w:p>
    <w:p>
      <w:pPr>
        <w:spacing w:after="0" w:line="9" w:lineRule="exact"/>
        <w:rPr>
          <w:rFonts w:ascii="Times New Roman" w:cs="Times New Roman" w:eastAsia="Times New Roman" w:hAnsi="Times New Roman"/>
          <w:sz w:val="15"/>
          <w:szCs w:val="15"/>
          <w:color w:val="auto"/>
        </w:rPr>
      </w:pPr>
    </w:p>
    <w:p>
      <w:pPr>
        <w:ind w:left="340" w:right="400" w:hanging="224"/>
        <w:spacing w:after="0" w:line="260" w:lineRule="auto"/>
        <w:tabs>
          <w:tab w:leader="none" w:pos="34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3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5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11,606</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18,439</w:t>
            </w:r>
          </w:p>
        </w:tc>
      </w:tr>
      <w:tr>
        <w:trPr>
          <w:trHeight w:val="216"/>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Redeemed</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(21,010)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(29,143)</w:t>
            </w:r>
          </w:p>
        </w:tc>
      </w:tr>
      <w:tr>
        <w:trPr>
          <w:trHeight w:val="216"/>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(803)</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r>
      <w:tr>
        <w:trPr>
          <w:trHeight w:val="27"/>
        </w:trPr>
        <w:tc>
          <w:tcPr>
            <w:tcW w:w="3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57,786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54,523</w:t>
            </w:r>
          </w:p>
        </w:tc>
      </w:tr>
      <w:tr>
        <w:trPr>
          <w:trHeight w:val="20"/>
        </w:trPr>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F-9</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7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0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$2.3 million, $2.6 million and $3.4 million,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1,462,111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1,483,476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1,962,111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1,605,776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(3,354)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(4,923)</w:t>
            </w: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1,924,641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1,428,542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1,582,603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seven-year $1.8 billion senior secured term loan facility, or the</w:t>
      </w:r>
    </w:p>
    <w:p>
      <w:pPr>
        <w:spacing w:after="0" w:line="31"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2015 Term Loan Facility. The 2015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May 2, 2020, the weighted average interest rate was 5.00%, with interest payable monthly. The terms and conditions of the 2015 Term Loan Facility also require that we prepay outstanding loans under the 2015 Term Loan Facility under certain circumstances. As of May 2, 2020, a $15.9 million prepayment was due under the terms and conditions of the 2015 Term Loan Facility.</w:t>
      </w:r>
    </w:p>
    <w:p>
      <w:pPr>
        <w:spacing w:after="0" w:line="188" w:lineRule="exact"/>
        <w:rPr>
          <w:sz w:val="20"/>
          <w:szCs w:val="20"/>
          <w:color w:val="auto"/>
        </w:rPr>
      </w:pPr>
    </w:p>
    <w:p>
      <w:pPr>
        <w:ind w:left="560" w:right="660" w:firstLine="423"/>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we repurchased $143.5 million of principal on the 2015 Term Loan Facility, which was trading at a discount, in open market transactions for $101.5 million and recognized a net gain of $41.1 million.</w:t>
      </w:r>
    </w:p>
    <w:p>
      <w:pPr>
        <w:spacing w:after="0" w:line="158"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five-year $650 million secured asset-based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2015 ABL Facility.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Academy, Ltd. has the option to increase the commitments under the Amended ABL Facility by $250 million, subject to the satisfaction of certain conditions under the agreement.</w:t>
      </w:r>
    </w:p>
    <w:p>
      <w:pPr>
        <w:spacing w:after="0" w:line="192"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Amended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May 2, 2020, we had outstanding letters of credit of approximately $17.3 million, of which $15.9 million were issued under the Amended ABL Facility, borrowings of $500.0 million, and an available borrowing capacity under the Amended ABL Facility of $270.2 million.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weighted average interest rate of the Amended ABL Facility as of May 2, 2020 was 1.93%. The terms and conditions of the Amended ABL Facility also require that we prepay outstanding loans under the Amended ABL Facility under certain circumstances. As of May 2, 2020, no future prepayments of outstanding loans have been triggered under the terms and conditions of the Amended ABL Facility.</w:t>
      </w:r>
    </w:p>
    <w:p>
      <w:pPr>
        <w:spacing w:after="0" w:line="183" w:lineRule="exact"/>
        <w:rPr>
          <w:sz w:val="20"/>
          <w:szCs w:val="20"/>
          <w:color w:val="auto"/>
        </w:rPr>
      </w:pPr>
    </w:p>
    <w:p>
      <w:pPr>
        <w:ind w:left="560" w:right="10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certain minimum adjusted fixed charge coverage ratio. These covenants are subject to certain qualifications and limitations. We were in compliance with these covenants as of May 2, 2020.</w:t>
      </w:r>
    </w:p>
    <w:p>
      <w:pPr>
        <w:spacing w:after="0" w:line="71" w:lineRule="exact"/>
        <w:rPr>
          <w:sz w:val="20"/>
          <w:szCs w:val="20"/>
          <w:color w:val="auto"/>
        </w:rPr>
      </w:pPr>
    </w:p>
    <w:p>
      <w:pPr>
        <w:ind w:left="560" w:right="800" w:firstLine="423"/>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capitalized interest primarily related to construction of new stores and store renovations in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$0.1 million and $0.2 million for the thirteen weeks ended May 2, 2020 and May 4, 2019, respectively.</w:t>
      </w:r>
    </w:p>
    <w:p>
      <w:pPr>
        <w:spacing w:after="0" w:line="303" w:lineRule="exact"/>
        <w:rPr>
          <w:sz w:val="20"/>
          <w:szCs w:val="20"/>
          <w:color w:val="auto"/>
        </w:rPr>
      </w:pPr>
    </w:p>
    <w:p>
      <w:pPr>
        <w:ind w:left="540" w:hanging="424"/>
        <w:spacing w:after="0"/>
        <w:tabs>
          <w:tab w:leader="none" w:pos="5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jc w:val="right"/>
              <w:ind w:right="715"/>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2017, 2018, 2019 and 2020, respectively.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these interest rate swaps is as follows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5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7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55"/>
        </w:trPr>
        <w:tc>
          <w:tcPr>
            <w:tcW w:w="48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 current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(10,647)</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(8,106)</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80" w:firstLine="423"/>
        <w:spacing w:after="0" w:line="282" w:lineRule="auto"/>
        <w:rPr>
          <w:sz w:val="20"/>
          <w:szCs w:val="20"/>
          <w:color w:val="auto"/>
        </w:rPr>
      </w:pPr>
      <w:r>
        <w:rPr>
          <w:rFonts w:ascii="Times New Roman" w:cs="Times New Roman" w:eastAsia="Times New Roman" w:hAnsi="Times New Roman"/>
          <w:sz w:val="18"/>
          <w:szCs w:val="18"/>
          <w:color w:val="auto"/>
        </w:rPr>
        <w:t>Amounts included in accumulated other comprehensive income (loss), or AOCI, are reclassified to interest expense in the same period during which the hedged transaction affects earnings, which is as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interest expense is recorded on the underlying 2015 Term Loan Facility. As of May 2, 2020, we estimate that approximately $9.3 million of the balance in AOCI will be reclassified as an increase in interest expense during the next 12 months.</w:t>
      </w:r>
    </w:p>
    <w:p>
      <w:pPr>
        <w:spacing w:after="0" w:line="162"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40" w:type="dxa"/>
            <w:vAlign w:val="bottom"/>
            <w:tcBorders>
              <w:top w:val="single" w:sz="8" w:color="auto"/>
            </w:tcBorders>
            <w:gridSpan w:val="3"/>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2, 2020</w:t>
            </w: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00" w:type="dxa"/>
            <w:vAlign w:val="bottom"/>
          </w:tcPr>
          <w:p>
            <w:pPr>
              <w:spacing w:after="0"/>
              <w:rPr>
                <w:sz w:val="12"/>
                <w:szCs w:val="12"/>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deferred into AOCI</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(4,434)</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7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1,893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r>
    </w:tbl>
    <w:p>
      <w:pPr>
        <w:spacing w:after="0" w:line="320"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540" w:right="60" w:hanging="331"/>
        <w:spacing w:after="0" w:line="282" w:lineRule="auto"/>
        <w:tabs>
          <w:tab w:leader="none" w:pos="1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400" w:type="dxa"/>
            <w:vAlign w:val="bottom"/>
            <w:gridSpan w:val="3"/>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10,647</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8,106</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560" w:right="340" w:firstLine="423"/>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May 2, 2020 and February 1, 2020, we held $662.0 million and $113.3 million in money market funds, respectively. We held no investments in money market funds as of May 4, 2019.</w:t>
      </w:r>
    </w:p>
    <w:p>
      <w:pPr>
        <w:spacing w:after="0" w:line="176" w:lineRule="exact"/>
        <w:rPr>
          <w:sz w:val="20"/>
          <w:szCs w:val="20"/>
          <w:color w:val="auto"/>
        </w:rPr>
      </w:pPr>
    </w:p>
    <w:p>
      <w:pPr>
        <w:ind w:left="560" w:right="100" w:firstLine="423"/>
        <w:spacing w:after="0" w:line="281" w:lineRule="auto"/>
        <w:rPr>
          <w:sz w:val="20"/>
          <w:szCs w:val="20"/>
          <w:color w:val="auto"/>
        </w:rPr>
      </w:pPr>
      <w:r>
        <w:rPr>
          <w:rFonts w:ascii="Times New Roman" w:cs="Times New Roman" w:eastAsia="Times New Roman" w:hAnsi="Times New Roman"/>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May 2, 2020, February 1, 2020 and May 4, 2019, the estimated fair value of our 2015 Term Loan Facility was $0.9 billion, $1.2 billion and $1.1 billion, respectively. As borrowings on the Amended ABL Facility are generally repaid in less than 12 months, we believe that fair value approximates the carrying value.</w:t>
      </w:r>
    </w:p>
    <w:p>
      <w:pPr>
        <w:spacing w:after="0" w:line="309"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8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May 4, 2019</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433,981</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539,357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511,972</w:t>
            </w: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316,295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305,232</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8"/>
                <w:szCs w:val="18"/>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1,313,393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1,270,719</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(894,917)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(870,521)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(790,793)</w:t>
            </w: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418,476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479,926</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660" w:right="640"/>
        <w:spacing w:after="0" w:line="454" w:lineRule="auto"/>
        <w:rPr>
          <w:sz w:val="20"/>
          <w:szCs w:val="20"/>
          <w:color w:val="auto"/>
        </w:rPr>
      </w:pPr>
      <w:r>
        <w:rPr>
          <w:rFonts w:ascii="Times New Roman" w:cs="Times New Roman" w:eastAsia="Times New Roman" w:hAnsi="Times New Roman"/>
          <w:sz w:val="18"/>
          <w:szCs w:val="18"/>
          <w:color w:val="auto"/>
        </w:rPr>
        <w:t>Depreciation expense was $27.4 million and $29.8 million in the thirteen weeks ended May 2, 2020 and May 4, 2019, respectively. F-13</w:t>
      </w:r>
    </w:p>
    <w:p>
      <w:pPr>
        <w:sectPr>
          <w:pgSz w:w="11900" w:h="16838" w:orient="portrait"/>
          <w:cols w:equalWidth="0" w:num="1">
            <w:col w:w="11060"/>
          </w:cols>
          <w:pgMar w:left="320" w:top="455" w:right="51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6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May 4, 2019</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3,191</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13,463</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61,361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55,651</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4,300</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28,303</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40" w:type="dxa"/>
            <w:vAlign w:val="bottom"/>
            <w:shd w:val="clear" w:color="auto" w:fill="CCEEFF"/>
          </w:tcPr>
          <w:p>
            <w:pPr>
              <w:spacing w:after="0"/>
              <w:rPr>
                <w:sz w:val="18"/>
                <w:szCs w:val="18"/>
                <w:color w:val="auto"/>
              </w:rPr>
            </w:pP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187,736</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177,717</w:t>
            </w: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had 228,306,033 Membership Units authorized, issued and outstanding as of May 2, 2020.</w:t>
      </w:r>
    </w:p>
    <w:p>
      <w:pPr>
        <w:spacing w:after="0" w:line="225"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50"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liquidity event-based requirements and a time-based requirement and/or performance-based requirement, or each, a Liquidity Event Restricted Unit. In each case, vesting of the Company’s outstanding and unvested Unit Options and Restricted Units is contingent upon the holder’s continued service through the date of each applicable vesting event.</w:t>
      </w:r>
    </w:p>
    <w:p>
      <w:pPr>
        <w:spacing w:after="0" w:line="183"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As of May 2, 2020, the number of Holdco Membership Units authorized for the grant of Awards under the 2011 Unit Incentive Plan was 36,933,859 Membership Units. As of May 2, 2020, there were 278,885 Holdco Membership Units that were authorized and available for the grant of Awards under the 2011 Unit Incentive Plan.</w:t>
      </w:r>
    </w:p>
    <w:p>
      <w:pPr>
        <w:spacing w:after="0" w:line="176"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Equity compensation expense was $2.1 million and $2.0 million in the thirteen weeks ended May 2, 2020 and May 4, 2019, respectively, and is included in selling, general and administrative expenses in the statements of income.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560" w:right="540" w:firstLine="423"/>
        <w:spacing w:after="0" w:line="282"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3" w:lineRule="exact"/>
        <w:rPr>
          <w:sz w:val="20"/>
          <w:szCs w:val="20"/>
          <w:color w:val="auto"/>
        </w:rPr>
      </w:pPr>
    </w:p>
    <w:p>
      <w:pPr>
        <w:ind w:left="560" w:right="2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the thirteen weeks ended May 2, 2020:</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0.74% to 0.75%</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Unit grants during the thirteen weeks ended May 2, 2020:</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8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40" w:type="dxa"/>
            <w:vAlign w:val="bottom"/>
            <w:gridSpan w:val="5"/>
            <w:vMerge w:val="continue"/>
          </w:tcPr>
          <w:p>
            <w:pPr>
              <w:spacing w:after="0"/>
              <w:rPr>
                <w:sz w:val="15"/>
                <w:szCs w:val="15"/>
                <w:color w:val="auto"/>
              </w:rPr>
            </w:pPr>
          </w:p>
        </w:tc>
        <w:tc>
          <w:tcPr>
            <w:tcW w:w="14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16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4,024,172</w:t>
            </w: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tcPr>
          <w:p>
            <w:pPr>
              <w:spacing w:after="0"/>
              <w:rPr>
                <w:sz w:val="18"/>
                <w:szCs w:val="18"/>
                <w:color w:val="auto"/>
              </w:rPr>
            </w:pPr>
          </w:p>
        </w:tc>
        <w:tc>
          <w:tcPr>
            <w:tcW w:w="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24"/>
        </w:trPr>
        <w:tc>
          <w:tcPr>
            <w:tcW w:w="6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May 2, 2020: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8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expense</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$ 23,634,775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$1,426,478</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168,220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(10,020)</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228,289,163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26,605</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0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2,573,094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Performance Options</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4,404,133</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235,292,995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86"/>
        </w:trPr>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from diluted</w:t>
            </w:r>
          </w:p>
        </w:tc>
        <w:tc>
          <w:tcPr>
            <w:tcW w:w="100" w:type="dxa"/>
            <w:vAlign w:val="bottom"/>
            <w:shd w:val="clear" w:color="auto" w:fill="CCEEFF"/>
          </w:tcPr>
          <w:p>
            <w:pPr>
              <w:spacing w:after="0"/>
              <w:rPr>
                <w:sz w:val="17"/>
                <w:szCs w:val="17"/>
                <w:color w:val="auto"/>
              </w:rPr>
            </w:pPr>
          </w:p>
        </w:tc>
        <w:tc>
          <w:tcPr>
            <w:tcW w:w="1820" w:type="dxa"/>
            <w:vAlign w:val="bottom"/>
            <w:gridSpan w:val="2"/>
            <w:vMerge w:val="restart"/>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29,757,857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w:t>
            </w:r>
          </w:p>
        </w:tc>
        <w:tc>
          <w:tcPr>
            <w:tcW w:w="100" w:type="dxa"/>
            <w:vAlign w:val="bottom"/>
            <w:shd w:val="clear" w:color="auto" w:fill="CCEEFF"/>
          </w:tcPr>
          <w:p>
            <w:pPr>
              <w:spacing w:after="0"/>
              <w:rPr>
                <w:sz w:val="20"/>
                <w:szCs w:val="20"/>
                <w:color w:val="auto"/>
              </w:rPr>
            </w:pPr>
          </w:p>
        </w:tc>
        <w:tc>
          <w:tcPr>
            <w:tcW w:w="18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1,211,334</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tab/>
        <w:t>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Monitoring Agreement</w:t>
      </w:r>
    </w:p>
    <w:p>
      <w:pPr>
        <w:spacing w:after="0" w:line="121" w:lineRule="exact"/>
        <w:rPr>
          <w:sz w:val="20"/>
          <w:szCs w:val="20"/>
          <w:color w:val="auto"/>
        </w:rPr>
      </w:pPr>
    </w:p>
    <w:p>
      <w:pPr>
        <w:ind w:left="560" w:right="6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$0.9 million in each of the thirteen weeks ended May 2, 2020 and May 4, 2019. These expenses are included in selling, general and administrative expenses in the consolidated statements of income.</w:t>
      </w:r>
    </w:p>
    <w:p>
      <w:pPr>
        <w:spacing w:after="0" w:line="188"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equity purchases for the thirteen weeks ended May 2, 2020 and May 4, 2019.</w:t>
      </w:r>
    </w:p>
    <w:p>
      <w:pPr>
        <w:spacing w:after="0" w:line="117"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May 2, 2020, Managers repurchased at fair market value approximately $37.0 thousand of Redeemable Membership Units from a director of the Company for cash.</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60"/>
          </w:cols>
          <w:pgMar w:left="320" w:top="455" w:right="51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Holdco concurrently repurchased from Managers for cash, at fair market value, a number of Holdco membership units equal to the number of Redeemable Membership Units repurchased from the director.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has been recorded in other non-current assets on the balance sheet.</w:t>
      </w:r>
    </w:p>
    <w:p>
      <w:pPr>
        <w:spacing w:after="0" w:line="324" w:lineRule="exact"/>
        <w:rPr>
          <w:sz w:val="20"/>
          <w:szCs w:val="20"/>
          <w:color w:val="auto"/>
        </w:rPr>
      </w:pPr>
    </w:p>
    <w:p>
      <w:pPr>
        <w:ind w:left="560" w:right="7140" w:hanging="444"/>
        <w:spacing w:after="0" w:line="400" w:lineRule="auto"/>
        <w:tabs>
          <w:tab w:leader="none" w:pos="552" w:val="left"/>
        </w:tabs>
        <w:numPr>
          <w:ilvl w:val="0"/>
          <w:numId w:val="1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ind w:left="560" w:right="20" w:firstLine="423"/>
        <w:spacing w:after="0" w:line="312" w:lineRule="auto"/>
        <w:rPr>
          <w:sz w:val="20"/>
          <w:szCs w:val="20"/>
          <w:color w:val="auto"/>
        </w:rPr>
      </w:pPr>
      <w:r>
        <w:rPr>
          <w:rFonts w:ascii="Times New Roman" w:cs="Times New Roman" w:eastAsia="Times New Roman" w:hAnsi="Times New Roman"/>
          <w:sz w:val="17"/>
          <w:szCs w:val="17"/>
          <w:color w:val="auto"/>
        </w:rPr>
        <w:t>As of May 2, 2020, we have obligations under technology related contractual commitments as well as other commitments, such as construction commitments, in the amount of $23.1 million. Of such commitments, approximately $18.8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As of May 2, 2020, we have obligations under the Monitoring Agreement (see Note 11), in the amount of $14.4 million, of which $5.1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May 2, 2020, we have $7.5 million in related commitments through 2027, of which $3.4 million is payable in the next 12 months.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5" w:right="5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52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May 2, 2020 through July 10, 2020. We identified the following matters to report:</w:t>
      </w:r>
    </w:p>
    <w:p>
      <w:pPr>
        <w:spacing w:after="0" w:line="162"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we repurchased $23.9 million in principal amount of loans under the 2015 Term Loan Facility, which loans were trading at a discount, in open market transactions for $16.0 million and recognized a net gain of $7.8 million.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June 2020, we repaid the entire $500 million outstanding balance under our Amended ABL Facility.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Notes 2 and 14 to the financial statements, the Company adopted Financial Accounting Standards Board (FASB)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2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149,385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428,823</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122,795</w:t>
            </w:r>
          </w:p>
        </w:tc>
        <w:tc>
          <w:tcPr>
            <w:tcW w:w="0" w:type="dxa"/>
            <w:vAlign w:val="bottom"/>
          </w:tcPr>
          <w:p>
            <w:pPr>
              <w:spacing w:after="0"/>
              <w:rPr>
                <w:sz w:val="1"/>
                <w:szCs w:val="1"/>
                <w:color w:val="auto"/>
              </w:rPr>
            </w:pPr>
          </w:p>
        </w:tc>
      </w:tr>
      <w:tr>
        <w:trPr>
          <w:trHeight w:val="232"/>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3,340,284</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21,442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89,942</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15,711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43,487</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0.39</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0.38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21,442</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8,238</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$822,720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34,704</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34,704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0" w:type="dxa"/>
            <w:vAlign w:val="bottom"/>
          </w:tcPr>
          <w:p>
            <w:pPr>
              <w:spacing w:after="0"/>
              <w:rPr>
                <w:sz w:val="1"/>
                <w:szCs w:val="1"/>
                <w:color w:val="auto"/>
              </w:rPr>
            </w:pPr>
          </w:p>
        </w:tc>
      </w:tr>
      <w:tr>
        <w:trPr>
          <w:trHeight w:val="126"/>
        </w:trPr>
        <w:tc>
          <w:tcPr>
            <w:tcW w:w="50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57,363</w:t>
            </w:r>
          </w:p>
        </w:tc>
        <w:tc>
          <w:tcPr>
            <w:tcW w:w="80" w:type="dxa"/>
            <w:vAlign w:val="bottom"/>
          </w:tcPr>
          <w:p>
            <w:pPr>
              <w:spacing w:after="0"/>
              <w:rPr>
                <w:sz w:val="10"/>
                <w:szCs w:val="10"/>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(91,008)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Managers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$996,285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(6,294)</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2,934</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w:t>
            </w:r>
          </w:p>
        </w:tc>
      </w:tr>
      <w:tr>
        <w:trPr>
          <w:trHeight w:val="149"/>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2,297</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(132,126)</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15,992</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(115,901)</w:t>
            </w:r>
          </w:p>
        </w:tc>
        <w:tc>
          <w:tcPr>
            <w:tcW w:w="100" w:type="dxa"/>
            <w:vAlign w:val="bottom"/>
          </w:tcPr>
          <w:p>
            <w:pPr>
              <w:spacing w:after="0"/>
              <w:rPr>
                <w:sz w:val="14"/>
                <w:szCs w:val="14"/>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(816,400)</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(37,989)</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10,353</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1,150</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54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(24,032)</w:t>
            </w:r>
          </w:p>
        </w:tc>
        <w:tc>
          <w:tcPr>
            <w:tcW w:w="100" w:type="dxa"/>
            <w:vAlign w:val="bottom"/>
          </w:tcPr>
          <w:p>
            <w:pPr>
              <w:spacing w:after="0"/>
              <w:rPr>
                <w:sz w:val="13"/>
                <w:szCs w:val="13"/>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105,661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(6,600)</w:t>
            </w:r>
          </w:p>
        </w:tc>
      </w:tr>
      <w:tr>
        <w:trPr>
          <w:trHeight w:val="19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309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7,412</w:t>
            </w:r>
          </w:p>
        </w:tc>
      </w:tr>
    </w:tbl>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ACADEMY HOLDING COMPANY,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8940" w:hanging="444"/>
        <w:spacing w:after="0" w:line="400" w:lineRule="auto"/>
        <w:tabs>
          <w:tab w:leader="none" w:pos="552"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0" w:lineRule="exact"/>
        <w:rPr>
          <w:sz w:val="20"/>
          <w:szCs w:val="20"/>
          <w:color w:val="auto"/>
        </w:rPr>
      </w:pPr>
    </w:p>
    <w:p>
      <w:pPr>
        <w:ind w:left="540" w:hanging="424"/>
        <w:spacing w:after="0"/>
        <w:tabs>
          <w:tab w:leader="none" w:pos="54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statements of income provides the estimated impact to net income and earnings per unit based upon the anticipated conversion of the Company to a C corporation. We are currently treated as a flow through entity for U.S. federal income tax purposes, and thus no federal income tax expense has been recorded in our consolidated statements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income. After consummation of this offering,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this offering may be different from our assumed rate, and such difference may be material.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2018 and 2017 consolidated financial statements to conform to the current period presentation. Within the merchandise division sales table presented in Note 3, certain products and categories were recategorized amongst categories and divisions during 2019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right="540" w:firstLine="423"/>
        <w:spacing w:after="0" w:line="261"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40"/>
          </w:cols>
          <w:pgMar w:left="320" w:top="455" w:right="5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financial instruments for trading or speculative purposes (see Note 4 and Note 5). The fair value of debt is influenced by fluctuations in market conditions for interest rates (see Note 6).</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83"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0"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Lesser of asset useful life or lease term</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4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64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5–10 years</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4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7–10 years</w:t>
            </w:r>
          </w:p>
        </w:tc>
      </w:tr>
      <w:tr>
        <w:trPr>
          <w:trHeight w:val="346"/>
        </w:trPr>
        <w:tc>
          <w:tcPr>
            <w:tcW w:w="3680" w:type="dxa"/>
            <w:vAlign w:val="bottom"/>
          </w:tcPr>
          <w:p>
            <w:pPr>
              <w:spacing w:after="0"/>
              <w:rPr>
                <w:sz w:val="24"/>
                <w:szCs w:val="24"/>
                <w:color w:val="auto"/>
              </w:rPr>
            </w:pPr>
          </w:p>
        </w:tc>
        <w:tc>
          <w:tcPr>
            <w:tcW w:w="6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F-27</w:t>
            </w:r>
          </w:p>
        </w:tc>
      </w:tr>
    </w:tbl>
    <w:p>
      <w:pPr>
        <w:sectPr>
          <w:pgSz w:w="11900" w:h="16838" w:orient="portrait"/>
          <w:cols w:equalWidth="0" w:num="1">
            <w:col w:w="11140"/>
          </w:cols>
          <w:pgMar w:left="320" w:top="455" w:right="4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76"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acquire land and construct new stores to be sold to and leased from third party landlords. New stores completed but not yet sold to and leased from third parties are 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121" w:lineRule="exact"/>
        <w:rPr>
          <w:sz w:val="20"/>
          <w:szCs w:val="20"/>
          <w:color w:val="auto"/>
        </w:rPr>
      </w:pPr>
    </w:p>
    <w:p>
      <w:pPr>
        <w:ind w:left="560" w:right="20" w:firstLine="423"/>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60" w:right="20" w:firstLine="423"/>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560" w:right="360" w:firstLine="423"/>
        <w:spacing w:after="0" w:line="282"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6" w:lineRule="exact"/>
        <w:rPr>
          <w:sz w:val="20"/>
          <w:szCs w:val="20"/>
          <w:color w:val="auto"/>
        </w:rPr>
      </w:pPr>
    </w:p>
    <w:p>
      <w:pPr>
        <w:ind w:left="560" w:right="220" w:firstLine="423"/>
        <w:spacing w:after="0" w:line="258"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3" w:lineRule="exact"/>
        <w:rPr>
          <w:sz w:val="20"/>
          <w:szCs w:val="20"/>
          <w:color w:val="auto"/>
        </w:rPr>
      </w:pPr>
    </w:p>
    <w:p>
      <w:pPr>
        <w:ind w:left="560" w:right="680" w:firstLine="423"/>
        <w:spacing w:after="0" w:line="282"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consist of the trade name of “Academy Sports + Outdoors”, or the Trade Name, and our favorable leases. The favorable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leases are accounted for as finite-lived assets and are amortized over their estimated useful economic lives. With the adoption of ASU 2016-02,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a series of related Accounting Standards Updates that followed, or collectively, the New Lease Standard, on February 3,</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2019, the balance of the favorable lease rights, net was netted into the right-of-use assets on the balance sheet (see Note 14). The Trade Name 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to generate cash flows indefinitely and, therefore, is accounted for as an indefinite-lived asset not subject to amortization.</w:t>
      </w:r>
    </w:p>
    <w:p>
      <w:pPr>
        <w:spacing w:after="0" w:line="207"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121" w:lineRule="exact"/>
        <w:rPr>
          <w:sz w:val="20"/>
          <w:szCs w:val="20"/>
          <w:color w:val="auto"/>
        </w:rPr>
      </w:pPr>
    </w:p>
    <w:p>
      <w:pPr>
        <w:ind w:left="560" w:right="260" w:firstLine="423"/>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derivative is not highly effective as a hedge or ceases to be highly effective, we discontinue hedge accounting prospectively.</w:t>
      </w:r>
    </w:p>
    <w:p>
      <w:pPr>
        <w:spacing w:after="0" w:line="225"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 Incentives</w:t>
      </w:r>
    </w:p>
    <w:p>
      <w:pPr>
        <w:spacing w:after="0" w:line="121"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76"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In certain store construction cases, we may be deemed the owner of the property during construction, after which we then sell the property to a landlord and concurrently enter into a lease of the property to operate the store, or sale-leaseback. We report the cash received for construction allowances as construction allowance receipts within the financing activities section of our consolidated statements of cash flows when such amounts are received prior to completion of a sale-leaseback transaction, and we report the cash received for construction allowances as proceeds from the sale of property and equipment within the investing activities section of our consolidated statements of cash flows when such amounts are received after the completion of a sale-leaseback transaction.</w:t>
      </w:r>
    </w:p>
    <w:p>
      <w:pPr>
        <w:spacing w:after="0" w:line="187"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89" w:lineRule="exact"/>
        <w:rPr>
          <w:sz w:val="20"/>
          <w:szCs w:val="20"/>
          <w:color w:val="auto"/>
        </w:rPr>
      </w:pPr>
    </w:p>
    <w:p>
      <w:pPr>
        <w:ind w:left="560" w:right="20" w:firstLine="423"/>
        <w:spacing w:after="0" w:line="289" w:lineRule="auto"/>
        <w:rPr>
          <w:sz w:val="20"/>
          <w:szCs w:val="20"/>
          <w:color w:val="auto"/>
        </w:rPr>
      </w:pPr>
      <w:r>
        <w:rPr>
          <w:rFonts w:ascii="Times New Roman" w:cs="Times New Roman" w:eastAsia="Times New Roman" w:hAnsi="Times New Roman"/>
          <w:sz w:val="17"/>
          <w:szCs w:val="17"/>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Under the New Lease Standard these receipts are a reduction to the right-of-use assets on the balance sheet (see Note 14), which are amortized ratably over the remaining terms of the corresponding leases.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180"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$142.3 million, $139.1 million and $140.8 million in 2019, 2018 and 2017,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We account for equity compensation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left="560" w:right="320" w:firstLine="423"/>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560" w:right="380" w:firstLine="423"/>
        <w:spacing w:after="0" w:line="273" w:lineRule="auto"/>
        <w:rPr>
          <w:sz w:val="20"/>
          <w:szCs w:val="20"/>
          <w:color w:val="auto"/>
        </w:rPr>
      </w:pPr>
      <w:r>
        <w:rPr>
          <w:rFonts w:ascii="Times New Roman" w:cs="Times New Roman" w:eastAsia="Times New Roman" w:hAnsi="Times New Roman"/>
          <w:sz w:val="17"/>
          <w:szCs w:val="17"/>
          <w:color w:val="auto"/>
        </w:rPr>
        <w:t xml:space="preserve">We elected the practical expedient available to us under ASU 2018-11, </w:t>
      </w:r>
      <w:r>
        <w:rPr>
          <w:rFonts w:ascii="Times New Roman" w:cs="Times New Roman" w:eastAsia="Times New Roman" w:hAnsi="Times New Roman"/>
          <w:sz w:val="17"/>
          <w:szCs w:val="17"/>
          <w:i w:val="1"/>
          <w:iCs w:val="1"/>
          <w:color w:val="auto"/>
        </w:rPr>
        <w:t>“Leases: Targeted Improvements”</w:t>
      </w:r>
      <w:r>
        <w:rPr>
          <w:rFonts w:ascii="Times New Roman" w:cs="Times New Roman" w:eastAsia="Times New Roman" w:hAnsi="Times New Roman"/>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30" w:lineRule="exact"/>
        <w:rPr>
          <w:sz w:val="20"/>
          <w:szCs w:val="20"/>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2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1,522,985</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1,021,603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4,809,714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4,829,897</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80" w:hanging="224"/>
        <w:spacing w:after="0" w:line="289" w:lineRule="auto"/>
        <w:tabs>
          <w:tab w:leader="none" w:pos="3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hanging="224"/>
        <w:spacing w:after="0"/>
        <w:tabs>
          <w:tab w:leader="none" w:pos="3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27" w:lineRule="exact"/>
        <w:rPr>
          <w:rFonts w:ascii="Times New Roman" w:cs="Times New Roman" w:eastAsia="Times New Roman" w:hAnsi="Times New Roman"/>
          <w:sz w:val="15"/>
          <w:szCs w:val="15"/>
          <w:color w:val="auto"/>
        </w:rPr>
      </w:pPr>
    </w:p>
    <w:p>
      <w:pPr>
        <w:ind w:left="340" w:right="500" w:hanging="224"/>
        <w:spacing w:after="0" w:line="260" w:lineRule="auto"/>
        <w:tabs>
          <w:tab w:leader="none" w:pos="3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 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94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2015 Term Loan Facility, with Morgan Stanley Senior Funding, Inc., as the administrative and collateral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Term Loan Facility bears interest, at our election, at either (1) LIBOR rate with a floor of 1.00%,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5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40" w:type="dxa"/>
            <w:vAlign w:val="bottom"/>
          </w:tcPr>
          <w:p>
            <w:pPr>
              <w:spacing w:after="0"/>
              <w:rPr>
                <w:sz w:val="12"/>
                <w:szCs w:val="12"/>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42.3</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is used to provide financing for working capital and other general corporate purposes,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0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Liens and guarantees.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Amended ABL Facility has a first priority lien on all Academy, Ltd.’s cash, accounts receivable, inventory,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securities accounts and proceeds therefrom, or the ABL Collateral. Additionally, the Amended ABL Facility has a second priority lien on all other collateral of the 2015 Term Loan Facility. All obligations under the 2015 Term Loan Facility and the guarantees of those obligations are secured by:</w:t>
      </w:r>
    </w:p>
    <w:p>
      <w:pPr>
        <w:spacing w:after="0" w:line="62"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scheduled principal payments on our debt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60" w:hanging="224"/>
        <w:spacing w:after="0" w:line="282" w:lineRule="auto"/>
        <w:tabs>
          <w:tab w:leader="none" w:pos="3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of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interest rate swaps is as follows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76"/>
        </w:trPr>
        <w:tc>
          <w:tcPr>
            <w:tcW w:w="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5"/>
              </w:rPr>
              <w:t>Assets</w:t>
            </w:r>
          </w:p>
        </w:tc>
        <w:tc>
          <w:tcPr>
            <w:tcW w:w="40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4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w:t>
            </w:r>
          </w:p>
        </w:tc>
      </w:tr>
      <w:tr>
        <w:trPr>
          <w:trHeight w:val="28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452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4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6,130</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980" w:type="dxa"/>
            <w:vAlign w:val="bottom"/>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 w:type="dxa"/>
            <w:vAlign w:val="bottom"/>
            <w:tcBorders>
              <w:top w:val="single" w:sz="8" w:color="CCEEFF"/>
            </w:tcBorders>
            <w:shd w:val="clear" w:color="auto" w:fill="CCEEFF"/>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20"/>
                <w:szCs w:val="20"/>
                <w:color w:val="auto"/>
              </w:rPr>
            </w:pPr>
          </w:p>
        </w:tc>
      </w:tr>
    </w:tbl>
    <w:p>
      <w:pPr>
        <w:spacing w:after="0" w:line="320"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080" w:right="240" w:hanging="424"/>
        <w:spacing w:after="0" w:line="282"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8,106</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Measured on a Non-Recurring Basis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(763,836)</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Favorable lease rights, net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577,000</w:t>
            </w:r>
          </w:p>
        </w:tc>
      </w:tr>
      <w:tr>
        <w:trPr>
          <w:trHeight w:val="27"/>
        </w:trPr>
        <w:tc>
          <w:tcPr>
            <w:tcW w:w="4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592,067</w:t>
            </w: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on favorable lease rights was $3.5 million in 2018 and 2017, respectively. Favorable lease rights are net of accumulated amortization of $25.0 million as of February 2, 2019.</w:t>
      </w:r>
    </w:p>
    <w:p>
      <w:pPr>
        <w:spacing w:after="0" w:line="306" w:lineRule="exact"/>
        <w:rPr>
          <w:sz w:val="20"/>
          <w:szCs w:val="20"/>
          <w:color w:val="auto"/>
        </w:rPr>
      </w:pPr>
    </w:p>
    <w:p>
      <w:pPr>
        <w:ind w:left="540" w:hanging="424"/>
        <w:spacing w:after="0"/>
        <w:tabs>
          <w:tab w:leader="none" w:pos="54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revenue—gift cards and 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70,220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31,191</w:t>
            </w:r>
          </w:p>
        </w:tc>
      </w:tr>
      <w:tr>
        <w:trPr>
          <w:trHeight w:val="27"/>
        </w:trPr>
        <w:tc>
          <w:tcPr>
            <w:tcW w:w="3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184,141</w:t>
            </w:r>
          </w:p>
        </w:tc>
      </w:tr>
      <w:tr>
        <w:trPr>
          <w:trHeight w:val="20"/>
        </w:trPr>
        <w:tc>
          <w:tcPr>
            <w:tcW w:w="3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F-39</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228,274,749 Membership Units authorized, issued and outstanding as of February 1, 2020.</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 Event Restricted Unit. In each case, vesting of the Company’s outstanding and unvested Unit Options and Restricted Units is contingent upon the holder’s continued service through the date of each applicable vesting event.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2019, 2018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7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w:t>
            </w:r>
          </w:p>
        </w:tc>
        <w:tc>
          <w:tcPr>
            <w:tcW w:w="46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50% to 55%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 to 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52.0%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1.4% to 2.5%</w:t>
            </w: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2.6% to 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to 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Service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Performance</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Activity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 Option activity is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4,126,204</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(533,211)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(1,301,531)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14,340,902</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9,654,571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(5,898,381)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(2,486,813)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15,610,279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33,157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4,365,143</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(601,974)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(1,133,977)</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18,239,471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11,225,459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20" w:hanging="224"/>
        <w:spacing w:after="0" w:line="261" w:lineRule="auto"/>
        <w:tabs>
          <w:tab w:leader="none" w:pos="34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membership units as of each period end was $6.07, $4.40, $5.91, $5.59, for the fiscal years ended 2016, 2017, 2018, and 2019, respectively.</w:t>
      </w:r>
    </w:p>
    <w:p>
      <w:pPr>
        <w:ind w:left="340" w:right="160" w:hanging="224"/>
        <w:spacing w:after="0" w:line="260" w:lineRule="auto"/>
        <w:tabs>
          <w:tab w:leader="none" w:pos="34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2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3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1,232,128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3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(436,759)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(852,432)</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2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25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9,902,357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3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3,272,337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3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(2,258,138)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(1,231,868)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2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3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9,684,688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3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1,335,436</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3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(228,718)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(563,830)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2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2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10,227,576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2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7,760,964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3900" w:type="dxa"/>
            <w:vAlign w:val="bottom"/>
            <w:gridSpan w:val="3"/>
          </w:tcPr>
          <w:p>
            <w:pPr>
              <w:jc w:val="right"/>
              <w:ind w:right="2360"/>
              <w:spacing w:after="0"/>
              <w:rPr>
                <w:sz w:val="20"/>
                <w:szCs w:val="20"/>
                <w:color w:val="auto"/>
              </w:rPr>
            </w:pPr>
            <w:r>
              <w:rPr>
                <w:rFonts w:ascii="Times New Roman" w:cs="Times New Roman" w:eastAsia="Times New Roman" w:hAnsi="Times New Roman"/>
                <w:sz w:val="18"/>
                <w:szCs w:val="18"/>
                <w:color w:val="auto"/>
              </w:rPr>
              <w:t>F-42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right="320" w:hanging="224"/>
        <w:spacing w:after="0" w:line="261" w:lineRule="auto"/>
        <w:tabs>
          <w:tab w:leader="none" w:pos="34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membership units as of each period end was $6.07, $4.40, $5.91, $5.59, for the fiscal years ended 2016, 2017, 2018, and 2019, respectively.</w:t>
      </w:r>
    </w:p>
    <w:p>
      <w:pPr>
        <w:ind w:left="340" w:right="60" w:hanging="224"/>
        <w:spacing w:after="0" w:line="260" w:lineRule="auto"/>
        <w:tabs>
          <w:tab w:leader="none" w:pos="34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Unit activity is as follows: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Units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January 28,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1,374,348</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3, 2018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2,769,316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(34,704)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(782,295)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2, 2019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180,610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(57,363)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(141,510)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1,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3,329,186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February 1, 2020, there are 3,291,162 Holdco Membership Units that are subject to outstanding and unvested Liquidity Event Restricted Units with a weighted average grant date fair value of $5.51.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9" w:lineRule="exact"/>
        <w:rPr>
          <w:sz w:val="20"/>
          <w:szCs w:val="20"/>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weighted average total number of Membership Units outstanding during the period, and dilutive earnings per unit is calculated based on net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40"/>
          </w:cols>
          <w:pgMar w:left="320" w:top="455" w:right="5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120,043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basic</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228,160,508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2,886,601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Performance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4,383,391</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4,625,349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diluted</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235,609,118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236,873,973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1,833,855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7,485,706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424"/>
        <w:spacing w:after="0"/>
        <w:tabs>
          <w:tab w:leader="none" w:pos="5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5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28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expense</w:t>
            </w:r>
          </w:p>
        </w:tc>
        <w:tc>
          <w:tcPr>
            <w:tcW w:w="2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F-44</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(dollar amounts in thousands)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4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at federal statutory rate (21% for 2019, 21% for 2018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25,801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33.8% for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expense resulting from:</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rates due to pass through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(25,801)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76" w:lineRule="exact"/>
        <w:rPr>
          <w:sz w:val="20"/>
          <w:szCs w:val="20"/>
          <w:color w:val="auto"/>
        </w:rPr>
      </w:pPr>
    </w:p>
    <w:p>
      <w:pPr>
        <w:ind w:left="560" w:right="140" w:firstLine="423"/>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that give rise to significant portions of the net deferred tax assets and liabilities are presented below (amounts in thousands)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February 2,</w:t>
            </w:r>
          </w:p>
        </w:tc>
      </w:tr>
      <w:tr>
        <w:trPr>
          <w:trHeight w:val="173"/>
        </w:trPr>
        <w:tc>
          <w:tcPr>
            <w:tcW w:w="4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and depreciation</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20"/>
                <w:szCs w:val="20"/>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76"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right="8480" w:hanging="444"/>
        <w:spacing w:after="0" w:line="400" w:lineRule="auto"/>
        <w:tabs>
          <w:tab w:leader="none" w:pos="552" w:val="left"/>
        </w:tabs>
        <w:numPr>
          <w:ilvl w:val="0"/>
          <w:numId w:val="2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8"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Other Fee Arrangements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560" w:right="260" w:firstLine="423"/>
        <w:spacing w:after="0" w:line="261" w:lineRule="auto"/>
        <w:rPr>
          <w:sz w:val="20"/>
          <w:szCs w:val="20"/>
          <w:color w:val="auto"/>
        </w:rPr>
      </w:pPr>
      <w:r>
        <w:rPr>
          <w:rFonts w:ascii="Times New Roman" w:cs="Times New Roman" w:eastAsia="Times New Roman" w:hAnsi="Times New Roman"/>
          <w:sz w:val="18"/>
          <w:szCs w:val="18"/>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80" w:lineRule="exact"/>
        <w:rPr>
          <w:sz w:val="20"/>
          <w:szCs w:val="20"/>
          <w:color w:val="auto"/>
        </w:rPr>
      </w:pPr>
    </w:p>
    <w:p>
      <w:pPr>
        <w:jc w:val="both"/>
        <w:ind w:left="560" w:firstLine="423"/>
        <w:spacing w:after="0" w:line="289" w:lineRule="auto"/>
        <w:rPr>
          <w:sz w:val="20"/>
          <w:szCs w:val="20"/>
          <w:color w:val="auto"/>
        </w:rPr>
      </w:pPr>
      <w:r>
        <w:rPr>
          <w:rFonts w:ascii="Times New Roman" w:cs="Times New Roman" w:eastAsia="Times New Roman" w:hAnsi="Times New Roman"/>
          <w:sz w:val="17"/>
          <w:szCs w:val="17"/>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80" w:firstLine="423"/>
        <w:spacing w:after="0" w:line="256"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2"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12 months or less in duration.</w:t>
      </w:r>
    </w:p>
    <w:p>
      <w:pPr>
        <w:spacing w:after="0" w:line="183"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 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12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92" w:lineRule="exact"/>
        <w:rPr>
          <w:sz w:val="20"/>
          <w:szCs w:val="20"/>
          <w:color w:val="auto"/>
        </w:rPr>
      </w:pPr>
    </w:p>
    <w:p>
      <w:pPr>
        <w:ind w:left="560" w:right="72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balance sheet impact of the implementation of the New Lease Standard upon adoption (amounts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720" w:type="dxa"/>
            <w:vAlign w:val="bottom"/>
            <w:gridSpan w:val="3"/>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5"/>
                <w:szCs w:val="15"/>
                <w:color w:val="auto"/>
              </w:rPr>
              <w:t>(1)</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Trade name and other intangible assets, net </w:t>
            </w:r>
            <w:r>
              <w:rPr>
                <w:rFonts w:ascii="Times New Roman" w:cs="Times New Roman" w:eastAsia="Times New Roman" w:hAnsi="Times New Roman"/>
                <w:sz w:val="15"/>
                <w:szCs w:val="15"/>
                <w:color w:val="auto"/>
              </w:rPr>
              <w:t>(1)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15"/>
                <w:szCs w:val="15"/>
                <w:color w:val="auto"/>
              </w:rPr>
              <w:t>(1)(2)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15"/>
                <w:szCs w:val="15"/>
                <w:color w:val="auto"/>
              </w:rPr>
              <w:t>(1) (2)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5"/>
                <w:szCs w:val="15"/>
                <w:color w:val="auto"/>
              </w:rPr>
              <w:t>(2)</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553,282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40" w:hanging="224"/>
        <w:spacing w:after="0" w:line="312" w:lineRule="auto"/>
        <w:tabs>
          <w:tab w:leader="none" w:pos="34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right="400" w:hanging="224"/>
        <w:spacing w:after="0" w:line="282" w:lineRule="auto"/>
        <w:tabs>
          <w:tab w:leader="none" w:pos="340"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62" w:lineRule="exact"/>
        <w:rPr>
          <w:sz w:val="20"/>
          <w:szCs w:val="20"/>
          <w:color w:val="auto"/>
        </w:rPr>
      </w:pPr>
    </w:p>
    <w:p>
      <w:pPr>
        <w:ind w:left="560" w:right="540" w:firstLine="423"/>
        <w:spacing w:after="0" w:line="312" w:lineRule="auto"/>
        <w:rPr>
          <w:sz w:val="20"/>
          <w:szCs w:val="20"/>
          <w:color w:val="auto"/>
        </w:rPr>
      </w:pPr>
      <w:r>
        <w:rPr>
          <w:rFonts w:ascii="Times New Roman" w:cs="Times New Roman" w:eastAsia="Times New Roman" w:hAnsi="Times New Roman"/>
          <w:sz w:val="17"/>
          <w:szCs w:val="17"/>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40"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6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or SG&amp;A, expenses on our statement of income is as follows (amounts in thousands):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201,446</w:t>
            </w:r>
          </w:p>
        </w:tc>
        <w:tc>
          <w:tcPr>
            <w:tcW w:w="0" w:type="dxa"/>
            <w:vAlign w:val="bottom"/>
          </w:tcPr>
          <w:p>
            <w:pPr>
              <w:spacing w:after="0"/>
              <w:rPr>
                <w:sz w:val="1"/>
                <w:szCs w:val="1"/>
                <w:color w:val="auto"/>
              </w:rPr>
            </w:pPr>
          </w:p>
        </w:tc>
      </w:tr>
      <w:tr>
        <w:trPr>
          <w:trHeight w:val="43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57,383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192,849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50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80"/>
          </w:cols>
          <w:pgMar w:left="320" w:top="455" w:right="49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2020 are as follows (amounts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(715,729)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$1.6 million due in the future under non-cancelable subleases.</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192,632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minimum lease payments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2,117,424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$7.7 million due in the future under non-cancelable subleases.</w:t>
      </w:r>
    </w:p>
    <w:p>
      <w:pPr>
        <w:spacing w:after="0" w:line="248" w:lineRule="exact"/>
        <w:rPr>
          <w:sz w:val="20"/>
          <w:szCs w:val="20"/>
          <w:color w:val="auto"/>
        </w:rPr>
      </w:pPr>
    </w:p>
    <w:p>
      <w:pPr>
        <w:ind w:left="560" w:right="7140" w:hanging="444"/>
        <w:spacing w:after="0" w:line="400" w:lineRule="auto"/>
        <w:tabs>
          <w:tab w:leader="none" w:pos="552"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ind w:left="560" w:right="20" w:firstLine="423"/>
        <w:spacing w:after="0" w:line="312" w:lineRule="auto"/>
        <w:rPr>
          <w:sz w:val="20"/>
          <w:szCs w:val="20"/>
          <w:color w:val="auto"/>
        </w:rPr>
      </w:pPr>
      <w:r>
        <w:rPr>
          <w:rFonts w:ascii="Times New Roman" w:cs="Times New Roman" w:eastAsia="Times New Roman" w:hAnsi="Times New Roman"/>
          <w:sz w:val="17"/>
          <w:szCs w:val="17"/>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420" w:firstLine="423"/>
        <w:spacing w:after="0" w:line="282" w:lineRule="auto"/>
        <w:rPr>
          <w:sz w:val="20"/>
          <w:szCs w:val="20"/>
          <w:color w:val="auto"/>
        </w:rPr>
      </w:pPr>
      <w:r>
        <w:rPr>
          <w:rFonts w:ascii="Times New Roman" w:cs="Times New Roman" w:eastAsia="Times New Roman" w:hAnsi="Times New Roman"/>
          <w:sz w:val="18"/>
          <w:szCs w:val="18"/>
          <w:color w:val="auto"/>
        </w:rPr>
        <w:t>As of February 1, 2020, we have obligations under the Monitoring Agreement (see Note 13) in the amount of $14.4 million, of which $4.1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20"/>
          </w:cols>
          <w:pgMar w:left="320" w:top="455" w:right="5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8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312" w:lineRule="exact"/>
        <w:rPr>
          <w:sz w:val="20"/>
          <w:szCs w:val="20"/>
          <w:color w:val="auto"/>
        </w:rPr>
      </w:pPr>
    </w:p>
    <w:p>
      <w:pPr>
        <w:ind w:left="560" w:right="8720" w:hanging="444"/>
        <w:spacing w:after="0" w:line="377" w:lineRule="auto"/>
        <w:tabs>
          <w:tab w:leader="none" w:pos="552"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spacing w:after="0" w:line="2"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 board of managers, subject to certain limitations. The 401(k) Plan may be amended or terminated at our discretion. Employer contributions related to the 401(k) Plan totaled $12.4 million, $11.9 million and $11.6 million in 2019, 2018 and 2017, respectively.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55" w:right="49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February 1, 2020:</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3,008</w:t>
            </w: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16"/>
                <w:szCs w:val="16"/>
                <w:b w:val="1"/>
                <w:bCs w:val="1"/>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9,400</w:t>
            </w:r>
            <w:r>
              <w:rPr>
                <w:rFonts w:ascii="Times New Roman" w:cs="Times New Roman" w:eastAsia="Times New Roman" w:hAnsi="Times New Roman"/>
                <w:sz w:val="15"/>
                <w:szCs w:val="15"/>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62,975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(69,355)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22,807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61,220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(61,598)</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22,429</w:t>
            </w:r>
          </w:p>
        </w:tc>
        <w:tc>
          <w:tcPr>
            <w:tcW w:w="0" w:type="dxa"/>
            <w:vAlign w:val="bottom"/>
          </w:tcPr>
          <w:p>
            <w:pPr>
              <w:spacing w:after="0"/>
              <w:rPr>
                <w:sz w:val="1"/>
                <w:szCs w:val="1"/>
                <w:color w:val="auto"/>
              </w:rPr>
            </w:pPr>
          </w:p>
        </w:tc>
      </w:tr>
      <w:tr>
        <w:trPr>
          <w:trHeight w:val="28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20"/>
                <w:szCs w:val="20"/>
                <w:color w:val="auto"/>
              </w:rPr>
              <w:t>2,616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1,020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(628) </w:t>
            </w:r>
            <w:r>
              <w:rPr>
                <w:rFonts w:ascii="Times New Roman" w:cs="Times New Roman" w:eastAsia="Times New Roman" w:hAnsi="Times New Roman"/>
                <w:sz w:val="16"/>
                <w:szCs w:val="16"/>
                <w:color w:val="auto"/>
              </w:rPr>
              <w:t>(1)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$ 3,008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(64,459)</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19,942</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3, 2018: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3,410</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1,900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(2,694) </w:t>
            </w:r>
            <w:r>
              <w:rPr>
                <w:rFonts w:ascii="Times New Roman" w:cs="Times New Roman" w:eastAsia="Times New Roman" w:hAnsi="Times New Roman"/>
                <w:sz w:val="16"/>
                <w:szCs w:val="16"/>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5,976</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(84,541)</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(65,504)</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write-offs to the reserve.</w:t>
      </w:r>
    </w:p>
    <w:p>
      <w:pPr>
        <w:spacing w:after="0" w:line="27"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monthly increase (decrease) in the required reserve based on the Company’s evaluation of anticipated merchandise returns.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actual inventory shrinkage experienced at the time of physical inventories.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claim payments for self-insured claims.</w:t>
      </w:r>
    </w:p>
    <w:p>
      <w:pPr>
        <w:spacing w:after="0" w:line="351" w:lineRule="exact"/>
        <w:rPr>
          <w:sz w:val="20"/>
          <w:szCs w:val="20"/>
          <w:color w:val="auto"/>
        </w:rPr>
      </w:pPr>
    </w:p>
    <w:p>
      <w:pPr>
        <w:ind w:left="540" w:hanging="424"/>
        <w:spacing w:after="0"/>
        <w:tabs>
          <w:tab w:leader="none" w:pos="54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4th</w:t>
            </w: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7"/>
              </w:rPr>
              <w:t>1,076,792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7"/>
              </w:rPr>
              <w:t>1,237,410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1,145,203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1,370,492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312,996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301,602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312,570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(41,138)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25,406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48,347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28,552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17,738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7"/>
              </w:rPr>
              <w:t>1,119,480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1,262,207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1,060,188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1,342,018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320,356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295,278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26,795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42,103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(21,458)</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4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color w:val="auto"/>
              </w:rPr>
              <w:t>F-51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55" w:right="81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2020 through July 10, 2020. We identified the following matters to report:</w:t>
      </w:r>
    </w:p>
    <w:p>
      <w:pPr>
        <w:spacing w:after="0" w:line="162"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1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10140" w:type="dxa"/>
            <w:vAlign w:val="bottom"/>
            <w:tcBorders>
              <w:top w:val="single" w:sz="8" w:color="CCEEFF"/>
            </w:tcBorders>
            <w:shd w:val="clear" w:color="auto" w:fill="CCEEFF"/>
          </w:tcPr>
          <w:p>
            <w:pPr>
              <w:ind w:left="4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 shares authorized, 100 shares issued and outstanding</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the anticipated reorganization transactions, the Corporation will continue to conduct the business now conducted by New Academy Holding Company, LLC and its subsidiaries.</w:t>
      </w:r>
    </w:p>
    <w:p>
      <w:pPr>
        <w:spacing w:after="0" w:line="306" w:lineRule="exact"/>
        <w:rPr>
          <w:sz w:val="20"/>
          <w:szCs w:val="20"/>
          <w:color w:val="auto"/>
        </w:rPr>
      </w:pPr>
    </w:p>
    <w:p>
      <w:pPr>
        <w:ind w:left="540" w:hanging="424"/>
        <w:spacing w:after="0"/>
        <w:tabs>
          <w:tab w:leader="none" w:pos="5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0" w:lineRule="exact"/>
        <w:rPr>
          <w:sz w:val="20"/>
          <w:szCs w:val="20"/>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0" w:lineRule="exact"/>
        <w:rPr>
          <w:sz w:val="20"/>
          <w:szCs w:val="20"/>
          <w:color w:val="auto"/>
        </w:rPr>
      </w:pPr>
    </w:p>
    <w:p>
      <w:pPr>
        <w:ind w:left="540" w:hanging="424"/>
        <w:spacing w:after="0"/>
        <w:tabs>
          <w:tab w:leader="none" w:pos="54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5" w:right="49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2752725</wp:posOffset>
            </wp:positionV>
            <wp:extent cx="2760345" cy="13798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60345" cy="1379855"/>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common stock being registered hereby (other than the underwriting discounts and commissions). All of such expenses are estimates, except for the Securities and Exchange Commission, or the SEC, registration fee, the Financial Industry Regulatory Authority Inc., or FINRA, filing fee and the stock exchange listing fee.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Listing fee</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vMerge w:val="restart"/>
          </w:tcPr>
          <w:p>
            <w:pPr>
              <w:spacing w:after="0"/>
              <w:rPr>
                <w:sz w:val="2"/>
                <w:szCs w:val="2"/>
                <w:color w:val="auto"/>
              </w:rPr>
            </w:pPr>
          </w:p>
        </w:tc>
        <w:tc>
          <w:tcPr>
            <w:tcW w:w="54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4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merits or otherwise in the defense of any action referred to above, the corporation must indemnify him or her against the expenses (including attorneys’ fees) which such officer or director has actually and reasonably incurred.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we must indemnify, and advance expenses to, our directors and officers to the full extent authorized by the DGCL.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Within the past three years, the Registrant has granted or issued the following securities of the Registrant which were not registered under the Securities Act.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 herein.</w:t>
      </w:r>
    </w:p>
    <w:p>
      <w:pPr>
        <w:spacing w:after="0" w:line="225" w:lineRule="exact"/>
        <w:rPr>
          <w:sz w:val="20"/>
          <w:szCs w:val="20"/>
          <w:color w:val="auto"/>
        </w:rPr>
      </w:pPr>
    </w:p>
    <w:p>
      <w:pPr>
        <w:ind w:left="1000" w:hanging="444"/>
        <w:spacing w:after="0"/>
        <w:tabs>
          <w:tab w:leader="none" w:pos="10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20" w:firstLine="436"/>
        <w:spacing w:after="0" w:line="254" w:lineRule="auto"/>
        <w:tabs>
          <w:tab w:leader="none" w:pos="81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66" w:lineRule="auto"/>
        <w:tabs>
          <w:tab w:leader="none" w:pos="8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320" w:top="455" w:right="57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24"/>
                <w:szCs w:val="24"/>
                <w:color w:val="auto"/>
              </w:rPr>
            </w:pPr>
          </w:p>
        </w:tc>
        <w:tc>
          <w:tcPr>
            <w:tcW w:w="988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Registration Rights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First Amended and Restated Credit Agreement, dated July 2, 2015, among Academy, Ltd., as Borrower, New Academy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Company, LLC, as Holdings, Associated Investors L.L.C. and Academy Managing Co., L.L.C, as Texas Intermediate Holdcos,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lending institutions from time to time party thereto and Morgan Stanley Senior Funding, Inc., as the Administrative Agent and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Term Loan Security Agreement, dated as of July 2, 2015, among Academy, Ltd., as Borrower, each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subsidiaries listed on the 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Term Loan Pledge Agreement, dated as of July 2, 2015, among New Academy Holding Company,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Holdings, Associated Investors L.L.C. and Academy Managing Co., L.L.C, as Texas Intermediate Holdcos, Academy, Ltd., as Borrower,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each of the subsidiaries listed on the signature pages thereto and Morgan Stanley Senior Funding, Inc., as collateral agent for the benefit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of the 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ABL Intercreditor Agreement, dated July 2, 2015, among JPMorgan Chase Bank, N.A., as agent for the ABL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therein, Morgan Stanley Senior Funding, Inc., as administrative agent and collateral agent for the Term Loan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therein, New Academy Holding Company, LLC, as Holdings, Associated Investors L.L.C. and Academy Managing Co., L.L.C, as Texas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Intermediate Holdcos, Academy, Ltd., as Borrower, and each of the subsidiaries of the Borrower listed on the signature pages thereto.</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First Amended and Restated ABL Credit Agreement, dated July 2, 2015, among Academy, Ltd., as Borrower, New Academy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Company, LLC, as Holdings, Associated Investors L.L.C. and Academy Managing Co., L.L.C, as Texas Intermediate Holdcos,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lending institutions from time to time party thereto and JPMorgan Chase Bank, N.A., as the Administrative Agent, the Collateral Agent,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Letter of Credit Issuer and the Swingline Lender.</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Amendment No. 1 to First Amended and Restated ABL Credit Agreement, dated as of May 22, 2018, among Academy, Ltd.,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Borrower, New Academy Holding Company, LLC, as Holdings, Associated Investors L.L.C. and Academy Managing Co.,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Texas Intermediate Holdcos, each of the Guarantors party thereto, each of the lenders party thereto and JPMorgan Chase Bank, N.A., 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Administrative Agent, the Collateral Agent, the Letter of Credit Issuer and the Swingline Lender.</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ABL Security Agreement, dated as of July 2, 2015, among Academy, Ltd., as Borrower, each of the subsidiaries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listed on the signature pages thereto, and JPMorgan Chase Bank, N.A., as collateral agent for the benefit of the 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ABL Pledge Agreement, dated July 2, 2015, among New Academy Holding Company, LLC, as Holdings,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Associated Investors L.L.C. and Academy Managing Co., L.L.C, as Texas Intermediate Holdcos, Academy, Ltd., as Borrower, each of</w:t>
            </w:r>
          </w:p>
        </w:tc>
        <w:tc>
          <w:tcPr>
            <w:tcW w:w="0" w:type="dxa"/>
            <w:vAlign w:val="bottom"/>
          </w:tcPr>
          <w:p>
            <w:pPr>
              <w:spacing w:after="0"/>
              <w:rPr>
                <w:sz w:val="1"/>
                <w:szCs w:val="1"/>
                <w:color w:val="auto"/>
              </w:rPr>
            </w:pPr>
          </w:p>
        </w:tc>
      </w:tr>
    </w:tbl>
    <w:p>
      <w:pPr>
        <w:ind w:left="1260" w:right="200"/>
        <w:spacing w:after="0" w:line="260" w:lineRule="auto"/>
        <w:rPr>
          <w:sz w:val="20"/>
          <w:szCs w:val="20"/>
          <w:color w:val="auto"/>
        </w:rPr>
      </w:pPr>
      <w:r>
        <w:rPr>
          <w:rFonts w:ascii="Times New Roman" w:cs="Times New Roman" w:eastAsia="Times New Roman" w:hAnsi="Times New Roman"/>
          <w:sz w:val="18"/>
          <w:szCs w:val="18"/>
          <w:color w:val="auto"/>
        </w:rPr>
        <w:t>the subsidiaries listed on the signature pages thereto and JPMorgan Chase Bank, N.A., as collateral agent for the benefit of the secured parties.</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Omnibus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under 2020 Omnibus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under 2020 Omnibus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Employee Stock Purchase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2017 Executive Option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2016 Executive Option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CEO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CEO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Independent Non-Employee Director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Ken C. Hicks Employment Agreement, dated August 2, 2018.</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Michael P. Mullican Employment Agreement, dated January 6, 2017 and amended on December 11, 2017.</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Steven (Steve) P. Lawrence Employment Agreement, dated January 29, 2019.</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Samuel (Sam) J. Johnson Employment Agreement, dated April 17, 2017.</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Kenneth (Ken) D. Attaway Employment Agreement, dated July 1, 2009, as amended and restated on August 30, 2011 and further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on August 6, 2012.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Stockholders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Management Unitholders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New Academy Holding Company, 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Academy Sports and Outdoors,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hanging="424"/>
        <w:spacing w:after="0"/>
        <w:tabs>
          <w:tab w:leader="none" w:pos="5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arrangements for director(s) and/or executive officer(s).</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its behalf by the undersigned, thereunto duly authorized, in</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on</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2020.</w:t>
            </w:r>
          </w:p>
        </w:tc>
        <w:tc>
          <w:tcPr>
            <w:tcW w:w="4040" w:type="dxa"/>
            <w:vAlign w:val="bottom"/>
          </w:tcPr>
          <w:p>
            <w:pPr>
              <w:spacing w:after="0"/>
              <w:rPr>
                <w:sz w:val="20"/>
                <w:szCs w:val="20"/>
                <w:color w:val="auto"/>
              </w:rPr>
            </w:pPr>
          </w:p>
        </w:tc>
      </w:tr>
      <w:tr>
        <w:trPr>
          <w:trHeight w:val="441"/>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432"/>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capacities indicated on</w:t>
            </w:r>
          </w:p>
        </w:tc>
        <w:tc>
          <w:tcPr>
            <w:tcW w:w="3760" w:type="dxa"/>
            <w:vAlign w:val="bottom"/>
          </w:tcPr>
          <w:p>
            <w:pPr>
              <w:jc w:val="right"/>
              <w:ind w:right="2632"/>
              <w:spacing w:after="0"/>
              <w:rPr>
                <w:sz w:val="20"/>
                <w:szCs w:val="20"/>
                <w:color w:val="auto"/>
              </w:rPr>
            </w:pPr>
            <w:r>
              <w:rPr>
                <w:rFonts w:ascii="Times New Roman" w:cs="Times New Roman" w:eastAsia="Times New Roman" w:hAnsi="Times New Roman"/>
                <w:sz w:val="18"/>
                <w:szCs w:val="18"/>
                <w:color w:val="auto"/>
              </w:rPr>
              <w:t>, 2020:</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1772"/>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12"/>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Ken C. Hicks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8"/>
              </w:rPr>
              <w:t>Michael P. Mullican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Heather A. Davis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7"/>
              </w:rPr>
              <w:t>Brian T. Marley</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6"/>
              </w:rPr>
              <w:t>Vishal V. Patel</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William S. Simon</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12"/>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Nathaniel H. Taylor</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Aileen X. Yan</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2"/>
    </w:lvl>
  </w:abstractNum>
  <w:abstractNum w:abstractNumId="1">
    <w:nsid w:val="5675FF36"/>
    <w:multiLevelType w:val="hybridMultilevel"/>
    <w:lvl w:ilvl="0">
      <w:lvlJc w:val="left"/>
      <w:lvlText w:val="(%1)"/>
      <w:numFmt w:val="decimal"/>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
      <w:numFmt w:val="bullet"/>
      <w:start w:val="1"/>
    </w:lvl>
  </w:abstractNum>
  <w:abstractNum w:abstractNumId="4">
    <w:nsid w:val="2708C9AF"/>
    <w:multiLevelType w:val="hybridMultilevel"/>
    <w:lvl w:ilvl="0">
      <w:lvlJc w:val="left"/>
      <w:lvlText w:val="%1)"/>
      <w:numFmt w:val="decimal"/>
      <w:start w:val="1"/>
    </w:lvl>
  </w:abstractNum>
  <w:abstractNum w:abstractNumId="5">
    <w:nsid w:val="5B25ACE2"/>
    <w:multiLevelType w:val="hybridMultilevel"/>
    <w:lvl w:ilvl="0">
      <w:lvlJc w:val="left"/>
      <w:lvlText w:val="%1)"/>
      <w:numFmt w:val="decimal"/>
      <w:start w:val="1"/>
    </w:lvl>
  </w:abstractNum>
  <w:abstractNum w:abstractNumId="6">
    <w:nsid w:val="175DFCF0"/>
    <w:multiLevelType w:val="hybridMultilevel"/>
    <w:lvl w:ilvl="0">
      <w:lvlJc w:val="left"/>
      <w:lvlText w:val="%1)"/>
      <w:numFmt w:val="decimal"/>
      <w:start w:val="4"/>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
      <w:numFmt w:val="bullet"/>
      <w:start w:val="1"/>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
      <w:numFmt w:val="bullet"/>
      <w:start w:val="1"/>
    </w:lvl>
  </w:abstractNum>
  <w:abstractNum w:abstractNumId="15">
    <w:nsid w:val="4DF72E4E"/>
    <w:multiLevelType w:val="hybridMultilevel"/>
    <w:lvl w:ilvl="0">
      <w:lvlJc w:val="left"/>
      <w:lvlText w:val="(%1)"/>
      <w:numFmt w:val="decimal"/>
      <w:start w:val="1"/>
    </w:lvl>
  </w:abstractNum>
  <w:abstractNum w:abstractNumId="16">
    <w:nsid w:val="5046B5A9"/>
    <w:multiLevelType w:val="hybridMultilevel"/>
    <w:lvl w:ilvl="0">
      <w:lvlJc w:val="left"/>
      <w:lvlText w:val="(%1)"/>
      <w:numFmt w:val="decimal"/>
      <w:start w:val="4"/>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1)"/>
      <w:numFmt w:val="lowerLetter"/>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
      <w:numFmt w:val="bullet"/>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
      <w:numFmt w:val="bullet"/>
      <w:start w:val="1"/>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1)"/>
      <w:numFmt w:val="lowerRoman"/>
      <w:start w:val="1"/>
    </w:lvl>
  </w:abstractNum>
  <w:abstractNum w:abstractNumId="39">
    <w:nsid w:val="2A31B62D"/>
    <w:multiLevelType w:val="hybridMultilevel"/>
    <w:lvl w:ilvl="0">
      <w:lvlJc w:val="left"/>
      <w:lvlText w:val="•"/>
      <w:numFmt w:val="bullet"/>
      <w:start w:val="1"/>
    </w:lvl>
  </w:abstractNum>
  <w:abstractNum w:abstractNumId="40">
    <w:nsid w:val="1849C29B"/>
    <w:multiLevelType w:val="hybridMultilevel"/>
    <w:lvl w:ilvl="0">
      <w:lvlJc w:val="left"/>
      <w:lvlText w:val="•"/>
      <w:numFmt w:val="bullet"/>
      <w:start w:val="1"/>
    </w:lvl>
  </w:abstractNum>
  <w:abstractNum w:abstractNumId="41">
    <w:nsid w:val="7DFF9D09"/>
    <w:multiLevelType w:val="hybridMultilevel"/>
    <w:lvl w:ilvl="0">
      <w:lvlJc w:val="left"/>
      <w:lvlText w:val="•"/>
      <w:numFmt w:val="bullet"/>
      <w:start w:val="1"/>
    </w:lvl>
  </w:abstractNum>
  <w:abstractNum w:abstractNumId="42">
    <w:nsid w:val="754342"/>
    <w:multiLevelType w:val="hybridMultilevel"/>
    <w:lvl w:ilvl="0">
      <w:lvlJc w:val="left"/>
      <w:lvlText w:val="(%1)"/>
      <w:numFmt w:val="decimal"/>
      <w:start w:val="2"/>
    </w:lvl>
  </w:abstractNum>
  <w:abstractNum w:abstractNumId="43">
    <w:nsid w:val="69E7F3E5"/>
    <w:multiLevelType w:val="hybridMultilevel"/>
    <w:lvl w:ilvl="0">
      <w:lvlJc w:val="left"/>
      <w:lvlText w:val="(%1)"/>
      <w:numFmt w:val="decimal"/>
      <w:start w:val="1"/>
    </w:lvl>
  </w:abstractNum>
  <w:abstractNum w:abstractNumId="44">
    <w:nsid w:val="2A6DE806"/>
    <w:multiLevelType w:val="hybridMultilevel"/>
    <w:lvl w:ilvl="0">
      <w:lvlJc w:val="left"/>
      <w:lvlText w:val="•"/>
      <w:numFmt w:val="bullet"/>
      <w:start w:val="1"/>
    </w:lvl>
  </w:abstractNum>
  <w:abstractNum w:abstractNumId="45">
    <w:nsid w:val="1816F8C4"/>
    <w:multiLevelType w:val="hybridMultilevel"/>
    <w:lvl w:ilvl="0">
      <w:lvlJc w:val="left"/>
      <w:lvlText w:val="•"/>
      <w:numFmt w:val="bullet"/>
      <w:start w:val="1"/>
    </w:lvl>
  </w:abstractNum>
  <w:abstractNum w:abstractNumId="46">
    <w:nsid w:val="37DF2233"/>
    <w:multiLevelType w:val="hybridMultilevel"/>
    <w:lvl w:ilvl="0">
      <w:lvlJc w:val="left"/>
      <w:lvlText w:val="•"/>
      <w:numFmt w:val="bullet"/>
      <w:start w:val="1"/>
    </w:lvl>
  </w:abstractNum>
  <w:abstractNum w:abstractNumId="47">
    <w:nsid w:val="7AB49DAF"/>
    <w:multiLevelType w:val="hybridMultilevel"/>
    <w:lvl w:ilvl="0">
      <w:lvlJc w:val="left"/>
      <w:lvlText w:val="•"/>
      <w:numFmt w:val="bullet"/>
      <w:start w:val="1"/>
    </w:lvl>
  </w:abstractNum>
  <w:abstractNum w:abstractNumId="48">
    <w:nsid w:val="759F82CD"/>
    <w:multiLevelType w:val="hybridMultilevel"/>
    <w:lvl w:ilvl="0">
      <w:lvlJc w:val="left"/>
      <w:lvlText w:val="•"/>
      <w:numFmt w:val="bullet"/>
      <w:start w:val="1"/>
    </w:lvl>
  </w:abstractNum>
  <w:abstractNum w:abstractNumId="49">
    <w:nsid w:val="61E74EA3"/>
    <w:multiLevelType w:val="hybridMultilevel"/>
    <w:lvl w:ilvl="0">
      <w:lvlJc w:val="left"/>
      <w:lvlText w:val="•"/>
      <w:numFmt w:val="bullet"/>
      <w:start w:val="1"/>
    </w:lvl>
  </w:abstractNum>
  <w:abstractNum w:abstractNumId="50">
    <w:nsid w:val="597B4D84"/>
    <w:multiLevelType w:val="hybridMultilevel"/>
    <w:lvl w:ilvl="0">
      <w:lvlJc w:val="left"/>
      <w:lvlText w:val="•"/>
      <w:numFmt w:val="bullet"/>
      <w:start w:val="1"/>
    </w:lvl>
  </w:abstractNum>
  <w:abstractNum w:abstractNumId="51">
    <w:nsid w:val="F819E7F"/>
    <w:multiLevelType w:val="hybridMultilevel"/>
    <w:lvl w:ilvl="0">
      <w:lvlJc w:val="left"/>
      <w:lvlText w:val="(%1)"/>
      <w:numFmt w:val="lowerLetter"/>
      <w:start w:val="1"/>
    </w:lvl>
  </w:abstractNum>
  <w:abstractNum w:abstractNumId="52">
    <w:nsid w:val="57C7D42D"/>
    <w:multiLevelType w:val="hybridMultilevel"/>
    <w:lvl w:ilvl="0">
      <w:lvlJc w:val="left"/>
      <w:lvlText w:val="(%1)"/>
      <w:numFmt w:val="lowerLetter"/>
      <w:start w:val="5"/>
    </w:lvl>
  </w:abstractNum>
  <w:abstractNum w:abstractNumId="53">
    <w:nsid w:val="312167AD"/>
    <w:multiLevelType w:val="hybridMultilevel"/>
    <w:lvl w:ilvl="0">
      <w:lvlJc w:val="left"/>
      <w:lvlText w:val="(%1)"/>
      <w:numFmt w:val="decimal"/>
      <w:start w:val="1"/>
    </w:lvl>
  </w:abstractNum>
  <w:abstractNum w:abstractNumId="54">
    <w:nsid w:val="631B64D4"/>
    <w:multiLevelType w:val="hybridMultilevel"/>
    <w:lvl w:ilvl="0">
      <w:lvlJc w:val="left"/>
      <w:lvlText w:val="(%1)"/>
      <w:numFmt w:val="decimal"/>
      <w:start w:val="1"/>
    </w:lvl>
  </w:abstractNum>
  <w:abstractNum w:abstractNumId="55">
    <w:nsid w:val="78B5E776"/>
    <w:multiLevelType w:val="hybridMultilevel"/>
    <w:lvl w:ilvl="0">
      <w:lvlJc w:val="left"/>
      <w:lvlText w:val="(%1)"/>
      <w:numFmt w:val="decimal"/>
      <w:start w:val="5"/>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1)"/>
      <w:numFmt w:val="decimal"/>
      <w:start w:val="1"/>
    </w:lvl>
  </w:abstractNum>
  <w:abstractNum w:abstractNumId="61">
    <w:nsid w:val="260D8C4A"/>
    <w:multiLevelType w:val="hybridMultilevel"/>
    <w:lvl w:ilvl="0">
      <w:lvlJc w:val="left"/>
      <w:lvlText w:val="(%1)"/>
      <w:numFmt w:val="decimal"/>
      <w:start w:val="1"/>
    </w:lvl>
  </w:abstractNum>
  <w:abstractNum w:abstractNumId="62">
    <w:nsid w:val="73D4D3C4"/>
    <w:multiLevelType w:val="hybridMultilevel"/>
    <w:lvl w:ilvl="0">
      <w:lvlJc w:val="left"/>
      <w:lvlText w:val="(%1)"/>
      <w:numFmt w:val="decimal"/>
      <w:start w:val="1"/>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1)"/>
      <w:numFmt w:val="decimal"/>
      <w:start w:val="2"/>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
      <w:numFmt w:val="bullet"/>
      <w:start w:val="1"/>
    </w:lvl>
  </w:abstractNum>
  <w:abstractNum w:abstractNumId="68">
    <w:nsid w:val="230F856C"/>
    <w:multiLevelType w:val="hybridMultilevel"/>
    <w:lvl w:ilvl="0">
      <w:lvlJc w:val="left"/>
      <w:lvlText w:val="•"/>
      <w:numFmt w:val="bullet"/>
      <w:start w:val="1"/>
    </w:lvl>
  </w:abstractNum>
  <w:abstractNum w:abstractNumId="69">
    <w:nsid w:val="6EAA85FB"/>
    <w:multiLevelType w:val="hybridMultilevel"/>
    <w:lvl w:ilvl="0">
      <w:lvlJc w:val="left"/>
      <w:lvlText w:val="•"/>
      <w:numFmt w:val="bullet"/>
      <w:start w:val="1"/>
    </w:lvl>
  </w:abstractNum>
  <w:abstractNum w:abstractNumId="70">
    <w:nsid w:val="3F06ECB2"/>
    <w:multiLevelType w:val="hybridMultilevel"/>
    <w:lvl w:ilvl="0">
      <w:lvlJc w:val="left"/>
      <w:lvlText w:val="•"/>
      <w:numFmt w:val="bullet"/>
      <w:start w:val="1"/>
    </w:lvl>
  </w:abstractNum>
  <w:abstractNum w:abstractNumId="71">
    <w:nsid w:val="3B594807"/>
    <w:multiLevelType w:val="hybridMultilevel"/>
    <w:lvl w:ilvl="0">
      <w:lvlJc w:val="left"/>
      <w:lvlText w:val="•"/>
      <w:numFmt w:val="bullet"/>
      <w:start w:val="1"/>
    </w:lvl>
  </w:abstractNum>
  <w:abstractNum w:abstractNumId="72">
    <w:nsid w:val="6CAA2304"/>
    <w:multiLevelType w:val="hybridMultilevel"/>
    <w:lvl w:ilvl="0">
      <w:lvlJc w:val="left"/>
      <w:lvlText w:val="•"/>
      <w:numFmt w:val="bullet"/>
      <w:start w:val="1"/>
    </w:lvl>
  </w:abstractNum>
  <w:abstractNum w:abstractNumId="73">
    <w:nsid w:val="3F7C2FF4"/>
    <w:multiLevelType w:val="hybridMultilevel"/>
    <w:lvl w:ilvl="0">
      <w:lvlJc w:val="left"/>
      <w:lvlText w:val="•"/>
      <w:numFmt w:val="bullet"/>
      <w:start w:val="1"/>
    </w:lvl>
  </w:abstractNum>
  <w:abstractNum w:abstractNumId="74">
    <w:nsid w:val="25413BEC"/>
    <w:multiLevelType w:val="hybridMultilevel"/>
    <w:lvl w:ilvl="0">
      <w:lvlJc w:val="left"/>
      <w:lvlText w:val="•"/>
      <w:numFmt w:val="bullet"/>
      <w:start w:val="1"/>
    </w:lvl>
  </w:abstractNum>
  <w:abstractNum w:abstractNumId="75">
    <w:nsid w:val="17180B0B"/>
    <w:multiLevelType w:val="hybridMultilevel"/>
    <w:lvl w:ilvl="0">
      <w:lvlJc w:val="left"/>
      <w:lvlText w:val="•"/>
      <w:numFmt w:val="bullet"/>
      <w:start w:val="1"/>
    </w:lvl>
  </w:abstractNum>
  <w:abstractNum w:abstractNumId="76">
    <w:nsid w:val="579328B9"/>
    <w:multiLevelType w:val="hybridMultilevel"/>
    <w:lvl w:ilvl="0">
      <w:lvlJc w:val="left"/>
      <w:lvlText w:val="•"/>
      <w:numFmt w:val="bullet"/>
      <w:start w:val="1"/>
    </w:lvl>
  </w:abstractNum>
  <w:abstractNum w:abstractNumId="77">
    <w:nsid w:val="5D205E20"/>
    <w:multiLevelType w:val="hybridMultilevel"/>
    <w:lvl w:ilvl="0">
      <w:lvlJc w:val="left"/>
      <w:lvlText w:val="•"/>
      <w:numFmt w:val="bullet"/>
      <w:start w:val="1"/>
    </w:lvl>
    <w:lvl w:ilvl="1">
      <w:lvlJc w:val="left"/>
      <w:lvlText w:val="•"/>
      <w:numFmt w:val="bullet"/>
      <w:start w:val="1"/>
    </w:lvl>
  </w:abstractNum>
  <w:abstractNum w:abstractNumId="78">
    <w:nsid w:val="11CCA8BA"/>
    <w:multiLevelType w:val="hybridMultilevel"/>
    <w:lvl w:ilvl="0">
      <w:lvlJc w:val="left"/>
      <w:lvlText w:val="•"/>
      <w:numFmt w:val="bullet"/>
      <w:start w:val="1"/>
    </w:lvl>
  </w:abstractNum>
  <w:abstractNum w:abstractNumId="79">
    <w:nsid w:val="4D32AB86"/>
    <w:multiLevelType w:val="hybridMultilevel"/>
    <w:lvl w:ilvl="0">
      <w:lvlJc w:val="left"/>
      <w:lvlText w:val="•"/>
      <w:numFmt w:val="bullet"/>
      <w:start w:val="1"/>
    </w:lvl>
    <w:lvl w:ilvl="1">
      <w:lvlJc w:val="left"/>
      <w:lvlText w:val="•"/>
      <w:numFmt w:val="bullet"/>
      <w:start w:val="1"/>
    </w:lvl>
  </w:abstractNum>
  <w:abstractNum w:abstractNumId="80">
    <w:nsid w:val="3F07ACC3"/>
    <w:multiLevelType w:val="hybridMultilevel"/>
    <w:lvl w:ilvl="0">
      <w:lvlJc w:val="left"/>
      <w:lvlText w:val="(%1)"/>
      <w:numFmt w:val="lowerRoman"/>
      <w:start w:val="3"/>
    </w:lvl>
  </w:abstractNum>
  <w:abstractNum w:abstractNumId="81">
    <w:nsid w:val="6B47F63E"/>
    <w:multiLevelType w:val="hybridMultilevel"/>
    <w:lvl w:ilvl="0">
      <w:lvlJc w:val="left"/>
      <w:lvlText w:val="(%1)"/>
      <w:numFmt w:val="decimal"/>
      <w:start w:val="1"/>
    </w:lvl>
  </w:abstractNum>
  <w:abstractNum w:abstractNumId="82">
    <w:nsid w:val="5CB44A05"/>
    <w:multiLevelType w:val="hybridMultilevel"/>
    <w:lvl w:ilvl="0">
      <w:lvlJc w:val="left"/>
      <w:lvlText w:val="(%1)"/>
      <w:numFmt w:val="decimal"/>
      <w:start w:val="2"/>
    </w:lvl>
  </w:abstractNum>
  <w:abstractNum w:abstractNumId="83">
    <w:nsid w:val="16CF80F1"/>
    <w:multiLevelType w:val="hybridMultilevel"/>
    <w:lvl w:ilvl="0">
      <w:lvlJc w:val="left"/>
      <w:lvlText w:val="•"/>
      <w:numFmt w:val="bullet"/>
      <w:start w:val="1"/>
    </w:lvl>
  </w:abstractNum>
  <w:abstractNum w:abstractNumId="84">
    <w:nsid w:val="1C695DEC"/>
    <w:multiLevelType w:val="hybridMultilevel"/>
    <w:lvl w:ilvl="0">
      <w:lvlJc w:val="left"/>
      <w:lvlText w:val="•"/>
      <w:numFmt w:val="bullet"/>
      <w:start w:val="1"/>
    </w:lvl>
  </w:abstractNum>
  <w:abstractNum w:abstractNumId="85">
    <w:nsid w:val="3FCFAED9"/>
    <w:multiLevelType w:val="hybridMultilevel"/>
    <w:lvl w:ilvl="0">
      <w:lvlJc w:val="left"/>
      <w:lvlText w:val="•"/>
      <w:numFmt w:val="bullet"/>
      <w:start w:val="1"/>
    </w:lvl>
  </w:abstractNum>
  <w:abstractNum w:abstractNumId="86">
    <w:nsid w:val="F8568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7">
    <w:nsid w:val="11B1CC33"/>
    <w:multiLevelType w:val="hybridMultilevel"/>
    <w:lvl w:ilvl="0">
      <w:lvlJc w:val="left"/>
      <w:lvlText w:val="•"/>
      <w:numFmt w:val="bullet"/>
      <w:start w:val="1"/>
    </w:lvl>
  </w:abstractNum>
  <w:abstractNum w:abstractNumId="88">
    <w:nsid w:val="2E22FBB7"/>
    <w:multiLevelType w:val="hybridMultilevel"/>
    <w:lvl w:ilvl="0">
      <w:lvlJc w:val="left"/>
      <w:lvlText w:val="•"/>
      <w:numFmt w:val="bullet"/>
      <w:start w:val="1"/>
    </w:lvl>
  </w:abstractNum>
  <w:abstractNum w:abstractNumId="89">
    <w:nsid w:val="29934699"/>
    <w:multiLevelType w:val="hybridMultilevel"/>
    <w:lvl w:ilvl="0">
      <w:lvlJc w:val="left"/>
      <w:lvlText w:val="•"/>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
      <w:numFmt w:val="bullet"/>
      <w:start w:val="1"/>
    </w:lvl>
  </w:abstractNum>
  <w:abstractNum w:abstractNumId="94">
    <w:nsid w:val="68B867D3"/>
    <w:multiLevelType w:val="hybridMultilevel"/>
    <w:lvl w:ilvl="0">
      <w:lvlJc w:val="left"/>
      <w:lvlText w:val="•"/>
      <w:numFmt w:val="bullet"/>
      <w:start w:val="1"/>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lvl w:ilvl="1">
      <w:lvlJc w:val="left"/>
      <w:lvlText w:val="•"/>
      <w:numFmt w:val="bullet"/>
      <w:start w:val="1"/>
    </w:lvl>
  </w:abstractNum>
  <w:abstractNum w:abstractNumId="97">
    <w:nsid w:val="32794FF7"/>
    <w:multiLevelType w:val="hybridMultilevel"/>
    <w:lvl w:ilvl="0">
      <w:lvlJc w:val="left"/>
      <w:lvlText w:val="•"/>
      <w:numFmt w:val="bullet"/>
      <w:start w:val="1"/>
    </w:lvl>
    <w:lvl w:ilvl="1">
      <w:lvlJc w:val="left"/>
      <w:lvlText w:val="•"/>
      <w:numFmt w:val="bullet"/>
      <w:start w:val="1"/>
    </w:lvl>
  </w:abstractNum>
  <w:abstractNum w:abstractNumId="98">
    <w:nsid w:val="5454945E"/>
    <w:multiLevelType w:val="hybridMultilevel"/>
    <w:lvl w:ilvl="0">
      <w:lvlJc w:val="left"/>
      <w:lvlText w:val="•"/>
      <w:numFmt w:val="bullet"/>
      <w:start w:val="1"/>
    </w:lvl>
  </w:abstractNum>
  <w:abstractNum w:abstractNumId="99">
    <w:nsid w:val="4DEFDFA0"/>
    <w:multiLevelType w:val="hybridMultilevel"/>
    <w:lvl w:ilvl="0">
      <w:lvlJc w:val="left"/>
      <w:lvlText w:val="•"/>
      <w:numFmt w:val="bullet"/>
      <w:start w:val="1"/>
    </w:lvl>
  </w:abstractNum>
  <w:abstractNum w:abstractNumId="100">
    <w:nsid w:val="2123D5F2"/>
    <w:multiLevelType w:val="hybridMultilevel"/>
    <w:lvl w:ilvl="0">
      <w:lvlJc w:val="left"/>
      <w:lvlText w:val="•"/>
      <w:numFmt w:val="bullet"/>
      <w:start w:val="1"/>
    </w:lvl>
    <w:lvl w:ilvl="1">
      <w:lvlJc w:val="left"/>
      <w:lvlText w:val="•"/>
      <w:numFmt w:val="bullet"/>
      <w:start w:val="1"/>
    </w:lvl>
  </w:abstractNum>
  <w:abstractNum w:abstractNumId="101">
    <w:nsid w:val="135B8110"/>
    <w:multiLevelType w:val="hybridMultilevel"/>
    <w:lvl w:ilvl="0">
      <w:lvlJc w:val="left"/>
      <w:lvlText w:val="•"/>
      <w:numFmt w:val="bullet"/>
      <w:start w:val="1"/>
    </w:lvl>
    <w:lvl w:ilvl="1">
      <w:lvlJc w:val="left"/>
      <w:lvlText w:val="•"/>
      <w:numFmt w:val="bullet"/>
      <w:start w:val="1"/>
    </w:lvl>
  </w:abstractNum>
  <w:abstractNum w:abstractNumId="102">
    <w:nsid w:val="94927A8"/>
    <w:multiLevelType w:val="hybridMultilevel"/>
    <w:lvl w:ilvl="0">
      <w:lvlJc w:val="left"/>
      <w:lvlText w:val="•"/>
      <w:numFmt w:val="bullet"/>
      <w:start w:val="1"/>
    </w:lvl>
    <w:lvl w:ilvl="1">
      <w:lvlJc w:val="left"/>
      <w:lvlText w:val="•"/>
      <w:numFmt w:val="bullet"/>
      <w:start w:val="1"/>
    </w:lvl>
  </w:abstractNum>
  <w:abstractNum w:abstractNumId="103">
    <w:nsid w:val="DCDF8F6"/>
    <w:multiLevelType w:val="hybridMultilevel"/>
    <w:lvl w:ilvl="0">
      <w:lvlJc w:val="left"/>
      <w:lvlText w:val="(%1)"/>
      <w:numFmt w:val="lowerRoman"/>
      <w:start w:val="10"/>
    </w:lvl>
  </w:abstractNum>
  <w:abstractNum w:abstractNumId="104">
    <w:nsid w:val="52D7B1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5">
    <w:nsid w:val="2E8A6394"/>
    <w:multiLevelType w:val="hybridMultilevel"/>
    <w:lvl w:ilvl="0">
      <w:lvlJc w:val="left"/>
      <w:lvlText w:val="•"/>
      <w:numFmt w:val="bullet"/>
      <w:start w:val="1"/>
    </w:lvl>
    <w:lvl w:ilvl="1">
      <w:lvlJc w:val="left"/>
      <w:lvlText w:val="•"/>
      <w:numFmt w:val="bullet"/>
      <w:start w:val="1"/>
    </w:lvl>
  </w:abstractNum>
  <w:abstractNum w:abstractNumId="106">
    <w:nsid w:val="24E60401"/>
    <w:multiLevelType w:val="hybridMultilevel"/>
    <w:lvl w:ilvl="0">
      <w:lvlJc w:val="left"/>
      <w:lvlText w:val="•"/>
      <w:numFmt w:val="bullet"/>
      <w:start w:val="1"/>
    </w:lvl>
    <w:lvl w:ilvl="1">
      <w:lvlJc w:val="left"/>
      <w:lvlText w:val="•"/>
      <w:numFmt w:val="bullet"/>
      <w:start w:val="1"/>
    </w:lvl>
  </w:abstractNum>
  <w:abstractNum w:abstractNumId="107">
    <w:nsid w:val="2A6AD9BE"/>
    <w:multiLevelType w:val="hybridMultilevel"/>
    <w:lvl w:ilvl="0">
      <w:lvlJc w:val="left"/>
      <w:lvlText w:val="•"/>
      <w:numFmt w:val="bullet"/>
      <w:start w:val="1"/>
    </w:lvl>
  </w:abstractNum>
  <w:abstractNum w:abstractNumId="108">
    <w:nsid w:val="BAAC1B4"/>
    <w:multiLevelType w:val="hybridMultilevel"/>
    <w:lvl w:ilvl="0">
      <w:lvlJc w:val="left"/>
      <w:lvlText w:val="•"/>
      <w:numFmt w:val="bullet"/>
      <w:start w:val="1"/>
    </w:lvl>
    <w:lvl w:ilvl="1">
      <w:lvlJc w:val="left"/>
      <w:lvlText w:val="•"/>
      <w:numFmt w:val="bullet"/>
      <w:start w:val="1"/>
    </w:lvl>
  </w:abstractNum>
  <w:abstractNum w:abstractNumId="109">
    <w:nsid w:val="36B2ACBC"/>
    <w:multiLevelType w:val="hybridMultilevel"/>
    <w:lvl w:ilvl="0">
      <w:lvlJc w:val="left"/>
      <w:lvlText w:val="•"/>
      <w:numFmt w:val="bullet"/>
      <w:start w:val="1"/>
    </w:lvl>
    <w:lvl w:ilvl="1">
      <w:lvlJc w:val="left"/>
      <w:lvlText w:val="•"/>
      <w:numFmt w:val="bullet"/>
      <w:start w:val="1"/>
    </w:lvl>
  </w:abstractNum>
  <w:abstractNum w:abstractNumId="110">
    <w:nsid w:val="779D8544"/>
    <w:multiLevelType w:val="hybridMultilevel"/>
    <w:lvl w:ilvl="0">
      <w:lvlJc w:val="left"/>
      <w:lvlText w:val="•"/>
      <w:numFmt w:val="bullet"/>
      <w:start w:val="1"/>
    </w:lvl>
    <w:lvl w:ilvl="1">
      <w:lvlJc w:val="left"/>
      <w:lvlText w:val="•"/>
      <w:numFmt w:val="bullet"/>
      <w:start w:val="1"/>
    </w:lvl>
  </w:abstractNum>
  <w:abstractNum w:abstractNumId="111">
    <w:nsid w:val="4AB26E78"/>
    <w:multiLevelType w:val="hybridMultilevel"/>
    <w:lvl w:ilvl="0">
      <w:lvlJc w:val="left"/>
      <w:lvlText w:val="•"/>
      <w:numFmt w:val="bullet"/>
      <w:start w:val="1"/>
    </w:lvl>
    <w:lvl w:ilvl="1">
      <w:lvlJc w:val="left"/>
      <w:lvlText w:val="•"/>
      <w:numFmt w:val="bullet"/>
      <w:start w:val="1"/>
    </w:lvl>
  </w:abstractNum>
  <w:abstractNum w:abstractNumId="112">
    <w:nsid w:val="21FAA2FA"/>
    <w:multiLevelType w:val="hybridMultilevel"/>
    <w:lvl w:ilvl="0">
      <w:lvlJc w:val="left"/>
      <w:lvlText w:val="(%1)"/>
      <w:numFmt w:val="lowerRoman"/>
      <w:start w:val="1"/>
    </w:lvl>
  </w:abstractNum>
  <w:abstractNum w:abstractNumId="113">
    <w:nsid w:val="5451CF49"/>
    <w:multiLevelType w:val="hybridMultilevel"/>
    <w:lvl w:ilvl="0">
      <w:lvlJc w:val="left"/>
      <w:lvlText w:val="(%1)"/>
      <w:numFmt w:val="decimal"/>
      <w:start w:val="1"/>
    </w:lvl>
  </w:abstractNum>
  <w:abstractNum w:abstractNumId="114">
    <w:nsid w:val="6181EF69"/>
    <w:multiLevelType w:val="hybridMultilevel"/>
    <w:lvl w:ilvl="0">
      <w:lvlJc w:val="left"/>
      <w:lvlText w:val="(%1)"/>
      <w:numFmt w:val="decimal"/>
      <w:start w:val="5"/>
    </w:lvl>
    <w:lvl w:ilvl="1">
      <w:lvlJc w:val="left"/>
      <w:lvlText w:val="(%2)"/>
      <w:numFmt w:val="lowerRoman"/>
      <w:start w:val="1"/>
    </w:lvl>
  </w:abstractNum>
  <w:abstractNum w:abstractNumId="115">
    <w:nsid w:val="3E6400E6"/>
    <w:multiLevelType w:val="hybridMultilevel"/>
    <w:lvl w:ilvl="0">
      <w:lvlJc w:val="left"/>
      <w:lvlText w:val="(%1)"/>
      <w:numFmt w:val="decimal"/>
      <w:start w:val="7"/>
    </w:lvl>
  </w:abstractNum>
  <w:abstractNum w:abstractNumId="116">
    <w:nsid w:val="14217E23"/>
    <w:multiLevelType w:val="hybridMultilevel"/>
    <w:lvl w:ilvl="0">
      <w:lvlJc w:val="left"/>
      <w:lvlText w:val="(%1)"/>
      <w:numFmt w:val="lowerRoman"/>
      <w:start w:val="4"/>
    </w:lvl>
  </w:abstractNum>
  <w:abstractNum w:abstractNumId="117">
    <w:nsid w:val="710757D0"/>
    <w:multiLevelType w:val="hybridMultilevel"/>
    <w:lvl w:ilvl="0">
      <w:lvlJc w:val="left"/>
      <w:lvlText w:val="(%1)"/>
      <w:numFmt w:val="lowerRoman"/>
      <w:start w:val="2"/>
    </w:lvl>
  </w:abstractNum>
  <w:abstractNum w:abstractNumId="118">
    <w:nsid w:val="5015CD1A"/>
    <w:multiLevelType w:val="hybridMultilevel"/>
    <w:lvl w:ilvl="0">
      <w:lvlJc w:val="left"/>
      <w:lvlText w:val="(%1)"/>
      <w:numFmt w:val="decimal"/>
      <w:start w:val="1"/>
    </w:lvl>
  </w:abstractNum>
  <w:abstractNum w:abstractNumId="119">
    <w:nsid w:val="424479DA"/>
    <w:multiLevelType w:val="hybridMultilevel"/>
    <w:lvl w:ilvl="0">
      <w:lvlJc w:val="left"/>
      <w:lvlText w:val="(%1)"/>
      <w:numFmt w:val="decimal"/>
      <w:start w:val="1"/>
    </w:lvl>
  </w:abstractNum>
  <w:abstractNum w:abstractNumId="120">
    <w:nsid w:val="1A9A9E69"/>
    <w:multiLevelType w:val="hybridMultilevel"/>
    <w:lvl w:ilvl="0">
      <w:lvlJc w:val="left"/>
      <w:lvlText w:val="(%1)"/>
      <w:numFmt w:val="decimal"/>
      <w:start w:val="6"/>
    </w:lvl>
  </w:abstractNum>
  <w:abstractNum w:abstractNumId="121">
    <w:nsid w:val="475E256A"/>
    <w:multiLevelType w:val="hybridMultilevel"/>
    <w:lvl w:ilvl="0">
      <w:lvlJc w:val="left"/>
      <w:lvlText w:val="(%1)"/>
      <w:numFmt w:val="decimal"/>
      <w:start w:val="20"/>
    </w:lvl>
  </w:abstractNum>
  <w:abstractNum w:abstractNumId="122">
    <w:nsid w:val="368DB37E"/>
    <w:multiLevelType w:val="hybridMultilevel"/>
    <w:lvl w:ilvl="0">
      <w:lvlJc w:val="left"/>
      <w:lvlText w:val="(%1)"/>
      <w:numFmt w:val="decimal"/>
      <w:start w:val="32"/>
    </w:lvl>
  </w:abstractNum>
  <w:abstractNum w:abstractNumId="123">
    <w:nsid w:val="6A3B714C"/>
    <w:multiLevelType w:val="hybridMultilevel"/>
    <w:lvl w:ilvl="0">
      <w:lvlJc w:val="left"/>
      <w:lvlText w:val="(%1)"/>
      <w:numFmt w:val="decimal"/>
      <w:start w:val="1"/>
    </w:lvl>
  </w:abstractNum>
  <w:abstractNum w:abstractNumId="124">
    <w:nsid w:val="327B517E"/>
    <w:multiLevelType w:val="hybridMultilevel"/>
    <w:lvl w:ilvl="0">
      <w:lvlJc w:val="left"/>
      <w:lvlText w:val="(%1)"/>
      <w:numFmt w:val="upperLetter"/>
      <w:start w:val="3"/>
    </w:lvl>
  </w:abstractNum>
  <w:abstractNum w:abstractNumId="125">
    <w:nsid w:val="1F461B51"/>
    <w:multiLevelType w:val="hybridMultilevel"/>
    <w:lvl w:ilvl="0">
      <w:lvlJc w:val="left"/>
      <w:lvlText w:val="(%1)"/>
      <w:numFmt w:val="lowerRoman"/>
      <w:start w:val="1"/>
    </w:lvl>
  </w:abstractNum>
  <w:abstractNum w:abstractNumId="126">
    <w:nsid w:val="29BACF25"/>
    <w:multiLevelType w:val="hybridMultilevel"/>
    <w:lvl w:ilvl="0">
      <w:lvlJc w:val="left"/>
      <w:lvlText w:val="(%1)"/>
      <w:numFmt w:val="lowerRoman"/>
      <w:start w:val="1"/>
    </w:lvl>
  </w:abstractNum>
  <w:abstractNum w:abstractNumId="127">
    <w:nsid w:val="5D5BABB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8">
    <w:nsid w:val="51BF6B4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9">
    <w:nsid w:val="7E0F6384"/>
    <w:multiLevelType w:val="hybridMultilevel"/>
    <w:lvl w:ilvl="0">
      <w:lvlJc w:val="left"/>
      <w:lvlText w:val="(%1)"/>
      <w:numFmt w:val="decimal"/>
      <w:start w:val="1"/>
    </w:lvl>
  </w:abstractNum>
  <w:abstractNum w:abstractNumId="130">
    <w:nsid w:val="2B4B8B53"/>
    <w:multiLevelType w:val="hybridMultilevel"/>
    <w:lvl w:ilvl="0">
      <w:lvlJc w:val="left"/>
      <w:lvlText w:val="(%1)"/>
      <w:numFmt w:val="decimal"/>
      <w:start w:val="2"/>
    </w:lvl>
  </w:abstractNum>
  <w:abstractNum w:abstractNumId="131">
    <w:nsid w:val="72E3413A"/>
    <w:multiLevelType w:val="hybridMultilevel"/>
    <w:lvl w:ilvl="0">
      <w:lvlJc w:val="left"/>
      <w:lvlText w:val="(%1)"/>
      <w:numFmt w:val="decimal"/>
      <w:start w:val="8"/>
    </w:lvl>
  </w:abstractNum>
  <w:abstractNum w:abstractNumId="132">
    <w:nsid w:val="116AE494"/>
    <w:multiLevelType w:val="hybridMultilevel"/>
    <w:lvl w:ilvl="0">
      <w:lvlJc w:val="left"/>
      <w:lvlText w:val="(%1)"/>
      <w:numFmt w:val="decimal"/>
      <w:start w:val="9"/>
    </w:lvl>
  </w:abstractNum>
  <w:abstractNum w:abstractNumId="133">
    <w:nsid w:val="3494B2FB"/>
    <w:multiLevelType w:val="hybridMultilevel"/>
    <w:lvl w:ilvl="0">
      <w:lvlJc w:val="left"/>
      <w:lvlText w:val="(%1)"/>
      <w:numFmt w:val="lowerRoman"/>
      <w:start w:val="1"/>
    </w:lvl>
  </w:abstractNum>
  <w:abstractNum w:abstractNumId="134">
    <w:nsid w:val="B13A31"/>
    <w:multiLevelType w:val="hybridMultilevel"/>
    <w:lvl w:ilvl="0">
      <w:lvlJc w:val="left"/>
      <w:lvlText w:val="(%1)"/>
      <w:numFmt w:val="lowerRoman"/>
      <w:start w:val="3"/>
    </w:lvl>
  </w:abstractNum>
  <w:abstractNum w:abstractNumId="135">
    <w:nsid w:val="644295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6">
    <w:nsid w:val="631F1690"/>
    <w:multiLevelType w:val="hybridMultilevel"/>
    <w:lvl w:ilvl="0">
      <w:lvlJc w:val="left"/>
      <w:lvlText w:val="(%1)"/>
      <w:numFmt w:val="decimal"/>
      <w:start w:val="1"/>
    </w:lvl>
  </w:abstractNum>
  <w:abstractNum w:abstractNumId="137">
    <w:nsid w:val="25973E32"/>
    <w:multiLevelType w:val="hybridMultilevel"/>
    <w:lvl w:ilvl="0">
      <w:lvlJc w:val="left"/>
      <w:lvlText w:val="(%1)"/>
      <w:numFmt w:val="decimal"/>
      <w:start w:val="5"/>
    </w:lvl>
  </w:abstractNum>
  <w:abstractNum w:abstractNumId="138">
    <w:nsid w:val="EAD6F57"/>
    <w:multiLevelType w:val="hybridMultilevel"/>
    <w:lvl w:ilvl="0">
      <w:lvlJc w:val="left"/>
      <w:lvlText w:val="(%1)"/>
      <w:numFmt w:val="lowerRoman"/>
      <w:start w:val="1"/>
    </w:lvl>
  </w:abstractNum>
  <w:abstractNum w:abstractNumId="139">
    <w:nsid w:val="6EC9D844"/>
    <w:multiLevelType w:val="hybridMultilevel"/>
    <w:lvl w:ilvl="0">
      <w:lvlJc w:val="left"/>
      <w:lvlText w:val="(%1)"/>
      <w:numFmt w:val="lowerRoman"/>
      <w:start w:val="3"/>
    </w:lvl>
  </w:abstractNum>
  <w:abstractNum w:abstractNumId="140">
    <w:nsid w:val="5C49EAE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1">
    <w:nsid w:val="64AF4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2">
    <w:nsid w:val="397C46BC"/>
    <w:multiLevelType w:val="hybridMultilevel"/>
    <w:lvl w:ilvl="0">
      <w:lvlJc w:val="left"/>
      <w:lvlText w:val="(%1)"/>
      <w:numFmt w:val="decimal"/>
      <w:start w:val="1"/>
    </w:lvl>
  </w:abstractNum>
  <w:abstractNum w:abstractNumId="143">
    <w:nsid w:val="7E448DE9"/>
    <w:multiLevelType w:val="hybridMultilevel"/>
    <w:lvl w:ilvl="0">
      <w:lvlJc w:val="left"/>
      <w:lvlText w:val="(%1)"/>
      <w:numFmt w:val="decimal"/>
      <w:start w:val="2"/>
    </w:lvl>
  </w:abstractNum>
  <w:abstractNum w:abstractNumId="144">
    <w:nsid w:val="5A9CC3E5"/>
    <w:multiLevelType w:val="hybridMultilevel"/>
    <w:lvl w:ilvl="0">
      <w:lvlJc w:val="left"/>
      <w:lvlText w:val="(%1)"/>
      <w:numFmt w:val="decimal"/>
      <w:start w:val="10"/>
    </w:lvl>
  </w:abstractNum>
  <w:abstractNum w:abstractNumId="145">
    <w:nsid w:val="1AFE3625"/>
    <w:multiLevelType w:val="hybridMultilevel"/>
    <w:lvl w:ilvl="0">
      <w:lvlJc w:val="left"/>
      <w:lvlText w:val="(%1)"/>
      <w:numFmt w:val="lowerLetter"/>
      <w:start w:val="25"/>
    </w:lvl>
  </w:abstractNum>
  <w:abstractNum w:abstractNumId="146">
    <w:nsid w:val="3CA88ECF"/>
    <w:multiLevelType w:val="hybridMultilevel"/>
    <w:lvl w:ilvl="0">
      <w:lvlJc w:val="left"/>
      <w:lvlText w:val="(%1)"/>
      <w:numFmt w:val="lowerRoman"/>
      <w:start w:val="1"/>
    </w:lvl>
  </w:abstractNum>
  <w:abstractNum w:abstractNumId="147">
    <w:nsid w:val="6EBE4208"/>
    <w:multiLevelType w:val="hybridMultilevel"/>
    <w:lvl w:ilvl="0">
      <w:lvlJc w:val="left"/>
      <w:lvlText w:val="(%1)"/>
      <w:numFmt w:val="lowerRoman"/>
      <w:start w:val="3"/>
    </w:lvl>
  </w:abstractNum>
  <w:abstractNum w:abstractNumId="148">
    <w:nsid w:val="C058DF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9">
    <w:nsid w:val="CBE5BE9"/>
    <w:multiLevelType w:val="hybridMultilevel"/>
    <w:lvl w:ilvl="0">
      <w:lvlJc w:val="left"/>
      <w:lvlText w:val="(%1)"/>
      <w:numFmt w:val="decimal"/>
      <w:start w:val="1"/>
    </w:lvl>
  </w:abstractNum>
  <w:abstractNum w:abstractNumId="150">
    <w:nsid w:val="3102BBE2"/>
    <w:multiLevelType w:val="hybridMultilevel"/>
    <w:lvl w:ilvl="0">
      <w:lvlJc w:val="left"/>
      <w:lvlText w:val="(%1)"/>
      <w:numFmt w:val="decimal"/>
      <w:start w:val="5"/>
    </w:lvl>
  </w:abstractNum>
  <w:abstractNum w:abstractNumId="151">
    <w:nsid w:val="26A02C5E"/>
    <w:multiLevelType w:val="hybridMultilevel"/>
    <w:lvl w:ilvl="0">
      <w:lvlJc w:val="left"/>
      <w:lvlText w:val="(%1)"/>
      <w:numFmt w:val="lowerRoman"/>
      <w:start w:val="1"/>
    </w:lvl>
  </w:abstractNum>
  <w:abstractNum w:abstractNumId="152">
    <w:nsid w:val="541C8153"/>
    <w:multiLevelType w:val="hybridMultilevel"/>
    <w:lvl w:ilvl="0">
      <w:lvlJc w:val="left"/>
      <w:lvlText w:val="(%1)"/>
      <w:numFmt w:val="lowerRoman"/>
      <w:start w:val="1"/>
    </w:lvl>
  </w:abstractNum>
  <w:abstractNum w:abstractNumId="153">
    <w:nsid w:val="67906F60"/>
    <w:multiLevelType w:val="hybridMultilevel"/>
    <w:lvl w:ilvl="0">
      <w:lvlJc w:val="left"/>
      <w:lvlText w:val="(%1)"/>
      <w:numFmt w:val="lowerRoman"/>
      <w:start w:val="4"/>
    </w:lvl>
  </w:abstractNum>
  <w:abstractNum w:abstractNumId="154">
    <w:nsid w:val="10DB9D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5">
    <w:nsid w:val="697D2D2"/>
    <w:multiLevelType w:val="hybridMultilevel"/>
    <w:lvl w:ilvl="0">
      <w:lvlJc w:val="left"/>
      <w:lvlText w:val="(%1)"/>
      <w:numFmt w:val="decimal"/>
      <w:start w:val="1"/>
    </w:lvl>
  </w:abstractNum>
  <w:abstractNum w:abstractNumId="156">
    <w:nsid w:val="6D68AB2"/>
    <w:multiLevelType w:val="hybridMultilevel"/>
    <w:lvl w:ilvl="0">
      <w:lvlJc w:val="left"/>
      <w:lvlText w:val="(%1)"/>
      <w:numFmt w:val="decimal"/>
      <w:start w:val="5"/>
    </w:lvl>
    <w:lvl w:ilvl="1">
      <w:lvlJc w:val="left"/>
      <w:lvlText w:val="(%2)"/>
      <w:numFmt w:val="upperLetter"/>
      <w:start w:val="2"/>
    </w:lvl>
  </w:abstractNum>
  <w:abstractNum w:abstractNumId="157">
    <w:nsid w:val="3A966CD0"/>
    <w:multiLevelType w:val="hybridMultilevel"/>
    <w:lvl w:ilvl="0">
      <w:lvlJc w:val="left"/>
      <w:lvlText w:val="%1"/>
      <w:numFmt w:val="decimal"/>
      <w:start w:val="1"/>
    </w:lvl>
    <w:lvl w:ilvl="1">
      <w:lvlJc w:val="left"/>
      <w:lvlText w:val="(%2)"/>
      <w:numFmt w:val="upperLetter"/>
      <w:start w:val="1"/>
    </w:lvl>
  </w:abstractNum>
  <w:abstractNum w:abstractNumId="158">
    <w:nsid w:val="63F37E85"/>
    <w:multiLevelType w:val="hybridMultilevel"/>
    <w:lvl w:ilvl="0">
      <w:lvlJc w:val="left"/>
      <w:lvlText w:val="(%1)"/>
      <w:numFmt w:val="decimal"/>
      <w:start w:val="9"/>
    </w:lvl>
    <w:lvl w:ilvl="1">
      <w:lvlJc w:val="left"/>
      <w:lvlText w:val="%2"/>
      <w:numFmt w:val="upperLetter"/>
      <w:start w:val="1"/>
    </w:lvl>
  </w:abstractNum>
  <w:abstractNum w:abstractNumId="159">
    <w:nsid w:val="5895F5FA"/>
    <w:multiLevelType w:val="hybridMultilevel"/>
    <w:lvl w:ilvl="0">
      <w:lvlJc w:val="left"/>
      <w:lvlText w:val="(%1)"/>
      <w:numFmt w:val="decimal"/>
      <w:start w:val="1"/>
    </w:lvl>
  </w:abstractNum>
  <w:abstractNum w:abstractNumId="160">
    <w:nsid w:val="38A5D054"/>
    <w:multiLevelType w:val="hybridMultilevel"/>
    <w:lvl w:ilvl="0">
      <w:lvlJc w:val="left"/>
      <w:lvlText w:val="*"/>
      <w:numFmt w:val="bullet"/>
      <w:start w:val="1"/>
    </w:lvl>
  </w:abstractNum>
  <w:abstractNum w:abstractNumId="161">
    <w:nsid w:val="F3F09D8"/>
    <w:multiLevelType w:val="hybridMultilevel"/>
    <w:lvl w:ilvl="0">
      <w:lvlJc w:val="left"/>
      <w:lvlText w:val="(%1)"/>
      <w:numFmt w:val="decimal"/>
      <w:start w:val="1"/>
    </w:lvl>
  </w:abstractNum>
  <w:abstractNum w:abstractNumId="162">
    <w:nsid w:val="4B793735"/>
    <w:multiLevelType w:val="hybridMultilevel"/>
    <w:lvl w:ilvl="0">
      <w:lvlJc w:val="left"/>
      <w:lvlText w:val="%1)"/>
      <w:numFmt w:val="decimal"/>
      <w:start w:val="1"/>
    </w:lvl>
  </w:abstractNum>
  <w:abstractNum w:abstractNumId="163">
    <w:nsid w:val="4A10B4E8"/>
    <w:multiLevelType w:val="hybridMultilevel"/>
    <w:lvl w:ilvl="0">
      <w:lvlJc w:val="left"/>
      <w:lvlText w:val="%1)"/>
      <w:numFmt w:val="decimal"/>
      <w:start w:val="6"/>
    </w:lvl>
  </w:abstractNum>
  <w:abstractNum w:abstractNumId="164">
    <w:nsid w:val="43D3BCD4"/>
    <w:multiLevelType w:val="hybridMultilevel"/>
    <w:lvl w:ilvl="0">
      <w:lvlJc w:val="left"/>
      <w:lvlText w:val="•"/>
      <w:numFmt w:val="bullet"/>
      <w:start w:val="1"/>
    </w:lvl>
  </w:abstractNum>
  <w:abstractNum w:abstractNumId="165">
    <w:nsid w:val="4C2A7166"/>
    <w:multiLevelType w:val="hybridMultilevel"/>
    <w:lvl w:ilvl="0">
      <w:lvlJc w:val="left"/>
      <w:lvlText w:val="•"/>
      <w:numFmt w:val="bullet"/>
      <w:start w:val="1"/>
    </w:lvl>
  </w:abstractNum>
  <w:abstractNum w:abstractNumId="166">
    <w:nsid w:val="2E534A82"/>
    <w:multiLevelType w:val="hybridMultilevel"/>
    <w:lvl w:ilvl="0">
      <w:lvlJc w:val="left"/>
      <w:lvlText w:val="(%1)"/>
      <w:numFmt w:val="lowerRoman"/>
      <w:start w:val="1"/>
    </w:lvl>
  </w:abstractNum>
  <w:abstractNum w:abstractNumId="167">
    <w:nsid w:val="26F2D364"/>
    <w:multiLevelType w:val="hybridMultilevel"/>
    <w:lvl w:ilvl="0">
      <w:lvlJc w:val="left"/>
      <w:lvlText w:val="•"/>
      <w:numFmt w:val="bullet"/>
      <w:start w:val="1"/>
    </w:lvl>
  </w:abstractNum>
  <w:abstractNum w:abstractNumId="168">
    <w:nsid w:val="71C1AF98"/>
    <w:multiLevelType w:val="hybridMultilevel"/>
    <w:lvl w:ilvl="0">
      <w:lvlJc w:val="left"/>
      <w:lvlText w:val="•"/>
      <w:numFmt w:val="bullet"/>
      <w:start w:val="1"/>
    </w:lvl>
  </w:abstractNum>
  <w:abstractNum w:abstractNumId="169">
    <w:nsid w:val="3D00B9D9"/>
    <w:multiLevelType w:val="hybridMultilevel"/>
    <w:lvl w:ilvl="0">
      <w:lvlJc w:val="left"/>
      <w:lvlText w:val="•"/>
      <w:numFmt w:val="bullet"/>
      <w:start w:val="1"/>
    </w:lvl>
  </w:abstractNum>
  <w:abstractNum w:abstractNumId="170">
    <w:nsid w:val="15BCABA8"/>
    <w:multiLevelType w:val="hybridMultilevel"/>
    <w:lvl w:ilvl="0">
      <w:lvlJc w:val="left"/>
      <w:lvlText w:val="•"/>
      <w:numFmt w:val="bullet"/>
      <w:start w:val="1"/>
    </w:lvl>
  </w:abstractNum>
  <w:abstractNum w:abstractNumId="171">
    <w:nsid w:val="4E0B9A87"/>
    <w:multiLevelType w:val="hybridMultilevel"/>
    <w:lvl w:ilvl="0">
      <w:lvlJc w:val="left"/>
      <w:lvlText w:val="•"/>
      <w:numFmt w:val="bullet"/>
      <w:start w:val="1"/>
    </w:lvl>
  </w:abstractNum>
  <w:abstractNum w:abstractNumId="172">
    <w:nsid w:val="434BAE75"/>
    <w:multiLevelType w:val="hybridMultilevel"/>
    <w:lvl w:ilvl="0">
      <w:lvlJc w:val="left"/>
      <w:lvlText w:val="•"/>
      <w:numFmt w:val="bullet"/>
      <w:start w:val="1"/>
    </w:lvl>
  </w:abstractNum>
  <w:abstractNum w:abstractNumId="173">
    <w:nsid w:val="4F38F265"/>
    <w:multiLevelType w:val="hybridMultilevel"/>
    <w:lvl w:ilvl="0">
      <w:lvlJc w:val="left"/>
      <w:lvlText w:val="•"/>
      <w:numFmt w:val="bullet"/>
      <w:start w:val="1"/>
    </w:lvl>
  </w:abstractNum>
  <w:abstractNum w:abstractNumId="174">
    <w:nsid w:val="4C502870"/>
    <w:multiLevelType w:val="hybridMultilevel"/>
    <w:lvl w:ilvl="0">
      <w:lvlJc w:val="left"/>
      <w:lvlText w:val="(%1)"/>
      <w:numFmt w:val="lowerLetter"/>
      <w:start w:val="1"/>
    </w:lvl>
  </w:abstractNum>
  <w:abstractNum w:abstractNumId="175">
    <w:nsid w:val="1DE8725A"/>
    <w:multiLevelType w:val="hybridMultilevel"/>
    <w:lvl w:ilvl="0">
      <w:lvlJc w:val="left"/>
      <w:lvlText w:val="(%1)"/>
      <w:numFmt w:val="lowerLetter"/>
      <w:start w:val="1"/>
    </w:lvl>
  </w:abstractNum>
  <w:abstractNum w:abstractNumId="176">
    <w:nsid w:val="6A37288A"/>
    <w:multiLevelType w:val="hybridMultilevel"/>
    <w:lvl w:ilvl="0">
      <w:lvlJc w:val="left"/>
      <w:lvlText w:val="(%1)"/>
      <w:numFmt w:val="lowerRoman"/>
      <w:start w:val="1"/>
    </w:lvl>
  </w:abstractNum>
  <w:abstractNum w:abstractNumId="177">
    <w:nsid w:val="8F8B73F"/>
    <w:multiLevelType w:val="hybridMultilevel"/>
    <w:lvl w:ilvl="0">
      <w:lvlJc w:val="left"/>
      <w:lvlText w:val="(%1)"/>
      <w:numFmt w:val="lowerRoman"/>
      <w:start w:val="2"/>
    </w:lvl>
  </w:abstractNum>
  <w:abstractNum w:abstractNumId="178">
    <w:nsid w:val="CA6B462"/>
    <w:multiLevelType w:val="hybridMultilevel"/>
    <w:lvl w:ilvl="0">
      <w:lvlJc w:val="left"/>
      <w:lvlText w:val="(%1)"/>
      <w:numFmt w:val="lowerLetter"/>
      <w:start w:val="1"/>
    </w:lvl>
  </w:abstractNum>
  <w:abstractNum w:abstractNumId="179">
    <w:nsid w:val="763CB680"/>
    <w:multiLevelType w:val="hybridMultilevel"/>
    <w:lvl w:ilvl="0">
      <w:lvlJc w:val="left"/>
      <w:lvlText w:val="(%1)"/>
      <w:numFmt w:val="lowerLetter"/>
      <w:start w:val="1"/>
    </w:lvl>
  </w:abstractNum>
  <w:abstractNum w:abstractNumId="180">
    <w:nsid w:val="15B71329"/>
    <w:multiLevelType w:val="hybridMultilevel"/>
    <w:lvl w:ilvl="0">
      <w:lvlJc w:val="left"/>
      <w:lvlText w:val="\emdash "/>
      <w:numFmt w:val="bullet"/>
      <w:start w:val="1"/>
    </w:lvl>
  </w:abstractNum>
  <w:abstractNum w:abstractNumId="181">
    <w:nsid w:val="3DA97044"/>
    <w:multiLevelType w:val="hybridMultilevel"/>
    <w:lvl w:ilvl="0">
      <w:lvlJc w:val="left"/>
      <w:lvlText w:val="(%1)"/>
      <w:numFmt w:val="decimal"/>
      <w:start w:val="993"/>
    </w:lvl>
  </w:abstractNum>
  <w:abstractNum w:abstractNumId="182">
    <w:nsid w:val="1CDCE2DE"/>
    <w:multiLevelType w:val="hybridMultilevel"/>
    <w:lvl w:ilvl="0">
      <w:lvlJc w:val="left"/>
      <w:lvlText w:val="%1."/>
      <w:numFmt w:val="decimal"/>
      <w:start w:val="1"/>
    </w:lvl>
  </w:abstractNum>
  <w:abstractNum w:abstractNumId="183">
    <w:nsid w:val="69D3947C"/>
    <w:multiLevelType w:val="hybridMultilevel"/>
    <w:lvl w:ilvl="0">
      <w:lvlJc w:val="left"/>
      <w:lvlText w:val="%1."/>
      <w:numFmt w:val="decimal"/>
      <w:start w:val="2"/>
    </w:lvl>
  </w:abstractNum>
  <w:abstractNum w:abstractNumId="184">
    <w:nsid w:val="2539DFA5"/>
    <w:multiLevelType w:val="hybridMultilevel"/>
    <w:lvl w:ilvl="0">
      <w:lvlJc w:val="left"/>
      <w:lvlText w:val="%1."/>
      <w:numFmt w:val="decimal"/>
      <w:start w:val="3"/>
    </w:lvl>
  </w:abstractNum>
  <w:abstractNum w:abstractNumId="185">
    <w:nsid w:val="2DB88089"/>
    <w:multiLevelType w:val="hybridMultilevel"/>
    <w:lvl w:ilvl="0">
      <w:lvlJc w:val="left"/>
      <w:lvlText w:val="(%1)"/>
      <w:numFmt w:val="decimal"/>
      <w:start w:val="1"/>
    </w:lvl>
  </w:abstractNum>
  <w:abstractNum w:abstractNumId="186">
    <w:nsid w:val="706B674E"/>
    <w:multiLevelType w:val="hybridMultilevel"/>
    <w:lvl w:ilvl="0">
      <w:lvlJc w:val="left"/>
      <w:lvlText w:val="%1."/>
      <w:numFmt w:val="decimal"/>
      <w:start w:val="4"/>
    </w:lvl>
  </w:abstractNum>
  <w:abstractNum w:abstractNumId="187">
    <w:nsid w:val="2C106A57"/>
    <w:multiLevelType w:val="hybridMultilevel"/>
    <w:lvl w:ilvl="0">
      <w:lvlJc w:val="left"/>
      <w:lvlText w:val="(%1)"/>
      <w:numFmt w:val="decimal"/>
      <w:start w:val="1"/>
    </w:lvl>
  </w:abstractNum>
  <w:abstractNum w:abstractNumId="188">
    <w:nsid w:val="684EED59"/>
    <w:multiLevelType w:val="hybridMultilevel"/>
    <w:lvl w:ilvl="0">
      <w:lvlJc w:val="left"/>
      <w:lvlText w:val="%1."/>
      <w:numFmt w:val="decimal"/>
      <w:start w:val="5"/>
    </w:lvl>
  </w:abstractNum>
  <w:abstractNum w:abstractNumId="189">
    <w:nsid w:val="545EE5D3"/>
    <w:multiLevelType w:val="hybridMultilevel"/>
    <w:lvl w:ilvl="0">
      <w:lvlJc w:val="left"/>
      <w:lvlText w:val="(%1)"/>
      <w:numFmt w:val="decimal"/>
      <w:start w:val="1"/>
    </w:lvl>
  </w:abstractNum>
  <w:abstractNum w:abstractNumId="190">
    <w:nsid w:val="4A66051"/>
    <w:multiLevelType w:val="hybridMultilevel"/>
    <w:lvl w:ilvl="0">
      <w:lvlJc w:val="left"/>
      <w:lvlText w:val="%1."/>
      <w:numFmt w:val="decimal"/>
      <w:start w:val="6"/>
    </w:lvl>
  </w:abstractNum>
  <w:abstractNum w:abstractNumId="191">
    <w:nsid w:val="20F4BDAD"/>
    <w:multiLevelType w:val="hybridMultilevel"/>
    <w:lvl w:ilvl="0">
      <w:lvlJc w:val="left"/>
      <w:lvlText w:val="•"/>
      <w:numFmt w:val="bullet"/>
      <w:start w:val="1"/>
    </w:lvl>
  </w:abstractNum>
  <w:abstractNum w:abstractNumId="192">
    <w:nsid w:val="639DEFAC"/>
    <w:multiLevelType w:val="hybridMultilevel"/>
    <w:lvl w:ilvl="0">
      <w:lvlJc w:val="left"/>
      <w:lvlText w:val="%1."/>
      <w:numFmt w:val="decimal"/>
      <w:start w:val="7"/>
    </w:lvl>
  </w:abstractNum>
  <w:abstractNum w:abstractNumId="193">
    <w:nsid w:val="501F9786"/>
    <w:multiLevelType w:val="hybridMultilevel"/>
    <w:lvl w:ilvl="0">
      <w:lvlJc w:val="left"/>
      <w:lvlText w:val="%1."/>
      <w:numFmt w:val="decimal"/>
      <w:start w:val="8"/>
    </w:lvl>
  </w:abstractNum>
  <w:abstractNum w:abstractNumId="194">
    <w:nsid w:val="6B057295"/>
    <w:multiLevelType w:val="hybridMultilevel"/>
    <w:lvl w:ilvl="0">
      <w:lvlJc w:val="left"/>
      <w:lvlText w:val="%1."/>
      <w:numFmt w:val="decimal"/>
      <w:start w:val="9"/>
    </w:lvl>
  </w:abstractNum>
  <w:abstractNum w:abstractNumId="195">
    <w:nsid w:val="2771AC80"/>
    <w:multiLevelType w:val="hybridMultilevel"/>
    <w:lvl w:ilvl="0">
      <w:lvlJc w:val="left"/>
      <w:lvlText w:val="%1."/>
      <w:numFmt w:val="decimal"/>
      <w:start w:val="10"/>
    </w:lvl>
  </w:abstractNum>
  <w:abstractNum w:abstractNumId="196">
    <w:nsid w:val="1C4A08EC"/>
    <w:multiLevelType w:val="hybridMultilevel"/>
    <w:lvl w:ilvl="0">
      <w:lvlJc w:val="left"/>
      <w:lvlText w:val="%1."/>
      <w:numFmt w:val="decimal"/>
      <w:start w:val="12"/>
    </w:lvl>
  </w:abstractNum>
  <w:abstractNum w:abstractNumId="197">
    <w:nsid w:val="1958BD17"/>
    <w:multiLevelType w:val="hybridMultilevel"/>
    <w:lvl w:ilvl="0">
      <w:lvlJc w:val="left"/>
      <w:lvlText w:val="%1."/>
      <w:numFmt w:val="decimal"/>
      <w:start w:val="13"/>
    </w:lvl>
  </w:abstractNum>
  <w:abstractNum w:abstractNumId="198">
    <w:nsid w:val="4E647FE4"/>
    <w:multiLevelType w:val="hybridMultilevel"/>
    <w:lvl w:ilvl="0">
      <w:lvlJc w:val="left"/>
      <w:lvlText w:val="%1."/>
      <w:numFmt w:val="decimal"/>
      <w:start w:val="1"/>
    </w:lvl>
  </w:abstractNum>
  <w:abstractNum w:abstractNumId="199">
    <w:nsid w:val="E0BB885"/>
    <w:multiLevelType w:val="hybridMultilevel"/>
    <w:lvl w:ilvl="0">
      <w:lvlJc w:val="left"/>
      <w:lvlText w:val="%1."/>
      <w:numFmt w:val="decimal"/>
      <w:start w:val="2"/>
    </w:lvl>
  </w:abstractNum>
  <w:abstractNum w:abstractNumId="200">
    <w:nsid w:val="565976F1"/>
    <w:multiLevelType w:val="hybridMultilevel"/>
    <w:lvl w:ilvl="0">
      <w:lvlJc w:val="left"/>
      <w:lvlText w:val="%1."/>
      <w:numFmt w:val="decimal"/>
      <w:start w:val="3"/>
    </w:lvl>
  </w:abstractNum>
  <w:abstractNum w:abstractNumId="201">
    <w:nsid w:val="64212B8C"/>
    <w:multiLevelType w:val="hybridMultilevel"/>
    <w:lvl w:ilvl="0">
      <w:lvlJc w:val="left"/>
      <w:lvlText w:val="(%1)"/>
      <w:numFmt w:val="decimal"/>
      <w:start w:val="1"/>
    </w:lvl>
  </w:abstractNum>
  <w:abstractNum w:abstractNumId="202">
    <w:nsid w:val="5C17530C"/>
    <w:multiLevelType w:val="hybridMultilevel"/>
    <w:lvl w:ilvl="0">
      <w:lvlJc w:val="left"/>
      <w:lvlText w:val="(%1)"/>
      <w:numFmt w:val="decimal"/>
      <w:start w:val="2"/>
    </w:lvl>
  </w:abstractNum>
  <w:abstractNum w:abstractNumId="203">
    <w:nsid w:val="19A52566"/>
    <w:multiLevelType w:val="hybridMultilevel"/>
    <w:lvl w:ilvl="0">
      <w:lvlJc w:val="left"/>
      <w:lvlText w:val="%1."/>
      <w:numFmt w:val="decimal"/>
      <w:start w:val="4"/>
    </w:lvl>
  </w:abstractNum>
  <w:abstractNum w:abstractNumId="204">
    <w:nsid w:val="335A1DF1"/>
    <w:multiLevelType w:val="hybridMultilevel"/>
    <w:lvl w:ilvl="0">
      <w:lvlJc w:val="left"/>
      <w:lvlText w:val="(%1)"/>
      <w:numFmt w:val="decimal"/>
      <w:start w:val="1"/>
    </w:lvl>
  </w:abstractNum>
  <w:abstractNum w:abstractNumId="205">
    <w:nsid w:val="28677B7C"/>
    <w:multiLevelType w:val="hybridMultilevel"/>
    <w:lvl w:ilvl="0">
      <w:lvlJc w:val="left"/>
      <w:lvlText w:val="•"/>
      <w:numFmt w:val="bullet"/>
      <w:start w:val="1"/>
    </w:lvl>
  </w:abstractNum>
  <w:abstractNum w:abstractNumId="206">
    <w:nsid w:val="378D97C0"/>
    <w:multiLevelType w:val="hybridMultilevel"/>
    <w:lvl w:ilvl="0">
      <w:lvlJc w:val="left"/>
      <w:lvlText w:val="%1."/>
      <w:numFmt w:val="decimal"/>
      <w:start w:val="5"/>
    </w:lvl>
  </w:abstractNum>
  <w:abstractNum w:abstractNumId="207">
    <w:nsid w:val="1D91467C"/>
    <w:multiLevelType w:val="hybridMultilevel"/>
    <w:lvl w:ilvl="0">
      <w:lvlJc w:val="left"/>
      <w:lvlText w:val="(%1)"/>
      <w:numFmt w:val="decimal"/>
      <w:start w:val="1"/>
    </w:lvl>
  </w:abstractNum>
  <w:abstractNum w:abstractNumId="208">
    <w:nsid w:val="316032BB"/>
    <w:multiLevelType w:val="hybridMultilevel"/>
    <w:lvl w:ilvl="0">
      <w:lvlJc w:val="left"/>
      <w:lvlText w:val="%1."/>
      <w:numFmt w:val="decimal"/>
      <w:start w:val="6"/>
    </w:lvl>
  </w:abstractNum>
  <w:abstractNum w:abstractNumId="209">
    <w:nsid w:val="44344C22"/>
    <w:multiLevelType w:val="hybridMultilevel"/>
    <w:lvl w:ilvl="0">
      <w:lvlJc w:val="left"/>
      <w:lvlText w:val="•"/>
      <w:numFmt w:val="bullet"/>
      <w:start w:val="1"/>
    </w:lvl>
  </w:abstractNum>
  <w:abstractNum w:abstractNumId="210">
    <w:nsid w:val="13CDFCFC"/>
    <w:multiLevelType w:val="hybridMultilevel"/>
    <w:lvl w:ilvl="0">
      <w:lvlJc w:val="left"/>
      <w:lvlText w:val="%1."/>
      <w:numFmt w:val="decimal"/>
      <w:start w:val="7"/>
    </w:lvl>
  </w:abstractNum>
  <w:abstractNum w:abstractNumId="211">
    <w:nsid w:val="471745E4"/>
    <w:multiLevelType w:val="hybridMultilevel"/>
    <w:lvl w:ilvl="0">
      <w:lvlJc w:val="left"/>
      <w:lvlText w:val="%1."/>
      <w:numFmt w:val="decimal"/>
      <w:start w:val="8"/>
    </w:lvl>
  </w:abstractNum>
  <w:abstractNum w:abstractNumId="212">
    <w:nsid w:val="1DDBC66"/>
    <w:multiLevelType w:val="hybridMultilevel"/>
    <w:lvl w:ilvl="0">
      <w:lvlJc w:val="left"/>
      <w:lvlText w:val="%1."/>
      <w:numFmt w:val="decimal"/>
      <w:start w:val="9"/>
    </w:lvl>
  </w:abstractNum>
  <w:abstractNum w:abstractNumId="213">
    <w:nsid w:val="30AADFDA"/>
    <w:multiLevelType w:val="hybridMultilevel"/>
    <w:lvl w:ilvl="0">
      <w:lvlJc w:val="left"/>
      <w:lvlText w:val="%1."/>
      <w:numFmt w:val="decimal"/>
      <w:start w:val="10"/>
    </w:lvl>
  </w:abstractNum>
  <w:abstractNum w:abstractNumId="214">
    <w:nsid w:val="30EADA61"/>
    <w:multiLevelType w:val="hybridMultilevel"/>
    <w:lvl w:ilvl="0">
      <w:lvlJc w:val="left"/>
      <w:lvlText w:val="(%1)"/>
      <w:numFmt w:val="decimal"/>
      <w:start w:val="1"/>
    </w:lvl>
  </w:abstractNum>
  <w:abstractNum w:abstractNumId="215">
    <w:nsid w:val="27179C0B"/>
    <w:multiLevelType w:val="hybridMultilevel"/>
    <w:lvl w:ilvl="0">
      <w:lvlJc w:val="left"/>
      <w:lvlText w:val="(%1)"/>
      <w:numFmt w:val="decimal"/>
      <w:start w:val="1"/>
    </w:lvl>
  </w:abstractNum>
  <w:abstractNum w:abstractNumId="216">
    <w:nsid w:val="5E636063"/>
    <w:multiLevelType w:val="hybridMultilevel"/>
    <w:lvl w:ilvl="0">
      <w:lvlJc w:val="left"/>
      <w:lvlText w:val="%1."/>
      <w:numFmt w:val="decimal"/>
      <w:start w:val="11"/>
    </w:lvl>
  </w:abstractNum>
  <w:abstractNum w:abstractNumId="217">
    <w:nsid w:val="215641AF"/>
    <w:multiLevelType w:val="hybridMultilevel"/>
    <w:lvl w:ilvl="0">
      <w:lvlJc w:val="left"/>
      <w:lvlText w:val="%1."/>
      <w:numFmt w:val="decimal"/>
      <w:start w:val="12"/>
    </w:lvl>
  </w:abstractNum>
  <w:abstractNum w:abstractNumId="218">
    <w:nsid w:val="53280662"/>
    <w:multiLevelType w:val="hybridMultilevel"/>
    <w:lvl w:ilvl="0">
      <w:lvlJc w:val="left"/>
      <w:lvlText w:val="%1."/>
      <w:numFmt w:val="decimal"/>
      <w:start w:val="13"/>
    </w:lvl>
  </w:abstractNum>
  <w:abstractNum w:abstractNumId="219">
    <w:nsid w:val="46B24DBC"/>
    <w:multiLevelType w:val="hybridMultilevel"/>
    <w:lvl w:ilvl="0">
      <w:lvlJc w:val="left"/>
      <w:lvlText w:val="%1."/>
      <w:numFmt w:val="decimal"/>
      <w:start w:val="14"/>
    </w:lvl>
  </w:abstractNum>
  <w:abstractNum w:abstractNumId="220">
    <w:nsid w:val="75B52783"/>
    <w:multiLevelType w:val="hybridMultilevel"/>
    <w:lvl w:ilvl="0">
      <w:lvlJc w:val="left"/>
      <w:lvlText w:val="(%1)"/>
      <w:numFmt w:val="decimal"/>
      <w:start w:val="1"/>
    </w:lvl>
  </w:abstractNum>
  <w:abstractNum w:abstractNumId="221">
    <w:nsid w:val="57CE66B4"/>
    <w:multiLevelType w:val="hybridMultilevel"/>
    <w:lvl w:ilvl="0">
      <w:lvlJc w:val="left"/>
      <w:lvlText w:val="(%1)"/>
      <w:numFmt w:val="decimal"/>
      <w:start w:val="2"/>
    </w:lvl>
  </w:abstractNum>
  <w:abstractNum w:abstractNumId="222">
    <w:nsid w:val="67A70B69"/>
    <w:multiLevelType w:val="hybridMultilevel"/>
    <w:lvl w:ilvl="0">
      <w:lvlJc w:val="left"/>
      <w:lvlText w:val="(%1)"/>
      <w:numFmt w:val="decimal"/>
      <w:start w:val="1"/>
    </w:lvl>
  </w:abstractNum>
  <w:abstractNum w:abstractNumId="223">
    <w:nsid w:val="5953172F"/>
    <w:multiLevelType w:val="hybridMultilevel"/>
    <w:lvl w:ilvl="0">
      <w:lvlJc w:val="left"/>
      <w:lvlText w:val="(%1)"/>
      <w:numFmt w:val="decimal"/>
      <w:start w:val="1"/>
    </w:lvl>
  </w:abstractNum>
  <w:abstractNum w:abstractNumId="224">
    <w:nsid w:val="27EDFE3A"/>
    <w:multiLevelType w:val="hybridMultilevel"/>
    <w:lvl w:ilvl="0">
      <w:lvlJc w:val="left"/>
      <w:lvlText w:val="%1."/>
      <w:numFmt w:val="decimal"/>
      <w:start w:val="15"/>
    </w:lvl>
  </w:abstractNum>
  <w:abstractNum w:abstractNumId="225">
    <w:nsid w:val="52AC7DFF"/>
    <w:multiLevelType w:val="hybridMultilevel"/>
    <w:lvl w:ilvl="0">
      <w:lvlJc w:val="left"/>
      <w:lvlText w:val="%1."/>
      <w:numFmt w:val="decimal"/>
      <w:start w:val="16"/>
    </w:lvl>
  </w:abstractNum>
  <w:abstractNum w:abstractNumId="226">
    <w:nsid w:val="C4C3AF"/>
    <w:multiLevelType w:val="hybridMultilevel"/>
    <w:lvl w:ilvl="0">
      <w:lvlJc w:val="left"/>
      <w:lvlText w:val="%1."/>
      <w:numFmt w:val="decimal"/>
      <w:start w:val="17"/>
    </w:lvl>
  </w:abstractNum>
  <w:abstractNum w:abstractNumId="227">
    <w:nsid w:val="44380727"/>
    <w:multiLevelType w:val="hybridMultilevel"/>
    <w:lvl w:ilvl="0">
      <w:lvlJc w:val="left"/>
      <w:lvlText w:val="(%1)"/>
      <w:numFmt w:val="decimal"/>
      <w:start w:val="1"/>
    </w:lvl>
  </w:abstractNum>
  <w:abstractNum w:abstractNumId="228">
    <w:nsid w:val="6C053B16"/>
    <w:multiLevelType w:val="hybridMultilevel"/>
    <w:lvl w:ilvl="0">
      <w:lvlJc w:val="left"/>
      <w:lvlText w:val="%1."/>
      <w:numFmt w:val="decimal"/>
      <w:start w:val="18"/>
    </w:lvl>
  </w:abstractNum>
  <w:abstractNum w:abstractNumId="229">
    <w:nsid w:val="4F294393"/>
    <w:multiLevelType w:val="hybridMultilevel"/>
    <w:lvl w:ilvl="0">
      <w:lvlJc w:val="left"/>
      <w:lvlText w:val="%1."/>
      <w:numFmt w:val="decimal"/>
      <w:start w:val="19"/>
    </w:lvl>
  </w:abstractNum>
  <w:abstractNum w:abstractNumId="230">
    <w:nsid w:val="5243BFAC"/>
    <w:multiLevelType w:val="hybridMultilevel"/>
    <w:lvl w:ilvl="0">
      <w:lvlJc w:val="left"/>
      <w:lvlText w:val="%1."/>
      <w:numFmt w:val="decimal"/>
      <w:start w:val="1"/>
    </w:lvl>
  </w:abstractNum>
  <w:abstractNum w:abstractNumId="231">
    <w:nsid w:val="425EB207"/>
    <w:multiLevelType w:val="hybridMultilevel"/>
    <w:lvl w:ilvl="0">
      <w:lvlJc w:val="left"/>
      <w:lvlText w:val="%1."/>
      <w:numFmt w:val="decimal"/>
      <w:start w:val="2"/>
    </w:lvl>
  </w:abstractNum>
  <w:abstractNum w:abstractNumId="232">
    <w:nsid w:val="334A6F1F"/>
    <w:multiLevelType w:val="hybridMultilevel"/>
    <w:lvl w:ilvl="0">
      <w:lvlJc w:val="left"/>
      <w:lvlText w:val="%1."/>
      <w:numFmt w:val="decimal"/>
      <w:start w:val="3"/>
    </w:lvl>
  </w:abstractNum>
  <w:abstractNum w:abstractNumId="233">
    <w:nsid w:val="2E5B12B8"/>
    <w:multiLevelType w:val="hybridMultilevel"/>
    <w:lvl w:ilvl="0">
      <w:lvlJc w:val="left"/>
      <w:lvlText w:val="%1."/>
      <w:numFmt w:val="decimal"/>
      <w:start w:val="4"/>
    </w:lvl>
  </w:abstractNum>
  <w:abstractNum w:abstractNumId="234">
    <w:nsid w:val="5C03D76D"/>
    <w:multiLevelType w:val="hybridMultilevel"/>
    <w:lvl w:ilvl="0">
      <w:lvlJc w:val="left"/>
      <w:lvlText w:val="(%1)"/>
      <w:numFmt w:val="lowerLetter"/>
      <w:start w:val="2"/>
    </w:lvl>
  </w:abstractNum>
  <w:abstractNum w:abstractNumId="235">
    <w:nsid w:val="66A48D11"/>
    <w:multiLevelType w:val="hybridMultilevel"/>
    <w:lvl w:ilvl="0">
      <w:lvlJc w:val="left"/>
      <w:lvlText w:val="(%1)"/>
      <w:numFmt w:val="decimal"/>
      <w:start w:val="1"/>
    </w:lvl>
  </w:abstractNum>
  <w:abstractNum w:abstractNumId="236">
    <w:nsid w:val="56C28E34"/>
    <w:multiLevelType w:val="hybridMultilevel"/>
    <w:lvl w:ilvl="0">
      <w:lvlJc w:val="left"/>
      <w:lvlText w:val="(%1)"/>
      <w:numFmt w:val="upperLetter"/>
      <w:start w:val="1"/>
    </w:lvl>
  </w:abstractNum>
  <w:abstractNum w:abstractNumId="237">
    <w:nsid w:val="13916F2D"/>
    <w:multiLevelType w:val="hybridMultilevel"/>
    <w:lvl w:ilvl="0">
      <w:lvlJc w:val="left"/>
      <w:lvlText w:val="*"/>
      <w:numFmt w:val="bullet"/>
      <w:start w:val="1"/>
    </w:lvl>
  </w:abstractNum>
  <w:abstractNum w:abstractNumId="238">
    <w:nsid w:val="435D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2020-09-09T23:13:04Z</dcterms:created>
  <dcterms:modified xsi:type="dcterms:W3CDTF">2020-09-09T23:13:04Z</dcterms:modified>
</cp:coreProperties>
</file>