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9"/>
        <w:gridCol w:w="709"/>
        <w:gridCol w:w="764"/>
        <w:gridCol w:w="764"/>
        <w:gridCol w:w="725"/>
        <w:gridCol w:w="764"/>
        <w:gridCol w:w="764"/>
        <w:gridCol w:w="586"/>
        <w:gridCol w:w="764"/>
        <w:gridCol w:w="579"/>
        <w:gridCol w:w="557"/>
        <w:gridCol w:w="502"/>
        <w:gridCol w:w="502"/>
        <w:gridCol w:w="714"/>
      </w:tblGrid>
      <w:tr>
        <w:trPr/>
        <w:tc>
          <w:tcPr>
            <w:tcW w:w="8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June 4, 2026</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42925"/>
                          </a:xfrm>
                          <a:prstGeom prst="rect">
                            <a:avLst/>
                          </a:prstGeom>
                        </pic:spPr>
                      </pic:pic>
                    </a:graphicData>
                  </a:graphic>
                </wp:inline>
              </w:drawing>
            </w:r>
            <w:bookmarkStart w:id="0" w:name="i-1"/>
            <w:bookmarkEnd w:id="0"/>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erif" w:hAnsi="Times New Roman;serif"/>
                <w:b/>
                <w:color w:val="000000"/>
                <w:sz w:val="36"/>
              </w:rPr>
            </w:pPr>
            <w:r>
              <w:rPr>
                <w:rFonts w:ascii="Times New Roman;serif" w:hAnsi="Times New Roman;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Delaware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001-39589</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85-1800912</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211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3618"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incorporation )</w:t>
            </w:r>
          </w:p>
        </w:tc>
        <w:tc>
          <w:tcPr>
            <w:tcW w:w="2114"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File No.)</w:t>
            </w:r>
          </w:p>
        </w:tc>
        <w:tc>
          <w:tcPr>
            <w:tcW w:w="3618"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1800 North Mason Road</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Katy, Texas 77449</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i/>
                <w:color w:val="000000"/>
                <w:sz w:val="18"/>
              </w:rPr>
              <w:t>(Address of principal executive offices including Zip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(281) 646-5200</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erif" w:hAnsi="Times New Roman;serif"/>
                <w:b/>
                <w:color w:val="000000"/>
                <w:sz w:val="18"/>
              </w:rPr>
            </w:pPr>
            <w:r>
              <w:rPr>
                <w:rFonts w:ascii="Times New Roman;serif" w:hAnsi="Times New Roman;serif"/>
                <w:b/>
                <w:color w:val="000000"/>
                <w:sz w:val="18"/>
              </w:rPr>
              <w:t>Not Applicable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(Former name or former address, if changed since last report)</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ASO</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4, 2026, Academy Sports and Outdoors, Inc. (the “Company” or “Academy”) held its 2026 Annual Meeting of Stockholders (the “Annual Meeting”). At the Annual Meeting, the Company’s stockholders (i) elected three Class III directors, whose names appear below, to serve for a term of two years expiring at the Company’s 2028 Annual Meeting of Stockholders and until their successors shall be elected and qualified (the “Election of Class III Directors”), (ii) ratified the appointment of Deloitte &amp; Touche LLP as the Company’s Independent Registered Public Accounting Firm for the fiscal year ending January 30, 2027 (“Auditor Ratification”), and (iii) approved, on a non-binding advisory basis, the fiscal year 2025 compensation paid to the Company’s named executive officers (“Say-on-Pay”). The final voting results for each of the matters submitted to a stockholder vote at the Annual Meeting are set forth below.</w:t>
      </w:r>
    </w:p>
    <w:p>
      <w:pPr>
        <w:pStyle w:val="TextBody"/>
        <w:bidi w:val="0"/>
        <w:spacing w:before="0" w:after="0"/>
        <w:jc w:val="both"/>
        <w:rPr/>
      </w:pPr>
      <w:r>
        <w:rPr/>
      </w:r>
    </w:p>
    <w:p>
      <w:pPr>
        <w:pStyle w:val="TextBody"/>
        <w:bidi w:val="0"/>
        <w:spacing w:before="0" w:after="0"/>
        <w:jc w:val="both"/>
        <w:rPr/>
      </w:pPr>
      <w:r>
        <w:rPr/>
      </w:r>
    </w:p>
    <w:tbl>
      <w:tblPr>
        <w:tblW w:w="7731"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Election of Class III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 Hicks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56,212,506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503,348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4,056,313</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Beryl Raff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56,390,582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325,272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4,056,313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 Tweedy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56,416,017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299,837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4,056,313</w:t>
            </w:r>
          </w:p>
        </w:tc>
      </w:tr>
    </w:tbl>
    <w:p>
      <w:pPr>
        <w:pStyle w:val="TextBody"/>
        <w:bidi w:val="0"/>
        <w:spacing w:before="0" w:after="0"/>
        <w:jc w:val="both"/>
        <w:rPr/>
      </w:pPr>
      <w:r>
        <w:rPr/>
      </w:r>
    </w:p>
    <w:tbl>
      <w:tblPr>
        <w:tblW w:w="6232"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344"/>
        <w:gridCol w:w="344"/>
        <w:gridCol w:w="348"/>
        <w:gridCol w:w="109"/>
        <w:gridCol w:w="109"/>
        <w:gridCol w:w="109"/>
        <w:gridCol w:w="419"/>
        <w:gridCol w:w="419"/>
        <w:gridCol w:w="421"/>
        <w:gridCol w:w="109"/>
        <w:gridCol w:w="109"/>
        <w:gridCol w:w="109"/>
        <w:gridCol w:w="329"/>
        <w:gridCol w:w="329"/>
        <w:gridCol w:w="46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Auditor Ratification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59,714,421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1,025,028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32,718</w:t>
            </w:r>
          </w:p>
        </w:tc>
      </w:tr>
    </w:tbl>
    <w:p>
      <w:pPr>
        <w:pStyle w:val="TextBody"/>
        <w:bidi w:val="0"/>
        <w:spacing w:before="0" w:after="0"/>
        <w:jc w:val="both"/>
        <w:rPr/>
      </w:pPr>
      <w:r>
        <w:rPr/>
      </w:r>
    </w:p>
    <w:tbl>
      <w:tblPr>
        <w:tblW w:w="6861"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316"/>
        <w:gridCol w:w="316"/>
        <w:gridCol w:w="44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0"/>
              </w:rPr>
              <w:t>Non-Votes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Say-on-Pay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56,136,547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533,746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4,056,313</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Committee Appointments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Also on June 4, 2026, the Board of Directors (the “Board”) appointed Shannon Hennessy to serve as a member of the Compensation Committee of the Board and Clay Johnson to serve as a member of the Audit Committee of the Board, in each case effective immediately.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8814" w:type="dxa"/>
        <w:jc w:val="left"/>
        <w:tblInd w:w="0" w:type="dxa"/>
        <w:tblLayout w:type="fixed"/>
        <w:tblCellMar>
          <w:top w:w="28" w:type="dxa"/>
          <w:left w:w="28" w:type="dxa"/>
          <w:bottom w:w="28" w:type="dxa"/>
          <w:right w:w="28" w:type="dxa"/>
        </w:tblCellMar>
      </w:tblPr>
      <w:tblGrid>
        <w:gridCol w:w="134"/>
        <w:gridCol w:w="118"/>
        <w:gridCol w:w="118"/>
        <w:gridCol w:w="155"/>
        <w:gridCol w:w="155"/>
        <w:gridCol w:w="156"/>
        <w:gridCol w:w="118"/>
        <w:gridCol w:w="118"/>
        <w:gridCol w:w="118"/>
        <w:gridCol w:w="109"/>
        <w:gridCol w:w="109"/>
        <w:gridCol w:w="109"/>
        <w:gridCol w:w="109"/>
        <w:gridCol w:w="109"/>
        <w:gridCol w:w="109"/>
        <w:gridCol w:w="109"/>
        <w:gridCol w:w="109"/>
        <w:gridCol w:w="109"/>
        <w:gridCol w:w="702"/>
        <w:gridCol w:w="702"/>
        <w:gridCol w:w="702"/>
        <w:gridCol w:w="702"/>
        <w:gridCol w:w="702"/>
        <w:gridCol w:w="702"/>
        <w:gridCol w:w="702"/>
        <w:gridCol w:w="702"/>
        <w:gridCol w:w="102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68" w:type="dxa"/>
        <w:jc w:val="right"/>
        <w:tblInd w:w="0" w:type="dxa"/>
        <w:tblLayout w:type="fixed"/>
        <w:tblCellMar>
          <w:top w:w="28" w:type="dxa"/>
          <w:left w:w="28" w:type="dxa"/>
          <w:bottom w:w="28" w:type="dxa"/>
          <w:right w:w="28" w:type="dxa"/>
        </w:tblCellMar>
      </w:tblPr>
      <w:tblGrid>
        <w:gridCol w:w="591"/>
        <w:gridCol w:w="520"/>
        <w:gridCol w:w="523"/>
        <w:gridCol w:w="109"/>
        <w:gridCol w:w="109"/>
        <w:gridCol w:w="109"/>
        <w:gridCol w:w="208"/>
        <w:gridCol w:w="208"/>
        <w:gridCol w:w="213"/>
        <w:gridCol w:w="334"/>
        <w:gridCol w:w="334"/>
        <w:gridCol w:w="334"/>
        <w:gridCol w:w="1427"/>
        <w:gridCol w:w="1427"/>
        <w:gridCol w:w="202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4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3576</Characters>
  <CharactersWithSpaces>4145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