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00"/>
        <w:gridCol w:w="707"/>
        <w:gridCol w:w="707"/>
        <w:gridCol w:w="761"/>
        <w:gridCol w:w="761"/>
        <w:gridCol w:w="761"/>
        <w:gridCol w:w="761"/>
        <w:gridCol w:w="761"/>
        <w:gridCol w:w="583"/>
        <w:gridCol w:w="761"/>
        <w:gridCol w:w="576"/>
        <w:gridCol w:w="554"/>
        <w:gridCol w:w="499"/>
        <w:gridCol w:w="499"/>
        <w:gridCol w:w="714"/>
      </w:tblGrid>
      <w:tr>
        <w:trPr/>
        <w:tc>
          <w:tcPr>
            <w:tcW w:w="8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4"/>
              </w:rPr>
            </w:pPr>
            <w:r>
              <w:rPr>
                <w:rFonts w:ascii="Times New Roman;serif" w:hAnsi="Times New Roman;serif"/>
                <w:b/>
                <w:color w:val="000000"/>
                <w:sz w:val="24"/>
              </w:rPr>
              <w:t>UNITED STATES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4"/>
              </w:rPr>
            </w:pPr>
            <w:r>
              <w:rPr>
                <w:rFonts w:ascii="Times New Roman;serif" w:hAnsi="Times New Roman;serif"/>
                <w:b/>
                <w:color w:val="000000"/>
                <w:sz w:val="24"/>
              </w:rPr>
              <w:t>SECURITIES AND EXCHANGE COMMISSION</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Washington, D.C. 20549</w:t>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8-K</w:t>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CURRENT REPORT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March 31, 2026</w:t>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743200" cy="1162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1162050"/>
                          </a:xfrm>
                          <a:prstGeom prst="rect">
                            <a:avLst/>
                          </a:prstGeom>
                        </pic:spPr>
                      </pic:pic>
                    </a:graphicData>
                  </a:graphic>
                </wp:inline>
              </w:drawing>
            </w:r>
            <w:bookmarkStart w:id="0" w:name="i-1"/>
            <w:bookmarkEnd w:id="0"/>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188" w:after="283"/>
              <w:jc w:val="center"/>
              <w:rPr>
                <w:rFonts w:ascii="Times New Roman;serif" w:hAnsi="Times New Roman;serif"/>
                <w:b/>
                <w:color w:val="000000"/>
                <w:sz w:val="36"/>
              </w:rPr>
            </w:pPr>
            <w:r>
              <w:rPr>
                <w:rFonts w:ascii="Times New Roman;serif" w:hAnsi="Times New Roman;serif"/>
                <w:b/>
                <w:color w:val="000000"/>
                <w:sz w:val="36"/>
              </w:rPr>
              <w:t>Academy Sports and Outdoors, Inc.</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2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16"/>
              </w:rPr>
              <w:t>Delaware</w:t>
            </w:r>
          </w:p>
        </w:tc>
        <w:tc>
          <w:tcPr>
            <w:tcW w:w="21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001-39589</w:t>
            </w:r>
          </w:p>
        </w:tc>
        <w:tc>
          <w:tcPr>
            <w:tcW w:w="3603"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16"/>
              </w:rPr>
              <w:t>85-1800912</w:t>
            </w:r>
          </w:p>
        </w:tc>
      </w:tr>
      <w:tr>
        <w:trPr/>
        <w:tc>
          <w:tcPr>
            <w:tcW w:w="4497"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tc>
        <w:tc>
          <w:tcPr>
            <w:tcW w:w="2105"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color w:val="000000"/>
                <w:sz w:val="18"/>
              </w:rPr>
            </w:pPr>
            <w:r>
              <w:rPr>
                <w:rFonts w:ascii="Times New Roman;serif" w:hAnsi="Times New Roman;serif"/>
                <w:b w:val="false"/>
                <w:color w:val="000000"/>
                <w:sz w:val="18"/>
              </w:rPr>
              <w:t>(Commission</w:t>
            </w:r>
          </w:p>
        </w:tc>
        <w:tc>
          <w:tcPr>
            <w:tcW w:w="3603"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r>
          </w:p>
        </w:tc>
      </w:tr>
      <w:tr>
        <w:trPr/>
        <w:tc>
          <w:tcPr>
            <w:tcW w:w="4497" w:type="dxa"/>
            <w:gridSpan w:val="6"/>
            <w:tcBorders/>
            <w:tcMar>
              <w:top w:w="0" w:type="dxa"/>
              <w:left w:w="0" w:type="dxa"/>
              <w:bottom w:w="0" w:type="dxa"/>
              <w:right w:w="0" w:type="dxa"/>
            </w:tcMar>
            <w:vAlign w:val="center"/>
          </w:tcPr>
          <w:p>
            <w:pPr>
              <w:pStyle w:val="TableContents"/>
              <w:bidi w:val="0"/>
              <w:spacing w:lineRule="auto" w:line="288" w:before="74" w:after="283"/>
              <w:jc w:val="center"/>
              <w:rPr>
                <w:rFonts w:ascii="Times New Roman;serif" w:hAnsi="Times New Roman;serif"/>
                <w:b w:val="false"/>
                <w:color w:val="000000"/>
                <w:sz w:val="18"/>
              </w:rPr>
            </w:pPr>
            <w:r>
              <w:rPr>
                <w:rFonts w:ascii="Times New Roman;serif" w:hAnsi="Times New Roman;serif"/>
                <w:b w:val="false"/>
                <w:color w:val="000000"/>
                <w:sz w:val="18"/>
              </w:rPr>
              <w:t>incorporation )</w:t>
            </w:r>
          </w:p>
        </w:tc>
        <w:tc>
          <w:tcPr>
            <w:tcW w:w="2105" w:type="dxa"/>
            <w:gridSpan w:val="3"/>
            <w:tcBorders/>
            <w:tcMar>
              <w:top w:w="0" w:type="dxa"/>
              <w:left w:w="0" w:type="dxa"/>
              <w:bottom w:w="0" w:type="dxa"/>
              <w:right w:w="0" w:type="dxa"/>
            </w:tcMar>
            <w:vAlign w:val="center"/>
          </w:tcPr>
          <w:p>
            <w:pPr>
              <w:pStyle w:val="TableContents"/>
              <w:bidi w:val="0"/>
              <w:spacing w:lineRule="auto" w:line="288" w:before="74" w:after="283"/>
              <w:jc w:val="center"/>
              <w:rPr>
                <w:rFonts w:ascii="Times New Roman;serif" w:hAnsi="Times New Roman;serif"/>
                <w:b w:val="false"/>
                <w:color w:val="000000"/>
                <w:sz w:val="18"/>
              </w:rPr>
            </w:pPr>
            <w:r>
              <w:rPr>
                <w:rFonts w:ascii="Times New Roman;serif" w:hAnsi="Times New Roman;serif"/>
                <w:b w:val="false"/>
                <w:color w:val="000000"/>
                <w:sz w:val="18"/>
              </w:rPr>
              <w:t>File No.)</w:t>
            </w:r>
          </w:p>
        </w:tc>
        <w:tc>
          <w:tcPr>
            <w:tcW w:w="3603" w:type="dxa"/>
            <w:gridSpan w:val="6"/>
            <w:tcBorders/>
            <w:tcMar>
              <w:top w:w="0" w:type="dxa"/>
              <w:left w:w="0" w:type="dxa"/>
              <w:bottom w:w="0" w:type="dxa"/>
              <w:right w:w="0" w:type="dxa"/>
            </w:tcMar>
            <w:vAlign w:val="center"/>
          </w:tcPr>
          <w:p>
            <w:pPr>
              <w:pStyle w:val="TableContents"/>
              <w:bidi w:val="0"/>
              <w:spacing w:lineRule="auto" w:line="288" w:before="74" w:after="283"/>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1800 North Mason Road</w:t>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Katy, Texas 77449</w:t>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val="false"/>
                <w:i/>
                <w:color w:val="000000"/>
                <w:sz w:val="18"/>
              </w:rPr>
              <w:t>(Address of principal executive offices including Zip Code)</w:t>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(281) 646-5200</w:t>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9"/>
            <w:tcBorders/>
            <w:tcMar>
              <w:top w:w="0" w:type="dxa"/>
              <w:left w:w="0" w:type="dxa"/>
              <w:bottom w:w="0" w:type="dxa"/>
              <w:right w:w="0" w:type="dxa"/>
            </w:tcMar>
            <w:vAlign w:val="center"/>
          </w:tcPr>
          <w:p>
            <w:pPr>
              <w:pStyle w:val="TableContents"/>
              <w:bidi w:val="0"/>
              <w:spacing w:lineRule="auto" w:line="288" w:before="61" w:after="283"/>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w:t>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9"/>
            <w:tcBorders/>
            <w:tcMar>
              <w:top w:w="0" w:type="dxa"/>
              <w:left w:w="0" w:type="dxa"/>
              <w:bottom w:w="0" w:type="dxa"/>
              <w:right w:w="0" w:type="dxa"/>
            </w:tcMar>
            <w:vAlign w:val="center"/>
          </w:tcPr>
          <w:p>
            <w:pPr>
              <w:pStyle w:val="TableContents"/>
              <w:bidi w:val="0"/>
              <w:spacing w:lineRule="auto" w:line="288" w:before="129" w:after="283"/>
              <w:jc w:val="center"/>
              <w:rPr>
                <w:rFonts w:ascii="Times New Roman;serif" w:hAnsi="Times New Roman;serif"/>
                <w:b/>
                <w:color w:val="000000"/>
                <w:sz w:val="18"/>
              </w:rPr>
            </w:pPr>
            <w:r>
              <w:rPr>
                <w:rFonts w:ascii="Times New Roman;serif" w:hAnsi="Times New Roman;serif"/>
                <w:b/>
                <w:color w:val="000000"/>
                <w:sz w:val="18"/>
              </w:rPr>
              <w:t>Not Applicable</w:t>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(Former name or former address, if changed since last report)</w:t>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ind w:left="0" w:right="0" w:hanging="2"/>
              <w:jc w:val="left"/>
              <w:rPr>
                <w:color w:val="000000"/>
              </w:rPr>
            </w:pPr>
            <w:r>
              <w:rPr>
                <w:color w:val="000000"/>
              </w:rPr>
              <w:t xml:space="preserve">☐ </w:t>
            </w:r>
            <w:r>
              <w:rPr>
                <w:rFonts w:ascii="Times New Roman;serif" w:hAnsi="Times New Roman;serif"/>
                <w:b w:val="false"/>
                <w:color w:val="000000"/>
                <w:sz w:val="18"/>
              </w:rPr>
              <w:t>Written communications pursuant to Rule 425 under the Securities Act (17 CFR 230.425)</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Soliciting material pursuant to Rule 14a-12 under the Exchange Act (17 CFR 240.14a-12)</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449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2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60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449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 $0.01 par value per share</w:t>
            </w:r>
          </w:p>
        </w:tc>
        <w:tc>
          <w:tcPr>
            <w:tcW w:w="2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ASO</w:t>
            </w:r>
          </w:p>
        </w:tc>
        <w:tc>
          <w:tcPr>
            <w:tcW w:w="360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497"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2214"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240"/>
        <w:ind w:left="0" w:right="0" w:hanging="144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76"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On March 31, 2026, Academy Sports and Outdoors, Inc. (the “Company” or “Academy”) issued a press release announcing that it will host an Analyst Day event (“Analyst Day”) on April 7, 2026, beginning at 9:00 a.m. Eastern Time.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event will include presentations from members of the Company’s management team regarding the Company’s long-term strategy as well as providing updates on growth initiatives. A live webcast of the event will be available through the Investor Relations page on the Company’s website at investors.academy.com.</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Presentation materials for the Analyst Day event will be made available on the Investor Relations page on the Company’s website immediately prior to the event. A replay of the webcast will be available on the Company’s website following the conclusion of the event for approximately 30 days.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copy of the press release announcing the Analyst Day is furnished as Exhibit 99.1 to this Current Report on Form 8</w:t>
        <w:noBreakHyphen/>
        <w:t>K.</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information contained under this Item 7.01, including Exhibit 99.1, is being furnished and shall not be deemed to be “filed” for the purposes of Section 18 of the Securities Exchange Act of 1934, as amended (the “Exchange Act”), or otherwise subject to the liabilities of Section 18 thereof, nor shall it be deemed incorporated by reference in any filing under the Securities Act of 1933, as amended, or the Exchange Act, except as expressly set forth by specific reference in such filing.</w:t>
      </w:r>
    </w:p>
    <w:p>
      <w:pPr>
        <w:pStyle w:val="TextBody"/>
        <w:bidi w:val="0"/>
        <w:spacing w:before="0" w:after="0"/>
        <w:ind w:left="0" w:right="0" w:firstLine="446"/>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(d) Exhibits. </w:t>
      </w:r>
    </w:p>
    <w:tbl>
      <w:tblPr>
        <w:tblW w:w="9147" w:type="dxa"/>
        <w:jc w:val="left"/>
        <w:tblInd w:w="0" w:type="dxa"/>
        <w:tblLayout w:type="fixed"/>
        <w:tblCellMar>
          <w:top w:w="28" w:type="dxa"/>
          <w:left w:w="28" w:type="dxa"/>
          <w:bottom w:w="28" w:type="dxa"/>
          <w:right w:w="28" w:type="dxa"/>
        </w:tblCellMar>
      </w:tblPr>
      <w:tblGrid>
        <w:gridCol w:w="124"/>
        <w:gridCol w:w="109"/>
        <w:gridCol w:w="109"/>
        <w:gridCol w:w="175"/>
        <w:gridCol w:w="175"/>
        <w:gridCol w:w="176"/>
        <w:gridCol w:w="109"/>
        <w:gridCol w:w="109"/>
        <w:gridCol w:w="109"/>
        <w:gridCol w:w="109"/>
        <w:gridCol w:w="109"/>
        <w:gridCol w:w="109"/>
        <w:gridCol w:w="109"/>
        <w:gridCol w:w="109"/>
        <w:gridCol w:w="109"/>
        <w:gridCol w:w="109"/>
        <w:gridCol w:w="109"/>
        <w:gridCol w:w="109"/>
        <w:gridCol w:w="109"/>
        <w:gridCol w:w="109"/>
        <w:gridCol w:w="109"/>
        <w:gridCol w:w="702"/>
        <w:gridCol w:w="702"/>
        <w:gridCol w:w="702"/>
        <w:gridCol w:w="702"/>
        <w:gridCol w:w="702"/>
        <w:gridCol w:w="702"/>
        <w:gridCol w:w="702"/>
        <w:gridCol w:w="702"/>
        <w:gridCol w:w="10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a2026pressrelease-asoincan.htm">
              <w:r>
                <w:rPr>
                  <w:rStyle w:val="InternetLink"/>
                  <w:rFonts w:ascii="Times New Roman;serif" w:hAnsi="Times New Roman;serif"/>
                  <w:b w:val="false"/>
                  <w:color w:val="0000FF"/>
                  <w:sz w:val="22"/>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Academy Sports and Outdoors, Inc. Press Release, dated March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Date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3885" w:type="dxa"/>
        <w:jc w:val="right"/>
        <w:tblInd w:w="0" w:type="dxa"/>
        <w:tblLayout w:type="fixed"/>
        <w:tblCellMar>
          <w:top w:w="28" w:type="dxa"/>
          <w:left w:w="28" w:type="dxa"/>
          <w:bottom w:w="28" w:type="dxa"/>
          <w:right w:w="28" w:type="dxa"/>
        </w:tblCellMar>
      </w:tblPr>
      <w:tblGrid>
        <w:gridCol w:w="1244"/>
        <w:gridCol w:w="1091"/>
        <w:gridCol w:w="1550"/>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ACADEMY SPORTS AND OUTDOORS, INC.</w:t>
            </w:r>
          </w:p>
        </w:tc>
      </w:tr>
      <w:tr>
        <w:trPr/>
        <w:tc>
          <w:tcPr>
            <w:tcW w:w="3885"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244" w:type="dxa"/>
        <w:jc w:val="right"/>
        <w:tblInd w:w="0" w:type="dxa"/>
        <w:tblLayout w:type="fixed"/>
        <w:tblCellMar>
          <w:top w:w="28" w:type="dxa"/>
          <w:left w:w="28" w:type="dxa"/>
          <w:bottom w:w="28" w:type="dxa"/>
          <w:right w:w="28" w:type="dxa"/>
        </w:tblCellMar>
      </w:tblPr>
      <w:tblGrid>
        <w:gridCol w:w="511"/>
        <w:gridCol w:w="447"/>
        <w:gridCol w:w="452"/>
        <w:gridCol w:w="109"/>
        <w:gridCol w:w="109"/>
        <w:gridCol w:w="109"/>
        <w:gridCol w:w="208"/>
        <w:gridCol w:w="208"/>
        <w:gridCol w:w="213"/>
        <w:gridCol w:w="334"/>
        <w:gridCol w:w="334"/>
        <w:gridCol w:w="334"/>
        <w:gridCol w:w="1427"/>
        <w:gridCol w:w="1427"/>
        <w:gridCol w:w="2022"/>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March </w:t>
            </w:r>
            <w:r>
              <w:rPr>
                <w:rFonts w:ascii="Times New Roman;serif" w:hAnsi="Times New Roman;serif"/>
                <w:b w:val="false"/>
                <w:color w:val="000000"/>
                <w:sz w:val="20"/>
                <w:shd w:fill="FFFFFF" w:val="clear"/>
              </w:rPr>
              <w:t>31</w:t>
            </w:r>
            <w:r>
              <w:rPr>
                <w:rFonts w:ascii="Times New Roman;serif" w:hAnsi="Times New Roman;serif"/>
                <w:b w:val="false"/>
                <w:color w:val="000000"/>
                <w:sz w:val="20"/>
              </w:rPr>
              <w: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t>
            </w:r>
          </w:p>
        </w:tc>
        <w:tc>
          <w:tcPr>
            <w:tcW w:w="4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Brandy Treadway</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8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Brandy Treadway</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8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Legal Officer, and Corporate Secretary</w:t>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876" w:type="dxa"/>
            <w:gridSpan w:val="3"/>
            <w:tcBorders/>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876"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4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right"/>
        <w:rPr>
          <w:rFonts w:ascii="Arial;sans-serif" w:hAnsi="Arial;sans-serif"/>
          <w:b/>
          <w:color w:val="000000"/>
          <w:sz w:val="24"/>
        </w:rPr>
      </w:pPr>
      <w:r>
        <w:rPr>
          <w:rFonts w:ascii="Arial;sans-serif" w:hAnsi="Arial;sans-serif"/>
          <w:b/>
          <w:color w:val="000000"/>
          <w:sz w:val="24"/>
        </w:rPr>
        <w:t>EXHIBIT 99.1</w:t>
      </w:r>
    </w:p>
    <w:p>
      <w:pPr>
        <w:pStyle w:val="TextBody"/>
        <w:bidi w:val="0"/>
        <w:spacing w:before="0" w:after="0"/>
        <w:jc w:val="left"/>
        <w:rPr/>
      </w:pPr>
      <w:r>
        <w:rPr/>
      </w:r>
    </w:p>
    <w:p>
      <w:pPr>
        <w:pStyle w:val="TextBody"/>
        <w:bidi w:val="0"/>
        <w:spacing w:before="0" w:after="120"/>
        <w:ind w:left="0" w:right="0" w:firstLine="180"/>
        <w:jc w:val="center"/>
        <w:rPr/>
      </w:pPr>
      <w:r>
        <w:rPr/>
        <w:drawing>
          <wp:inline distT="0" distB="0" distL="0" distR="0">
            <wp:extent cx="2143125" cy="9144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143125" cy="914400"/>
                    </a:xfrm>
                    <a:prstGeom prst="rect">
                      <a:avLst/>
                    </a:prstGeom>
                  </pic:spPr>
                </pic:pic>
              </a:graphicData>
            </a:graphic>
          </wp:inline>
        </w:drawing>
      </w:r>
    </w:p>
    <w:p>
      <w:pPr>
        <w:pStyle w:val="TextBody"/>
        <w:bidi w:val="0"/>
        <w:spacing w:lineRule="auto" w:line="276" w:before="0" w:after="120"/>
        <w:ind w:left="0" w:right="0" w:firstLine="180"/>
        <w:jc w:val="left"/>
        <w:rPr>
          <w:rFonts w:ascii="Times New Roman;serif" w:hAnsi="Times New Roman;serif"/>
          <w:b/>
          <w:color w:val="000000"/>
          <w:sz w:val="34"/>
        </w:rPr>
      </w:pPr>
      <w:r>
        <w:rPr>
          <w:rFonts w:ascii="Times New Roman;serif" w:hAnsi="Times New Roman;serif"/>
          <w:b/>
          <w:color w:val="000000"/>
          <w:sz w:val="34"/>
        </w:rPr>
        <w:t>PRESS RELEASE</w:t>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 xml:space="preserve">Academy Sports + Outdoors Announces 2026 Analyst Day Event </w:t>
      </w:r>
    </w:p>
    <w:p>
      <w:pPr>
        <w:pStyle w:val="TextBody"/>
        <w:bidi w:val="0"/>
        <w:spacing w:before="0" w:after="0"/>
        <w:jc w:val="center"/>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 xml:space="preserve">KATY, Texas, March 31, 2026 /PRNewswire/ -- Academy Sports + Outdoors (“Academy” or the “Company”) (NASDAQ: ASO), a leading full-line sporting goods and outdoor recreation retailer, plans to host an Analyst Day event on April 7, 2026. </w:t>
      </w:r>
    </w:p>
    <w:p>
      <w:pPr>
        <w:pStyle w:val="TextBody"/>
        <w:bidi w:val="0"/>
        <w:spacing w:before="0" w:after="0"/>
        <w:jc w:val="both"/>
        <w:rPr/>
      </w:pPr>
      <w:r>
        <w:rPr/>
      </w:r>
    </w:p>
    <w:p>
      <w:pPr>
        <w:pStyle w:val="TextBody"/>
        <w:bidi w:val="0"/>
        <w:spacing w:lineRule="auto" w:line="259" w:before="0" w:after="0"/>
        <w:jc w:val="both"/>
        <w:rPr>
          <w:rFonts w:ascii="Arial;sans-serif" w:hAnsi="Arial;sans-serif"/>
          <w:b w:val="false"/>
          <w:color w:val="000000"/>
          <w:sz w:val="22"/>
        </w:rPr>
      </w:pPr>
      <w:r>
        <w:rPr>
          <w:rFonts w:ascii="Arial;sans-serif" w:hAnsi="Arial;sans-serif"/>
          <w:b w:val="false"/>
          <w:color w:val="000000"/>
          <w:sz w:val="22"/>
        </w:rPr>
        <w:t xml:space="preserve">Beginning at 9:00 a.m. Eastern Time, Steve Lawrence, Chief Executive Officer, Carl Ford, Chief Financial Officer, and Chad Fox, Chief Customer Officer, will present and discuss the Company's long-term strategy as well as providing updates on growth initiatives. </w:t>
      </w:r>
    </w:p>
    <w:p>
      <w:pPr>
        <w:pStyle w:val="TextBody"/>
        <w:bidi w:val="0"/>
        <w:spacing w:before="0" w:after="0"/>
        <w:jc w:val="both"/>
        <w:rPr/>
      </w:pPr>
      <w:r>
        <w:rPr/>
      </w:r>
    </w:p>
    <w:p>
      <w:pPr>
        <w:pStyle w:val="TextBody"/>
        <w:bidi w:val="0"/>
        <w:spacing w:lineRule="auto" w:line="259" w:before="0" w:after="0"/>
        <w:jc w:val="both"/>
        <w:rPr>
          <w:rFonts w:ascii="Arial;sans-serif" w:hAnsi="Arial;sans-serif"/>
          <w:b w:val="false"/>
          <w:color w:val="000000"/>
          <w:sz w:val="22"/>
        </w:rPr>
      </w:pPr>
      <w:r>
        <w:rPr>
          <w:rFonts w:ascii="Arial;sans-serif" w:hAnsi="Arial;sans-serif"/>
          <w:b w:val="false"/>
          <w:color w:val="000000"/>
          <w:sz w:val="22"/>
        </w:rPr>
        <w:t>A live webcast of the management presentation will be accessible on the Company's website at investors.academy.com from the “News and Events” dropdown menu, under the “Events” tab.</w:t>
      </w:r>
    </w:p>
    <w:p>
      <w:pPr>
        <w:pStyle w:val="TextBody"/>
        <w:bidi w:val="0"/>
        <w:spacing w:before="0" w:after="0"/>
        <w:jc w:val="both"/>
        <w:rPr/>
      </w:pPr>
      <w:r>
        <w:rPr/>
      </w:r>
    </w:p>
    <w:p>
      <w:pPr>
        <w:pStyle w:val="TextBody"/>
        <w:bidi w:val="0"/>
        <w:spacing w:lineRule="auto" w:line="259" w:before="0" w:after="0"/>
        <w:jc w:val="both"/>
        <w:rPr>
          <w:rFonts w:ascii="Arial;sans-serif" w:hAnsi="Arial;sans-serif"/>
          <w:b w:val="false"/>
          <w:color w:val="000000"/>
          <w:sz w:val="22"/>
        </w:rPr>
      </w:pPr>
      <w:r>
        <w:rPr>
          <w:rFonts w:ascii="Arial;sans-serif" w:hAnsi="Arial;sans-serif"/>
          <w:b w:val="false"/>
          <w:color w:val="000000"/>
          <w:sz w:val="22"/>
        </w:rPr>
        <w:t>Presentation materials will be posted immediately prior to the event and a replay of the webcast will be archived at investors.academy.com for approximately 30 days.</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About Academy Sports + Outdoors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Academy is a leading full-line sporting goods and outdoor recreation retailer in the United States. Originally founded in 1938 as a family business in Texas, Academy has grown to more than 300 stores across 21 states and counting. Academy's mission is to provide "Fun for All" and Academy fulfills this mission with a localized merchandising strategy and value proposition that strongly connects with a broad range of consumers. Academy's product assortment focuses on key categories of outdoor, apparel, sports &amp; recreation and footwear through both leading national brands and a portfolio of private label brands. For more information, visit www.academy.com.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left"/>
        <w:rPr/>
      </w:pPr>
      <w:r>
        <w:rPr>
          <w:rFonts w:ascii="Arial;sans-serif" w:hAnsi="Arial;sans-serif"/>
          <w:b/>
          <w:color w:val="000000"/>
          <w:sz w:val="22"/>
        </w:rPr>
        <w:t>Media inquiries:</w:t>
      </w:r>
      <w:r>
        <w:rPr>
          <w:color w:val="000000"/>
        </w:rPr>
        <w:t xml:space="preserve"> </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Meredith Klein, Vice President of Communications </w:t>
      </w:r>
    </w:p>
    <w:p>
      <w:pPr>
        <w:pStyle w:val="TextBody"/>
        <w:bidi w:val="0"/>
        <w:spacing w:lineRule="auto" w:line="268" w:before="0" w:after="0"/>
        <w:jc w:val="left"/>
        <w:rPr/>
      </w:pPr>
      <w:r>
        <w:rPr>
          <w:rFonts w:ascii="Arial;sans-serif" w:hAnsi="Arial;sans-serif"/>
          <w:b w:val="false"/>
          <w:color w:val="000000"/>
          <w:sz w:val="22"/>
        </w:rPr>
        <w:t>346.823.6615</w:t>
      </w:r>
      <w:r>
        <w:rPr>
          <w:color w:val="404040"/>
        </w:rPr>
        <w:t xml:space="preserve"> </w:t>
      </w:r>
    </w:p>
    <w:p>
      <w:pPr>
        <w:pStyle w:val="TextBody"/>
        <w:bidi w:val="0"/>
        <w:spacing w:lineRule="auto" w:line="268" w:before="0" w:after="0"/>
        <w:jc w:val="left"/>
        <w:rPr>
          <w:rFonts w:ascii="Arial;sans-serif" w:hAnsi="Arial;sans-serif"/>
          <w:b w:val="false"/>
          <w:color w:val="005299"/>
          <w:sz w:val="22"/>
        </w:rPr>
      </w:pPr>
      <w:r>
        <w:rPr>
          <w:rFonts w:ascii="Arial;sans-serif" w:hAnsi="Arial;sans-serif"/>
          <w:b w:val="false"/>
          <w:color w:val="005299"/>
          <w:sz w:val="22"/>
        </w:rPr>
        <w:t>meredith.klein@academy.com</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 xml:space="preserve">Investor inquiries: </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Dan Aldridge, Vice President of Investor Relations </w:t>
      </w:r>
    </w:p>
    <w:p>
      <w:pPr>
        <w:pStyle w:val="TextBody"/>
        <w:bidi w:val="0"/>
        <w:spacing w:lineRule="auto" w:line="268" w:before="0" w:after="0"/>
        <w:jc w:val="left"/>
        <w:rPr/>
      </w:pPr>
      <w:r>
        <w:rPr>
          <w:rFonts w:ascii="Arial;sans-serif" w:hAnsi="Arial;sans-serif"/>
          <w:b w:val="false"/>
          <w:color w:val="000000"/>
          <w:sz w:val="22"/>
        </w:rPr>
        <w:t>832.739.4102</w:t>
      </w:r>
      <w:r>
        <w:rPr>
          <w:color w:val="404040"/>
        </w:rPr>
        <w:t xml:space="preserve"> </w:t>
      </w:r>
    </w:p>
    <w:p>
      <w:pPr>
        <w:pStyle w:val="TextBody"/>
        <w:bidi w:val="0"/>
        <w:spacing w:lineRule="auto" w:line="268" w:before="0" w:after="0"/>
        <w:jc w:val="left"/>
        <w:rPr/>
      </w:pPr>
      <w:r>
        <w:rPr>
          <w:rFonts w:ascii="Arial;sans-serif" w:hAnsi="Arial;sans-serif"/>
          <w:b w:val="false"/>
          <w:color w:val="005299"/>
          <w:sz w:val="22"/>
        </w:rPr>
        <w:t>dan.aldridge@academy.com</w:t>
      </w:r>
      <w:r>
        <w:rPr>
          <w:color w:val="40404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14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144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905</Words>
  <Characters>5023</Characters>
  <CharactersWithSpaces>5872</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