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1319530</wp:posOffset>
            </wp:positionH>
            <wp:positionV relativeFrom="paragraph">
              <wp:posOffset>50800</wp:posOffset>
            </wp:positionV>
            <wp:extent cx="39858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jc w:val="center"/>
        <w:ind w:left="3700" w:right="1180" w:hanging="2527"/>
        <w:spacing w:after="0" w:line="281" w:lineRule="auto"/>
        <w:tabs>
          <w:tab w:leader="none" w:pos="1355"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Fiscal Year Ended January 29, 2022</w:t>
      </w:r>
    </w:p>
    <w:p>
      <w:pPr>
        <w:ind w:left="514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or</w:t>
      </w:r>
    </w:p>
    <w:p>
      <w:pPr>
        <w:spacing w:after="0" w:line="32" w:lineRule="exact"/>
        <w:rPr>
          <w:rFonts w:ascii="MS PGothic" w:cs="MS PGothic" w:eastAsia="MS PGothic" w:hAnsi="MS PGothic"/>
          <w:sz w:val="16"/>
          <w:szCs w:val="16"/>
          <w:color w:val="auto"/>
        </w:rPr>
      </w:pPr>
    </w:p>
    <w:p>
      <w:pPr>
        <w:ind w:left="1200" w:hanging="193"/>
        <w:spacing w:after="0"/>
        <w:tabs>
          <w:tab w:leader="none" w:pos="12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81" w:lineRule="exact"/>
        <w:rPr>
          <w:sz w:val="24"/>
          <w:szCs w:val="24"/>
          <w:color w:val="auto"/>
        </w:rPr>
      </w:pPr>
    </w:p>
    <w:p>
      <w:pPr>
        <w:ind w:left="3140"/>
        <w:spacing w:after="0"/>
        <w:rPr>
          <w:sz w:val="20"/>
          <w:szCs w:val="20"/>
          <w:color w:val="auto"/>
        </w:rPr>
      </w:pPr>
      <w:r>
        <w:rPr>
          <w:rFonts w:ascii="Arial" w:cs="Arial" w:eastAsia="Arial" w:hAnsi="Arial"/>
          <w:sz w:val="16"/>
          <w:szCs w:val="16"/>
          <w:b w:val="1"/>
          <w:bCs w:val="1"/>
          <w:color w:val="auto"/>
        </w:rPr>
        <w:t>For the transition period from ___________ to ___________</w:t>
      </w:r>
      <w:r>
        <w:rPr>
          <w:rFonts w:ascii="Arial" w:cs="Arial" w:eastAsia="Arial" w:hAnsi="Arial"/>
          <w:sz w:val="16"/>
          <w:szCs w:val="16"/>
          <w:color w:val="auto"/>
        </w:rPr>
        <w:t>.</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No. 001-39589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1319530</wp:posOffset>
            </wp:positionH>
            <wp:positionV relativeFrom="paragraph">
              <wp:posOffset>54610</wp:posOffset>
            </wp:positionV>
            <wp:extent cx="39858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85895" cy="825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114935</wp:posOffset>
            </wp:positionV>
            <wp:extent cx="1371600" cy="419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419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Academy Sports and Outdoors, Inc.</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480" w:type="dxa"/>
            <w:vAlign w:val="bottom"/>
          </w:tcPr>
          <w:p>
            <w:pPr>
              <w:spacing w:after="0"/>
              <w:rPr>
                <w:sz w:val="18"/>
                <w:szCs w:val="18"/>
                <w:color w:val="auto"/>
              </w:rPr>
            </w:pPr>
          </w:p>
        </w:tc>
        <w:tc>
          <w:tcPr>
            <w:tcW w:w="1960" w:type="dxa"/>
            <w:vAlign w:val="bottom"/>
            <w:gridSpan w:val="2"/>
          </w:tcPr>
          <w:p>
            <w:pPr>
              <w:jc w:val="center"/>
              <w:ind w:right="679"/>
              <w:spacing w:after="0"/>
              <w:rPr>
                <w:sz w:val="20"/>
                <w:szCs w:val="20"/>
                <w:color w:val="auto"/>
              </w:rPr>
            </w:pPr>
            <w:r>
              <w:rPr>
                <w:rFonts w:ascii="Arial" w:cs="Arial" w:eastAsia="Arial" w:hAnsi="Arial"/>
                <w:sz w:val="16"/>
                <w:szCs w:val="16"/>
                <w:b w:val="1"/>
                <w:bCs w:val="1"/>
                <w:color w:val="auto"/>
                <w:w w:val="91"/>
              </w:rPr>
              <w:t>Delaware</w:t>
            </w:r>
          </w:p>
        </w:tc>
        <w:tc>
          <w:tcPr>
            <w:tcW w:w="1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85-1800912</w:t>
            </w:r>
          </w:p>
        </w:tc>
        <w:tc>
          <w:tcPr>
            <w:tcW w:w="0" w:type="dxa"/>
            <w:vAlign w:val="bottom"/>
          </w:tcPr>
          <w:p>
            <w:pPr>
              <w:spacing w:after="0"/>
              <w:rPr>
                <w:sz w:val="1"/>
                <w:szCs w:val="1"/>
                <w:color w:val="auto"/>
              </w:rPr>
            </w:pPr>
          </w:p>
        </w:tc>
      </w:tr>
      <w:tr>
        <w:trPr>
          <w:trHeight w:val="311"/>
        </w:trPr>
        <w:tc>
          <w:tcPr>
            <w:tcW w:w="6940" w:type="dxa"/>
            <w:vAlign w:val="bottom"/>
            <w:gridSpan w:val="6"/>
          </w:tcPr>
          <w:p>
            <w:pPr>
              <w:jc w:val="center"/>
              <w:ind w:right="2800"/>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2960" w:type="dxa"/>
            <w:vAlign w:val="bottom"/>
            <w:gridSpan w:val="2"/>
          </w:tcPr>
          <w:p>
            <w:pPr>
              <w:jc w:val="center"/>
              <w:spacing w:after="0"/>
              <w:rPr>
                <w:sz w:val="20"/>
                <w:szCs w:val="20"/>
                <w:color w:val="auto"/>
              </w:rPr>
            </w:pPr>
            <w:r>
              <w:rPr>
                <w:rFonts w:ascii="Arial" w:cs="Arial" w:eastAsia="Arial" w:hAnsi="Arial"/>
                <w:sz w:val="16"/>
                <w:szCs w:val="16"/>
                <w:i w:val="1"/>
                <w:iCs w:val="1"/>
                <w:color w:val="auto"/>
                <w:w w:val="94"/>
              </w:rPr>
              <w:t>(I.R.S. Employer Identification No.)</w:t>
            </w:r>
          </w:p>
        </w:tc>
        <w:tc>
          <w:tcPr>
            <w:tcW w:w="0" w:type="dxa"/>
            <w:vAlign w:val="bottom"/>
          </w:tcPr>
          <w:p>
            <w:pPr>
              <w:spacing w:after="0"/>
              <w:rPr>
                <w:sz w:val="1"/>
                <w:szCs w:val="1"/>
                <w:color w:val="auto"/>
              </w:rPr>
            </w:pPr>
          </w:p>
        </w:tc>
      </w:tr>
      <w:tr>
        <w:trPr>
          <w:trHeight w:val="297"/>
        </w:trPr>
        <w:tc>
          <w:tcPr>
            <w:tcW w:w="1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1800 North Mason Road</w:t>
            </w:r>
          </w:p>
        </w:tc>
        <w:tc>
          <w:tcPr>
            <w:tcW w:w="1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4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5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Katy, Texas 77449</w:t>
            </w:r>
          </w:p>
        </w:tc>
        <w:tc>
          <w:tcPr>
            <w:tcW w:w="14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500" w:type="dxa"/>
            <w:vAlign w:val="bottom"/>
            <w:gridSpan w:val="3"/>
          </w:tcPr>
          <w:p>
            <w:pPr>
              <w:jc w:val="center"/>
              <w:spacing w:after="0"/>
              <w:rPr>
                <w:sz w:val="20"/>
                <w:szCs w:val="20"/>
                <w:color w:val="auto"/>
              </w:rPr>
            </w:pPr>
            <w:r>
              <w:rPr>
                <w:rFonts w:ascii="Arial" w:cs="Arial" w:eastAsia="Arial" w:hAnsi="Arial"/>
                <w:sz w:val="16"/>
                <w:szCs w:val="16"/>
                <w:i w:val="1"/>
                <w:iCs w:val="1"/>
                <w:color w:val="auto"/>
                <w:w w:val="92"/>
              </w:rPr>
              <w:t>(Address of principal executive offices) (Zip Code)</w:t>
            </w: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460" w:type="dxa"/>
            <w:vAlign w:val="bottom"/>
            <w:gridSpan w:val="2"/>
          </w:tcPr>
          <w:p>
            <w:pPr>
              <w:jc w:val="center"/>
              <w:ind w:left="1039"/>
              <w:spacing w:after="0"/>
              <w:rPr>
                <w:sz w:val="20"/>
                <w:szCs w:val="20"/>
                <w:color w:val="auto"/>
              </w:rPr>
            </w:pPr>
            <w:r>
              <w:rPr>
                <w:rFonts w:ascii="Arial" w:cs="Arial" w:eastAsia="Arial" w:hAnsi="Arial"/>
                <w:sz w:val="16"/>
                <w:szCs w:val="16"/>
                <w:b w:val="1"/>
                <w:bCs w:val="1"/>
                <w:color w:val="auto"/>
                <w:w w:val="93"/>
              </w:rPr>
              <w:t>(281) 646-5200</w:t>
            </w:r>
          </w:p>
        </w:tc>
        <w:tc>
          <w:tcPr>
            <w:tcW w:w="10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920" w:type="dxa"/>
            <w:vAlign w:val="bottom"/>
            <w:gridSpan w:val="4"/>
          </w:tcPr>
          <w:p>
            <w:pPr>
              <w:jc w:val="center"/>
              <w:ind w:right="127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5680" w:type="dxa"/>
            <w:vAlign w:val="bottom"/>
            <w:gridSpan w:val="5"/>
          </w:tcPr>
          <w:p>
            <w:pPr>
              <w:jc w:val="center"/>
              <w:ind w:right="51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1480" w:type="dxa"/>
            <w:vAlign w:val="bottom"/>
          </w:tcPr>
          <w:p>
            <w:pPr>
              <w:spacing w:after="0"/>
              <w:rPr>
                <w:sz w:val="15"/>
                <w:szCs w:val="15"/>
                <w:color w:val="auto"/>
              </w:rPr>
            </w:pPr>
          </w:p>
        </w:tc>
        <w:tc>
          <w:tcPr>
            <w:tcW w:w="1200" w:type="dxa"/>
            <w:vAlign w:val="bottom"/>
          </w:tcPr>
          <w:p>
            <w:pPr>
              <w:jc w:val="center"/>
              <w:spacing w:after="0" w:line="181" w:lineRule="exact"/>
              <w:rPr>
                <w:sz w:val="20"/>
                <w:szCs w:val="20"/>
                <w:color w:val="auto"/>
              </w:rPr>
            </w:pPr>
            <w:r>
              <w:rPr>
                <w:rFonts w:ascii="Arial" w:cs="Arial" w:eastAsia="Arial" w:hAnsi="Arial"/>
                <w:sz w:val="16"/>
                <w:szCs w:val="16"/>
                <w:b w:val="1"/>
                <w:bCs w:val="1"/>
                <w:i w:val="1"/>
                <w:iCs w:val="1"/>
                <w:color w:val="auto"/>
                <w:w w:val="87"/>
              </w:rPr>
              <w:t>Title of each class</w:t>
            </w:r>
          </w:p>
        </w:tc>
        <w:tc>
          <w:tcPr>
            <w:tcW w:w="760" w:type="dxa"/>
            <w:vAlign w:val="bottom"/>
          </w:tcPr>
          <w:p>
            <w:pPr>
              <w:spacing w:after="0"/>
              <w:rPr>
                <w:sz w:val="15"/>
                <w:szCs w:val="15"/>
                <w:color w:val="auto"/>
              </w:rPr>
            </w:pPr>
          </w:p>
        </w:tc>
        <w:tc>
          <w:tcPr>
            <w:tcW w:w="3500" w:type="dxa"/>
            <w:vAlign w:val="bottom"/>
            <w:gridSpan w:val="3"/>
          </w:tcPr>
          <w:p>
            <w:pPr>
              <w:jc w:val="center"/>
              <w:ind w:left="99"/>
              <w:spacing w:after="0" w:line="181" w:lineRule="exact"/>
              <w:rPr>
                <w:sz w:val="20"/>
                <w:szCs w:val="20"/>
                <w:color w:val="auto"/>
              </w:rPr>
            </w:pPr>
            <w:r>
              <w:rPr>
                <w:rFonts w:ascii="Arial" w:cs="Arial" w:eastAsia="Arial" w:hAnsi="Arial"/>
                <w:sz w:val="16"/>
                <w:szCs w:val="16"/>
                <w:b w:val="1"/>
                <w:bCs w:val="1"/>
                <w:i w:val="1"/>
                <w:iCs w:val="1"/>
                <w:color w:val="auto"/>
                <w:w w:val="88"/>
              </w:rPr>
              <w:t>Trading Symbol(s)</w:t>
            </w:r>
          </w:p>
        </w:tc>
        <w:tc>
          <w:tcPr>
            <w:tcW w:w="296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i w:val="1"/>
                <w:iCs w:val="1"/>
                <w:color w:val="auto"/>
                <w:w w:val="87"/>
              </w:rPr>
              <w:t>Name of each exchange on which registered</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6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gridSpan w:val="3"/>
          </w:tcPr>
          <w:p>
            <w:pPr>
              <w:jc w:val="center"/>
              <w:ind w:left="639"/>
              <w:spacing w:after="0"/>
              <w:rPr>
                <w:sz w:val="20"/>
                <w:szCs w:val="20"/>
                <w:color w:val="auto"/>
              </w:rPr>
            </w:pPr>
            <w:r>
              <w:rPr>
                <w:rFonts w:ascii="Arial" w:cs="Arial" w:eastAsia="Arial" w:hAnsi="Arial"/>
                <w:sz w:val="16"/>
                <w:szCs w:val="16"/>
                <w:color w:val="auto"/>
                <w:w w:val="90"/>
              </w:rPr>
              <w:t>Common Stock, par value $0.01 per share</w:t>
            </w:r>
          </w:p>
        </w:tc>
        <w:tc>
          <w:tcPr>
            <w:tcW w:w="1220" w:type="dxa"/>
            <w:vAlign w:val="bottom"/>
          </w:tcPr>
          <w:p>
            <w:pPr>
              <w:spacing w:after="0"/>
              <w:rPr>
                <w:sz w:val="20"/>
                <w:szCs w:val="20"/>
                <w:color w:val="auto"/>
              </w:rPr>
            </w:pPr>
          </w:p>
        </w:tc>
        <w:tc>
          <w:tcPr>
            <w:tcW w:w="2280" w:type="dxa"/>
            <w:vAlign w:val="bottom"/>
            <w:gridSpan w:val="2"/>
          </w:tcPr>
          <w:p>
            <w:pPr>
              <w:jc w:val="center"/>
              <w:ind w:right="1060"/>
              <w:spacing w:after="0"/>
              <w:rPr>
                <w:sz w:val="20"/>
                <w:szCs w:val="20"/>
                <w:color w:val="auto"/>
              </w:rPr>
            </w:pPr>
            <w:r>
              <w:rPr>
                <w:rFonts w:ascii="Arial" w:cs="Arial" w:eastAsia="Arial" w:hAnsi="Arial"/>
                <w:sz w:val="16"/>
                <w:szCs w:val="16"/>
                <w:color w:val="auto"/>
              </w:rPr>
              <w:t>ASO</w:t>
            </w:r>
          </w:p>
        </w:tc>
        <w:tc>
          <w:tcPr>
            <w:tcW w:w="2960" w:type="dxa"/>
            <w:vAlign w:val="bottom"/>
            <w:gridSpan w:val="2"/>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250"/>
        </w:trPr>
        <w:tc>
          <w:tcPr>
            <w:tcW w:w="8360" w:type="dxa"/>
            <w:vAlign w:val="bottom"/>
            <w:gridSpan w:val="7"/>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15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46"/>
        </w:trPr>
        <w:tc>
          <w:tcPr>
            <w:tcW w:w="8360" w:type="dxa"/>
            <w:vAlign w:val="bottom"/>
            <w:gridSpan w:val="7"/>
          </w:tcPr>
          <w:p>
            <w:pPr>
              <w:spacing w:after="0"/>
              <w:rPr>
                <w:sz w:val="20"/>
                <w:szCs w:val="20"/>
                <w:color w:val="auto"/>
              </w:rPr>
            </w:pPr>
            <w:r>
              <w:rPr>
                <w:rFonts w:ascii="Arial" w:cs="Arial" w:eastAsia="Arial" w:hAnsi="Arial"/>
                <w:sz w:val="16"/>
                <w:szCs w:val="16"/>
                <w:color w:val="auto"/>
                <w:w w:val="99"/>
              </w:rPr>
              <w:t>Indicate by check mark if the registrant is not required to file reports pursuant to Section 13 or Section 15(d) of the Act.</w:t>
            </w:r>
          </w:p>
        </w:tc>
        <w:tc>
          <w:tcPr>
            <w:tcW w:w="15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62"/>
        </w:trPr>
        <w:tc>
          <w:tcPr>
            <w:tcW w:w="8360" w:type="dxa"/>
            <w:vAlign w:val="bottom"/>
            <w:gridSpan w:val="7"/>
          </w:tcPr>
          <w:p>
            <w:pPr>
              <w:spacing w:after="0" w:line="162" w:lineRule="exact"/>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360" w:type="dxa"/>
            <w:vAlign w:val="bottom"/>
            <w:gridSpan w:val="7"/>
          </w:tcPr>
          <w:p>
            <w:pPr>
              <w:spacing w:after="0" w:line="162" w:lineRule="exact"/>
              <w:rPr>
                <w:sz w:val="20"/>
                <w:szCs w:val="20"/>
                <w:color w:val="auto"/>
              </w:rPr>
            </w:pPr>
            <w:r>
              <w:rPr>
                <w:rFonts w:ascii="Arial" w:cs="Arial" w:eastAsia="Arial" w:hAnsi="Arial"/>
                <w:sz w:val="16"/>
                <w:szCs w:val="16"/>
                <w:color w:val="auto"/>
                <w:w w:val="93"/>
              </w:rPr>
              <w:t>Securities Exchange Act of 1934 during the preceding 12 months (or for such shorter period that the registrant was required to</w:t>
            </w:r>
          </w:p>
        </w:tc>
        <w:tc>
          <w:tcPr>
            <w:tcW w:w="1540" w:type="dxa"/>
            <w:vAlign w:val="bottom"/>
            <w:vMerge w:val="restart"/>
          </w:tcPr>
          <w:p>
            <w:pPr>
              <w:ind w:left="2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24"/>
        </w:trPr>
        <w:tc>
          <w:tcPr>
            <w:tcW w:w="6940" w:type="dxa"/>
            <w:vAlign w:val="bottom"/>
            <w:gridSpan w:val="6"/>
          </w:tcPr>
          <w:p>
            <w:pPr>
              <w:spacing w:after="0"/>
              <w:rPr>
                <w:sz w:val="20"/>
                <w:szCs w:val="20"/>
                <w:color w:val="auto"/>
              </w:rPr>
            </w:pPr>
            <w:r>
              <w:rPr>
                <w:rFonts w:ascii="Arial" w:cs="Arial" w:eastAsia="Arial" w:hAnsi="Arial"/>
                <w:sz w:val="16"/>
                <w:szCs w:val="16"/>
                <w:color w:val="auto"/>
              </w:rPr>
              <w:t>file such reports), and (2) has been subject to such filing requirements for the past 90 days.</w:t>
            </w:r>
          </w:p>
        </w:tc>
        <w:tc>
          <w:tcPr>
            <w:tcW w:w="142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right="180"/>
        <w:spacing w:after="0" w:line="275"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9"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60"/>
          </w:cols>
          <w:pgMar w:left="720" w:top="504" w:right="719" w:bottom="1440" w:gutter="0" w:footer="0" w:header="0"/>
        </w:sectPr>
      </w:pPr>
    </w:p>
    <w:p>
      <w:pPr>
        <w:spacing w:after="0" w:line="1" w:lineRule="exact"/>
        <w:rPr>
          <w:sz w:val="24"/>
          <w:szCs w:val="24"/>
          <w:color w:val="auto"/>
        </w:rPr>
      </w:pPr>
    </w:p>
    <w:p>
      <w:pPr>
        <w:ind w:left="210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jc w:val="center"/>
        <w:ind w:right="2820"/>
        <w:spacing w:after="0" w:line="142"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73" w:lineRule="exact"/>
        <w:rPr>
          <w:sz w:val="24"/>
          <w:szCs w:val="24"/>
          <w:color w:val="auto"/>
        </w:rPr>
      </w:pPr>
    </w:p>
    <w:p>
      <w:pPr>
        <w:sectPr>
          <w:pgSz w:w="11900" w:h="16838" w:orient="portrait"/>
          <w:cols w:equalWidth="0" w:num="2">
            <w:col w:w="5660" w:space="720"/>
            <w:col w:w="4080"/>
          </w:cols>
          <w:pgMar w:left="720" w:top="504" w:right="719" w:bottom="1440" w:gutter="0" w:footer="0" w:header="0"/>
          <w:type w:val="continuous"/>
        </w:sectPr>
      </w:pPr>
    </w:p>
    <w:p>
      <w:pPr>
        <w:ind w:left="21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5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28" w:lineRule="exact"/>
        <w:rPr>
          <w:sz w:val="24"/>
          <w:szCs w:val="24"/>
          <w:color w:val="auto"/>
        </w:rPr>
      </w:pPr>
    </w:p>
    <w:p>
      <w:pPr>
        <w:sectPr>
          <w:pgSz w:w="11900" w:h="16838" w:orient="portrait"/>
          <w:cols w:equalWidth="0" w:num="2">
            <w:col w:w="5660" w:space="720"/>
            <w:col w:w="4080"/>
          </w:cols>
          <w:pgMar w:left="720" w:top="504" w:right="719" w:bottom="1440" w:gutter="0" w:footer="0" w:header="0"/>
          <w:type w:val="continuous"/>
        </w:sectPr>
      </w:pPr>
    </w:p>
    <w:p>
      <w:pPr>
        <w:jc w:val="both"/>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7" w:lineRule="exact"/>
        <w:rPr>
          <w:sz w:val="24"/>
          <w:szCs w:val="24"/>
          <w:color w:val="auto"/>
        </w:rPr>
      </w:pPr>
    </w:p>
    <w:p>
      <w:pPr>
        <w:jc w:val="both"/>
        <w:spacing w:after="0" w:line="183"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6" w:lineRule="exact"/>
        <w:rPr>
          <w:sz w:val="24"/>
          <w:szCs w:val="24"/>
          <w:color w:val="auto"/>
        </w:rPr>
      </w:pPr>
    </w:p>
    <w:p>
      <w:pPr>
        <w:jc w:val="both"/>
        <w:spacing w:after="0" w:line="272" w:lineRule="auto"/>
        <w:rPr>
          <w:sz w:val="20"/>
          <w:szCs w:val="20"/>
          <w:color w:val="auto"/>
        </w:rPr>
      </w:pPr>
      <w:r>
        <w:rPr>
          <w:rFonts w:ascii="Arial" w:cs="Arial" w:eastAsia="Arial" w:hAnsi="Arial"/>
          <w:sz w:val="15"/>
          <w:szCs w:val="15"/>
          <w:color w:val="auto"/>
        </w:rPr>
        <w:t>The aggregate market value of the Common Stock held by non-affiliates of the registrant, based on the closing price of the Common Stock on the Nasdaq Stock Market LLC on July 30, 2021, the last business day of the registrant's most recently completed second fiscal quarter, was approximately $2.7 billion.</w:t>
      </w:r>
    </w:p>
    <w:p>
      <w:pPr>
        <w:spacing w:after="0" w:line="41" w:lineRule="exact"/>
        <w:rPr>
          <w:sz w:val="24"/>
          <w:szCs w:val="24"/>
          <w:color w:val="auto"/>
        </w:rPr>
      </w:pPr>
    </w:p>
    <w:p>
      <w:pPr>
        <w:spacing w:after="0"/>
        <w:rPr>
          <w:sz w:val="20"/>
          <w:szCs w:val="20"/>
          <w:color w:val="auto"/>
        </w:rPr>
      </w:pPr>
      <w:r>
        <w:rPr>
          <w:rFonts w:ascii="Arial" w:cs="Arial" w:eastAsia="Arial" w:hAnsi="Arial"/>
          <w:sz w:val="16"/>
          <w:szCs w:val="16"/>
          <w:color w:val="auto"/>
        </w:rPr>
        <w:t>As of March 22, 2022, Academy Sports and Outdoors, Inc. had 87,145,316 shares of common stock, par value $0.01 per share, outstanding.</w:t>
      </w:r>
    </w:p>
    <w:p>
      <w:pPr>
        <w:spacing w:after="0" w:line="86" w:lineRule="exact"/>
        <w:rPr>
          <w:sz w:val="24"/>
          <w:szCs w:val="24"/>
          <w:color w:val="auto"/>
        </w:rPr>
      </w:pPr>
    </w:p>
    <w:p>
      <w:pPr>
        <w:jc w:val="both"/>
        <w:spacing w:after="0" w:line="230" w:lineRule="auto"/>
        <w:rPr>
          <w:sz w:val="20"/>
          <w:szCs w:val="20"/>
          <w:color w:val="auto"/>
        </w:rPr>
      </w:pPr>
      <w:r>
        <w:rPr>
          <w:rFonts w:ascii="Arial" w:cs="Arial" w:eastAsia="Arial" w:hAnsi="Arial"/>
          <w:sz w:val="16"/>
          <w:szCs w:val="16"/>
          <w:color w:val="auto"/>
        </w:rPr>
        <w:t>Documents Incorporated by Reference: Part III of this Annual Report on Form 10-K incorporates certain information from the registrant's definite proxy statement for its 2022 Annual Meeting of Stockholders, which shall be filed with the Securities and Exchange Commission pursuant to Regulation 14A of the Securities Exchange Act of 1934, as amended, within 120 days of the registrant's fiscal year end.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368935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720" w:top="504" w:right="7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8"/>
          </w:tcPr>
          <w:p>
            <w:pPr>
              <w:ind w:left="600"/>
              <w:spacing w:after="0"/>
              <w:rPr>
                <w:sz w:val="20"/>
                <w:szCs w:val="20"/>
                <w:color w:val="auto"/>
              </w:rPr>
            </w:pPr>
            <w:r>
              <w:rPr>
                <w:rFonts w:ascii="Arial" w:cs="Arial" w:eastAsia="Arial" w:hAnsi="Arial"/>
                <w:sz w:val="18"/>
                <w:szCs w:val="18"/>
                <w:b w:val="1"/>
                <w:bCs w:val="1"/>
                <w:color w:val="auto"/>
              </w:rPr>
              <w:t>Page</w:t>
            </w:r>
          </w:p>
        </w:tc>
      </w:tr>
      <w:tr>
        <w:trPr>
          <w:trHeight w:val="183"/>
        </w:trPr>
        <w:tc>
          <w:tcPr>
            <w:tcW w:w="9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CAUTIONARY STATEMENT REGARDING FORWARD-LOOKING STATEMENTS</w:t>
            </w:r>
          </w:p>
        </w:tc>
        <w:tc>
          <w:tcPr>
            <w:tcW w:w="860" w:type="dxa"/>
            <w:vAlign w:val="bottom"/>
            <w:gridSpan w:val="5"/>
            <w:shd w:val="clear" w:color="auto" w:fill="CCEEFF"/>
          </w:tcPr>
          <w:p>
            <w:pPr>
              <w:jc w:val="center"/>
              <w:ind w:left="610"/>
              <w:spacing w:after="0" w:line="182" w:lineRule="exact"/>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21"/>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0"/>
              <w:spacing w:after="0" w:line="189" w:lineRule="exact"/>
              <w:rPr>
                <w:sz w:val="20"/>
                <w:szCs w:val="20"/>
                <w:color w:val="auto"/>
              </w:rPr>
            </w:pPr>
            <w:r>
              <w:rPr>
                <w:rFonts w:ascii="Arial" w:cs="Arial" w:eastAsia="Arial" w:hAnsi="Arial"/>
                <w:sz w:val="18"/>
                <w:szCs w:val="18"/>
                <w:color w:val="auto"/>
              </w:rPr>
              <w:t>PART I</w:t>
            </w:r>
          </w:p>
        </w:tc>
        <w:tc>
          <w:tcPr>
            <w:tcW w:w="860" w:type="dxa"/>
            <w:vAlign w:val="bottom"/>
            <w:gridSpan w:val="5"/>
          </w:tcPr>
          <w:p>
            <w:pPr>
              <w:jc w:val="center"/>
              <w:ind w:left="610"/>
              <w:spacing w:after="0" w:line="189"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9"/>
        </w:trPr>
        <w:tc>
          <w:tcPr>
            <w:tcW w:w="9680" w:type="dxa"/>
            <w:vAlign w:val="bottom"/>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 Business</w:t>
            </w:r>
          </w:p>
        </w:tc>
        <w:tc>
          <w:tcPr>
            <w:tcW w:w="860" w:type="dxa"/>
            <w:vAlign w:val="bottom"/>
            <w:gridSpan w:val="5"/>
            <w:shd w:val="clear" w:color="auto" w:fill="CCEEFF"/>
          </w:tcPr>
          <w:p>
            <w:pPr>
              <w:jc w:val="center"/>
              <w:ind w:left="610"/>
              <w:spacing w:after="0" w:line="189"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6</w:t>
              </w:r>
            </w:hyperlink>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1"/>
        </w:trPr>
        <w:tc>
          <w:tcPr>
            <w:tcW w:w="9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1A. Risk Factors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16">
              <w:r>
                <w:rPr>
                  <w:rFonts w:ascii="Arial" w:cs="Arial" w:eastAsia="Arial" w:hAnsi="Arial"/>
                  <w:sz w:val="18"/>
                  <w:szCs w:val="18"/>
                  <w:color w:val="0000FF"/>
                  <w:w w:val="89"/>
                </w:rPr>
                <w:t>17</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1B. Unresolved Staff Comments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2. Properties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3. Legal Proceedings</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1">
              <w:r>
                <w:rPr>
                  <w:rFonts w:ascii="Arial" w:cs="Arial" w:eastAsia="Arial" w:hAnsi="Arial"/>
                  <w:sz w:val="18"/>
                  <w:szCs w:val="18"/>
                  <w:color w:val="0000FF"/>
                  <w:w w:val="89"/>
                </w:rPr>
                <w:t>41</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4. Mine Safety Disclosures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42">
              <w:r>
                <w:rPr>
                  <w:rFonts w:ascii="Arial" w:cs="Arial" w:eastAsia="Arial" w:hAnsi="Arial"/>
                  <w:sz w:val="18"/>
                  <w:szCs w:val="18"/>
                  <w:color w:val="0000FF"/>
                  <w:w w:val="89"/>
                </w:rPr>
                <w:t>42</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w w:val="99"/>
              </w:rPr>
              <w:t>Item 5. Market for Registrant's Common Equity, Related Stockholder Matters and Issuer Purchases of Equity Securities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43">
              <w:r>
                <w:rPr>
                  <w:rFonts w:ascii="Arial" w:cs="Arial" w:eastAsia="Arial" w:hAnsi="Arial"/>
                  <w:sz w:val="18"/>
                  <w:szCs w:val="18"/>
                  <w:color w:val="0000FF"/>
                  <w:w w:val="89"/>
                </w:rPr>
                <w:t>43</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6. Reserved</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44</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7. Management's Discussion and Analysis of Financial Condition and Results of Operations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44">
              <w:r>
                <w:rPr>
                  <w:rFonts w:ascii="Arial" w:cs="Arial" w:eastAsia="Arial" w:hAnsi="Arial"/>
                  <w:sz w:val="18"/>
                  <w:szCs w:val="18"/>
                  <w:color w:val="0000FF"/>
                  <w:w w:val="89"/>
                </w:rPr>
                <w:t>45</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7A. Quantitative and Qualitative Disclosures About Market Risk</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2">
              <w:r>
                <w:rPr>
                  <w:rFonts w:ascii="Arial" w:cs="Arial" w:eastAsia="Arial" w:hAnsi="Arial"/>
                  <w:sz w:val="18"/>
                  <w:szCs w:val="18"/>
                  <w:color w:val="0000FF"/>
                  <w:w w:val="89"/>
                </w:rPr>
                <w:t>62</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8. Financial Statements and Supplementary Data</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63</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9. Changes in and Disagreements with Accountants on Accounting and Financial Disclosure</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63</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9A. Controls and Procedures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3">
              <w:r>
                <w:rPr>
                  <w:rFonts w:ascii="Arial" w:cs="Arial" w:eastAsia="Arial" w:hAnsi="Arial"/>
                  <w:sz w:val="18"/>
                  <w:szCs w:val="18"/>
                  <w:color w:val="0000FF"/>
                  <w:w w:val="89"/>
                </w:rPr>
                <w:t>63</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9B. Other Information</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5">
              <w:r>
                <w:rPr>
                  <w:rFonts w:ascii="Arial" w:cs="Arial" w:eastAsia="Arial" w:hAnsi="Arial"/>
                  <w:sz w:val="18"/>
                  <w:szCs w:val="18"/>
                  <w:color w:val="0000FF"/>
                  <w:w w:val="89"/>
                </w:rPr>
                <w:t>66</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9C. Disclosure Regarding Foreign Jurisdictions that Prevent Inspections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PART III</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10. Directors, Executive Officers and Corporate Governance</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11. Executive Compensation</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12. Security Ownership of Certain Beneficial Owners and Management and Related Shareholder Matters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66</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13. Certain Relationships and Related Transactions, and Director Independence</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6">
              <w:r>
                <w:rPr>
                  <w:rFonts w:ascii="Arial" w:cs="Arial" w:eastAsia="Arial" w:hAnsi="Arial"/>
                  <w:sz w:val="18"/>
                  <w:szCs w:val="18"/>
                  <w:color w:val="0000FF"/>
                  <w:w w:val="89"/>
                </w:rPr>
                <w:t>67</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14. Principal Accountant Fees and Services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67</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PART IV</w:t>
            </w:r>
          </w:p>
        </w:tc>
        <w:tc>
          <w:tcPr>
            <w:tcW w:w="68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gridSpan w:val="3"/>
            <w:shd w:val="clear" w:color="auto" w:fill="CCEEFF"/>
          </w:tcPr>
          <w:p>
            <w:pPr>
              <w:jc w:val="center"/>
              <w:spacing w:after="0" w:line="189" w:lineRule="exact"/>
              <w:rPr>
                <w:rFonts w:ascii="Arial" w:cs="Arial" w:eastAsia="Arial" w:hAnsi="Arial"/>
                <w:sz w:val="18"/>
                <w:szCs w:val="18"/>
                <w:color w:val="0000FF"/>
                <w:w w:val="89"/>
              </w:rPr>
            </w:pPr>
            <w:hyperlink w:anchor="page67">
              <w:r>
                <w:rPr>
                  <w:rFonts w:ascii="Arial" w:cs="Arial" w:eastAsia="Arial" w:hAnsi="Arial"/>
                  <w:sz w:val="18"/>
                  <w:szCs w:val="18"/>
                  <w:color w:val="0000FF"/>
                  <w:w w:val="89"/>
                </w:rPr>
                <w:t>68</w:t>
              </w:r>
            </w:hyperlink>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40"/>
              <w:spacing w:after="0" w:line="189" w:lineRule="exact"/>
              <w:rPr>
                <w:sz w:val="20"/>
                <w:szCs w:val="20"/>
                <w:color w:val="auto"/>
              </w:rPr>
            </w:pPr>
            <w:r>
              <w:rPr>
                <w:rFonts w:ascii="Arial" w:cs="Arial" w:eastAsia="Arial" w:hAnsi="Arial"/>
                <w:sz w:val="18"/>
                <w:szCs w:val="18"/>
                <w:color w:val="auto"/>
              </w:rPr>
              <w:t>Item 15. Exhibits and Financial Statement Schedules</w:t>
            </w:r>
          </w:p>
        </w:tc>
        <w:tc>
          <w:tcPr>
            <w:tcW w:w="860" w:type="dxa"/>
            <w:vAlign w:val="bottom"/>
            <w:gridSpan w:val="5"/>
          </w:tcPr>
          <w:p>
            <w:pPr>
              <w:jc w:val="center"/>
              <w:ind w:left="590"/>
              <w:spacing w:after="0" w:line="189"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68</w:t>
              </w:r>
            </w:hyperlink>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
        </w:trPr>
        <w:tc>
          <w:tcPr>
            <w:tcW w:w="9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68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8"/>
                <w:szCs w:val="18"/>
                <w:color w:val="auto"/>
              </w:rPr>
              <w:t>Item 16. Form 10-K Summary</w:t>
            </w:r>
          </w:p>
        </w:tc>
        <w:tc>
          <w:tcPr>
            <w:tcW w:w="6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0000FF"/>
            </w:tcBorders>
            <w:gridSpan w:val="6"/>
            <w:shd w:val="clear" w:color="auto" w:fill="CCEEFF"/>
          </w:tcPr>
          <w:p>
            <w:pPr>
              <w:jc w:val="center"/>
              <w:spacing w:after="0" w:line="189" w:lineRule="exact"/>
              <w:rPr>
                <w:rFonts w:ascii="Arial" w:cs="Arial" w:eastAsia="Arial" w:hAnsi="Arial"/>
                <w:sz w:val="18"/>
                <w:szCs w:val="18"/>
                <w:color w:val="0000FF"/>
                <w:w w:val="93"/>
              </w:rPr>
            </w:pPr>
            <w:hyperlink w:anchor="page105">
              <w:r>
                <w:rPr>
                  <w:rFonts w:ascii="Arial" w:cs="Arial" w:eastAsia="Arial" w:hAnsi="Arial"/>
                  <w:sz w:val="18"/>
                  <w:szCs w:val="18"/>
                  <w:color w:val="0000FF"/>
                  <w:w w:val="93"/>
                </w:rPr>
                <w:t>105</w:t>
              </w:r>
            </w:hyperlink>
          </w:p>
        </w:tc>
        <w:tc>
          <w:tcPr>
            <w:tcW w:w="640" w:type="dxa"/>
            <w:vAlign w:val="bottom"/>
            <w:tcBorders>
              <w:bottom w:val="single" w:sz="8" w:color="CCEEFF"/>
            </w:tcBorders>
            <w:shd w:val="clear" w:color="auto" w:fill="CCEEFF"/>
          </w:tcPr>
          <w:p>
            <w:pPr>
              <w:spacing w:after="0"/>
              <w:rPr>
                <w:sz w:val="18"/>
                <w:szCs w:val="18"/>
                <w:color w:val="auto"/>
              </w:rPr>
            </w:pPr>
          </w:p>
        </w:tc>
      </w:tr>
      <w:tr>
        <w:trPr>
          <w:trHeight w:val="189"/>
        </w:trPr>
        <w:tc>
          <w:tcPr>
            <w:tcW w:w="9680" w:type="dxa"/>
            <w:vAlign w:val="bottom"/>
          </w:tcPr>
          <w:p>
            <w:pPr>
              <w:ind w:left="20"/>
              <w:spacing w:after="0" w:line="189" w:lineRule="exact"/>
              <w:rPr>
                <w:sz w:val="20"/>
                <w:szCs w:val="20"/>
                <w:color w:val="auto"/>
              </w:rPr>
            </w:pPr>
            <w:r>
              <w:rPr>
                <w:rFonts w:ascii="Arial" w:cs="Arial" w:eastAsia="Arial" w:hAnsi="Arial"/>
                <w:sz w:val="18"/>
                <w:szCs w:val="18"/>
                <w:color w:val="auto"/>
              </w:rPr>
              <w:t>SIGNATURES</w:t>
            </w:r>
          </w:p>
        </w:tc>
        <w:tc>
          <w:tcPr>
            <w:tcW w:w="640" w:type="dxa"/>
            <w:vAlign w:val="bottom"/>
          </w:tcPr>
          <w:p>
            <w:pPr>
              <w:spacing w:after="0"/>
              <w:rPr>
                <w:sz w:val="16"/>
                <w:szCs w:val="16"/>
                <w:color w:val="auto"/>
              </w:rPr>
            </w:pPr>
          </w:p>
        </w:tc>
        <w:tc>
          <w:tcPr>
            <w:tcW w:w="260" w:type="dxa"/>
            <w:vAlign w:val="bottom"/>
            <w:tcBorders>
              <w:bottom w:val="single" w:sz="8" w:color="0000FF"/>
            </w:tcBorders>
            <w:gridSpan w:val="5"/>
          </w:tcPr>
          <w:p>
            <w:pPr>
              <w:jc w:val="center"/>
              <w:spacing w:after="0" w:line="189" w:lineRule="exact"/>
              <w:rPr>
                <w:rFonts w:ascii="Arial" w:cs="Arial" w:eastAsia="Arial" w:hAnsi="Arial"/>
                <w:sz w:val="18"/>
                <w:szCs w:val="18"/>
                <w:color w:val="0000FF"/>
                <w:w w:val="86"/>
              </w:rPr>
            </w:pPr>
            <w:hyperlink w:anchor="page109">
              <w:r>
                <w:rPr>
                  <w:rFonts w:ascii="Arial" w:cs="Arial" w:eastAsia="Arial" w:hAnsi="Arial"/>
                  <w:sz w:val="18"/>
                  <w:szCs w:val="18"/>
                  <w:color w:val="0000FF"/>
                  <w:w w:val="86"/>
                </w:rPr>
                <w:t>110</w:t>
              </w:r>
            </w:hyperlink>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jc w:val="both"/>
        <w:ind w:firstLine="292"/>
        <w:spacing w:after="0" w:line="253" w:lineRule="auto"/>
        <w:rPr>
          <w:sz w:val="20"/>
          <w:szCs w:val="20"/>
          <w:color w:val="auto"/>
        </w:rPr>
      </w:pPr>
      <w:r>
        <w:rPr>
          <w:rFonts w:ascii="Arial" w:cs="Arial" w:eastAsia="Arial" w:hAnsi="Arial"/>
          <w:sz w:val="18"/>
          <w:szCs w:val="18"/>
          <w:color w:val="auto"/>
        </w:rPr>
        <w:t>This Annual Report on Form 10-K (this "Annual Report") includes forward-looking statements within the meaning of Section 27A of the Securities Act of 1933, as amended (the "Securities Act"), and Section 21E of the Securities Exchange Act of 1934, as amended (the "Exchange Act"), which are subject to the "safe harbor" created by those sections. Forward-looking statements include all statements that are not historical facts, including statements reflecting our current views with respect to, among other things, our operations and financial performance. These forward-looking statements are included throughout this Annual Report, including in the section entitled "Management’s Discussion and Analysis of Financial Condition and Results of Operations" and in the section entitled "Risk Factors,"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Annual Report.</w:t>
      </w:r>
    </w:p>
    <w:p>
      <w:pPr>
        <w:spacing w:after="0" w:line="221"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color w:val="auto"/>
        </w:rPr>
        <w:t>The forward-looking statements contained in this Annual Report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the section entitled "Risk Factors" in this Annual Report, as such risk factors may be updated from time to time in our periodic filings with the Securities and Exchange Commission, or SEC, and are accessible on the SEC's website at www.sec.gov.</w:t>
      </w:r>
    </w:p>
    <w:p>
      <w:pPr>
        <w:spacing w:after="0" w:line="219"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color w:val="auto"/>
        </w:rPr>
        <w:t>Any forward-looking statement made by us in this Annual Report speaks only as of the date of this Annual Report and are expressly qualified in their entirety by the cautionary statements included in this Annual Report.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RISK FACTORS SUMMARY</w:t>
      </w:r>
    </w:p>
    <w:p>
      <w:pPr>
        <w:spacing w:after="0" w:line="256" w:lineRule="exact"/>
        <w:rPr>
          <w:sz w:val="20"/>
          <w:szCs w:val="20"/>
          <w:color w:val="auto"/>
        </w:rPr>
      </w:pPr>
    </w:p>
    <w:p>
      <w:pPr>
        <w:jc w:val="both"/>
        <w:ind w:firstLine="243"/>
        <w:spacing w:after="0" w:line="311" w:lineRule="auto"/>
        <w:rPr>
          <w:sz w:val="20"/>
          <w:szCs w:val="20"/>
          <w:color w:val="auto"/>
        </w:rPr>
      </w:pPr>
      <w:r>
        <w:rPr>
          <w:rFonts w:ascii="Arial" w:cs="Arial" w:eastAsia="Arial" w:hAnsi="Arial"/>
          <w:sz w:val="16"/>
          <w:szCs w:val="16"/>
          <w:color w:val="auto"/>
        </w:rPr>
        <w:t>Investing in our securities involves a high degree of risk. The following is a summary of the principal factors that make an investment in our securities speculative or risky, all of which are more fully described below in the section entitled “Risk Factors.” In addition to the following summary, you should consider the information set forth in the “Risk Factors” section and the other information contained in this Annual Report before investing in our securities.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and Industry</w:t>
      </w:r>
    </w:p>
    <w:p>
      <w:pPr>
        <w:spacing w:after="0" w:line="23"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COVID-19 on our business and the communities we serve;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disruptions in our supply chain and losses of merchandise purchasing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occurrence of severe weather events, catastrophic health events, natural or man-made disasters, social and political conditions or civil unrest;</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retain key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fluctuations in merchandise (including raw materials) costs and availability;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Risks</w:t>
      </w:r>
    </w:p>
    <w:p>
      <w:pPr>
        <w:spacing w:after="0" w:line="23" w:lineRule="exact"/>
        <w:rPr>
          <w:sz w:val="20"/>
          <w:szCs w:val="20"/>
          <w:color w:val="auto"/>
        </w:rPr>
      </w:pPr>
    </w:p>
    <w:p>
      <w:pPr>
        <w:ind w:left="660" w:hanging="328"/>
        <w:spacing w:after="0" w:line="250" w:lineRule="auto"/>
        <w:tabs>
          <w:tab w:leader="none" w:pos="655"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and increased costs, risks, and additional regulations and requirements as a result of becoming a public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have effective internal controls;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Indebtedness</w:t>
      </w:r>
    </w:p>
    <w:p>
      <w:pPr>
        <w:spacing w:after="0" w:line="23" w:lineRule="exact"/>
        <w:rPr>
          <w:sz w:val="20"/>
          <w:szCs w:val="20"/>
          <w:color w:val="auto"/>
        </w:rPr>
      </w:pPr>
    </w:p>
    <w:p>
      <w:pPr>
        <w:ind w:left="660" w:hanging="328"/>
        <w:spacing w:after="0" w:line="250"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and related debt service payments and our ability to generate sufficient cash flow to satisfy all of our obligations under our indebtedness;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incur substantially more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our current and future operations imposed by the terms of our indebtedness;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variable rate indebtedness subjects us to interest rate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borrow under the ABL Facility (as defined below);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level of indebtedness may hinder our ability to negotiate favorable terms with our vendors;</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t>Risks Related to the Ownership of Our Common Stock</w:t>
      </w:r>
    </w:p>
    <w:p>
      <w:pPr>
        <w:spacing w:after="0" w:line="2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be diluted by any future issuances of shares by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stock price is volatile or may decline;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in the future may be limited;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lack of or negative coverage by securities analysts;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pay dividends on our common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anti-takeover provisions in our organizational documents could delay or prevent a change of control;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board of directors is authorized to issue and designate shares of preferred stock without stockholder approval;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exclusive forum provision.</w:t>
      </w:r>
    </w:p>
    <w:p>
      <w:pPr>
        <w:spacing w:after="0" w:line="238"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Annual Report. Should one or more of these risks or uncertainties materialize, or should any of our assumptions prove incorrect, our actual results may vary in material respects from those projected in our forward-looking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ind w:firstLine="292"/>
        <w:spacing w:after="0" w:line="257" w:lineRule="auto"/>
        <w:rPr>
          <w:sz w:val="20"/>
          <w:szCs w:val="20"/>
          <w:color w:val="auto"/>
        </w:rPr>
      </w:pPr>
      <w:r>
        <w:rPr>
          <w:rFonts w:ascii="Arial" w:cs="Arial" w:eastAsia="Arial" w:hAnsi="Arial"/>
          <w:sz w:val="18"/>
          <w:szCs w:val="18"/>
          <w:color w:val="auto"/>
        </w:rPr>
        <w:t>All references to "Academy," "we," "us," "our" or the "Company" in this Annual Report refer to (1) prior to October 1, 2020, New Academy Holding Company, LLC, a Delaware limited liability company and the prior parent holding company of our operations, and its consolidated subsidiaries; and (2) on and after October 1, 2020, Academy Sports and Outdoors, Inc., a Delaware corporation and the current parent holding company of our operations, and its consolidated subsidiaries. We conduct our operations through our subsidiaries, including our indirect subsidiary, Academy, Ltd., an operating company which is doing business as Academy Sports + Outdoors.</w:t>
      </w:r>
    </w:p>
    <w:p>
      <w:pPr>
        <w:spacing w:after="0" w:line="215" w:lineRule="exact"/>
        <w:rPr>
          <w:sz w:val="20"/>
          <w:szCs w:val="20"/>
          <w:color w:val="auto"/>
        </w:rPr>
      </w:pPr>
    </w:p>
    <w:p>
      <w:pPr>
        <w:jc w:val="both"/>
        <w:ind w:firstLine="292"/>
        <w:spacing w:after="0" w:line="262" w:lineRule="auto"/>
        <w:rPr>
          <w:sz w:val="20"/>
          <w:szCs w:val="20"/>
          <w:color w:val="auto"/>
        </w:rPr>
      </w:pPr>
      <w:r>
        <w:rPr>
          <w:rFonts w:ascii="Arial" w:cs="Arial" w:eastAsia="Arial" w:hAnsi="Arial"/>
          <w:sz w:val="17"/>
          <w:szCs w:val="17"/>
          <w:color w:val="auto"/>
        </w:rPr>
        <w:t>We operate on a retail fiscal calendar pursuant to which our fiscal year consists of 52 or 53 weeks, ending on the Saturday closest to January 31 (which such Saturday may occur on a date following January 31) each year. References to any year, quarter, or month mean our fiscal year, fiscal quarter, and fiscal month, respectively, unless the context requires otherwise. References to “2019,” “2020,” and “2021” relate to our fiscal years ended February 1, 2020, January 30, 2021, and January 29, 2022, respectively, unless the context requires otherwise.</w:t>
      </w:r>
    </w:p>
    <w:p>
      <w:pPr>
        <w:spacing w:after="0" w:line="199" w:lineRule="exact"/>
        <w:rPr>
          <w:sz w:val="20"/>
          <w:szCs w:val="20"/>
          <w:color w:val="auto"/>
        </w:rPr>
      </w:pPr>
    </w:p>
    <w:p>
      <w:pPr>
        <w:jc w:val="both"/>
        <w:ind w:firstLine="292"/>
        <w:spacing w:after="0" w:line="261" w:lineRule="auto"/>
        <w:rPr>
          <w:sz w:val="20"/>
          <w:szCs w:val="20"/>
          <w:color w:val="auto"/>
        </w:rPr>
      </w:pPr>
      <w:r>
        <w:rPr>
          <w:rFonts w:ascii="Arial" w:cs="Arial" w:eastAsia="Arial" w:hAnsi="Arial"/>
          <w:sz w:val="18"/>
          <w:szCs w:val="18"/>
          <w:color w:val="auto"/>
        </w:rPr>
        <w:t>Numerical figures included in this Annual Report have been subject to rounding adjustments. Accordingly, numerical figures shown as totals in various tables may not be arithmetic aggregations of the figures that precede them.</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5" w:lineRule="exact"/>
        <w:rPr>
          <w:sz w:val="20"/>
          <w:szCs w:val="20"/>
          <w:color w:val="auto"/>
        </w:rPr>
      </w:pPr>
    </w:p>
    <w:p>
      <w:pPr>
        <w:jc w:val="both"/>
        <w:ind w:firstLine="292"/>
        <w:spacing w:after="0" w:line="25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financial statements and related notes included elsewhere in this Annual Report for the fiscal year ended January 29, 2022. 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141"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i w:val="1"/>
          <w:iCs w:val="1"/>
          <w:color w:val="auto"/>
        </w:rPr>
        <w:t>All statements in this Annual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We Are</w:t>
      </w:r>
    </w:p>
    <w:p>
      <w:pPr>
        <w:spacing w:after="0" w:line="1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Academy Sports + Outdoors is one of the leading full-line sporting goods and outdoor recreation retailers in the United States. Originally founded in 1938 as a family business in Texas, we now operate 259 stores across 16 contiguous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32%, 27%, 22% and 19% of our 2021 net sales, respectively) through both leading national brands and a portfolio of 20 owned brands, which go well beyond traditional sporting goods and apparel offerings.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the following attributes differentiate us from our competitors:</w:t>
      </w:r>
    </w:p>
    <w:p>
      <w:pPr>
        <w:spacing w:after="0" w:line="11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Value-based assortment that enables our customers to participate and have fun, no matter their budget.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 and is localized for individual stores.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Emerging, growing and profitable omnichannel strategy that leverages our buy-online-pickup-in-store program ("BOPIS") and shipping fulfillment capabilities.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17"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growing presence in some of the fastest-growing Metropolitan Statistical Areas (or "MSAs").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whitespace opportunity for new stores for both in-fill and adjacent geographies and new markets.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2021 merchandise sales was comprised of national brand products, with the remainder coming from exclusive products in our portfolio of 20 owned brands. We have minimal product overlap with direct-to-consumer brands and competitors. No single brand we carry accounted for more than 11% of our 2021 sales.</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endeavor to offer products for customers of all ages, incomes and aspirations across sporting and outdoor recreation activities, seasons and experience levels. As such, we have a balanced, year-round business and a large customer base. Our average customer visits our stores anywhere from two to three times per year.</w:t>
      </w: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Strategic Priorities</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made tremendous progress against our 2021 key business priorities. For omnichannel, we implemented improved search capabilities, increased check-out speed, added more payment options and launched a new mobile app. To enhance our customer shopping experience, we focused on better service, better looking stores, and better products. We continued to enhance our merchandise planning and allocation capabilities to increase our inventory efficiency and optimize our markdown strategy to increase sales and expand gross margin. In addition, we have taken measures to protect and strengthen our supply chain.</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2022, we are continuing our efforts to be the best sports and outdoors retailer in the country. We expect to do this by executing on these key priorities:</w:t>
      </w:r>
    </w:p>
    <w:p>
      <w:pPr>
        <w:spacing w:after="0" w:line="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Creating a consistent and meaningful omnichannel business that delivers a true omnichannel experience for the customer;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Providing a great customer experience across all of our points of contact that drives loyalty and long-term growth;</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Growing our store base to strengthen existing markets and enter new ones successfully;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we expect to foster our continued growth by: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Strengthening the efficiency and effectiveness of our supply chain;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Developing and retaining an industry leading retail team;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Maintaining and scaling our IT capabilities.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retail business is highly competitive based on many variables including price, product assortment, customer service, omnichannel experience and store locations.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retail sporting goods and outdoor recreation retail industry comprises six principal categories of retailers:</w:t>
      </w:r>
    </w:p>
    <w:p>
      <w:pPr>
        <w:spacing w:after="0" w:line="117"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Mass general merchants </w:t>
      </w:r>
      <w:r>
        <w:rPr>
          <w:rFonts w:ascii="Arial" w:cs="Arial" w:eastAsia="Arial" w:hAnsi="Arial"/>
          <w:sz w:val="18"/>
          <w:szCs w:val="18"/>
          <w:color w:val="auto"/>
        </w:rPr>
        <w:t>(examples: Walmart, Kohl’s and Target) generally range in size from 50,000 to over 200,000 square feet and are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located in shopping centers, free-standing sites or regional malls. Sporting goods merchandise and apparel and outdoor recreation products may represent a small portion of the total merchandise in these stores.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Large format sporting goods stores </w:t>
      </w:r>
      <w:r>
        <w:rPr>
          <w:rFonts w:ascii="Arial" w:cs="Arial" w:eastAsia="Arial" w:hAnsi="Arial"/>
          <w:sz w:val="18"/>
          <w:szCs w:val="18"/>
          <w:color w:val="auto"/>
        </w:rPr>
        <w:t>(examples: Dick’s Sporting Goods and Scheels) generally range in size from 20,000 to over 100,000 square</w:t>
      </w:r>
      <w:r>
        <w:rPr>
          <w:rFonts w:ascii="Arial" w:cs="Arial" w:eastAsia="Arial" w:hAnsi="Arial"/>
          <w:sz w:val="18"/>
          <w:szCs w:val="18"/>
          <w:i w:val="1"/>
          <w:iCs w:val="1"/>
          <w:color w:val="auto"/>
        </w:rPr>
        <w:t xml:space="preserve"> </w:t>
      </w:r>
      <w:r>
        <w:rPr>
          <w:rFonts w:ascii="Arial" w:cs="Arial" w:eastAsia="Arial" w:hAnsi="Arial"/>
          <w:sz w:val="18"/>
          <w:szCs w:val="18"/>
          <w:color w:val="auto"/>
        </w:rPr>
        <w:t>feet and offer a broad selection of sporting goods and outdoor recreation merchandise.</w:t>
      </w:r>
    </w:p>
    <w:p>
      <w:pPr>
        <w:spacing w:after="0" w:line="62" w:lineRule="exact"/>
        <w:rPr>
          <w:rFonts w:ascii="Arial" w:cs="Arial" w:eastAsia="Arial" w:hAnsi="Arial"/>
          <w:sz w:val="18"/>
          <w:szCs w:val="18"/>
          <w:color w:val="auto"/>
        </w:rPr>
      </w:pPr>
    </w:p>
    <w:p>
      <w:pPr>
        <w:jc w:val="both"/>
        <w:ind w:left="660" w:right="20" w:hanging="328"/>
        <w:spacing w:after="0" w:line="342"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Traditional sporting goods stores </w:t>
      </w:r>
      <w:r>
        <w:rPr>
          <w:rFonts w:ascii="Arial" w:cs="Arial" w:eastAsia="Arial" w:hAnsi="Arial"/>
          <w:sz w:val="16"/>
          <w:szCs w:val="16"/>
          <w:color w:val="auto"/>
        </w:rPr>
        <w:t>(examples: Hibbett Sports and Big 5 Sporting Goods) generally range in size from 5,000 to 20,000 square feet</w:t>
      </w:r>
      <w:r>
        <w:rPr>
          <w:rFonts w:ascii="Arial" w:cs="Arial" w:eastAsia="Arial" w:hAnsi="Arial"/>
          <w:sz w:val="16"/>
          <w:szCs w:val="16"/>
          <w:i w:val="1"/>
          <w:iCs w:val="1"/>
          <w:color w:val="auto"/>
        </w:rPr>
        <w:t xml:space="preserve"> </w:t>
      </w:r>
      <w:r>
        <w:rPr>
          <w:rFonts w:ascii="Arial" w:cs="Arial" w:eastAsia="Arial" w:hAnsi="Arial"/>
          <w:sz w:val="16"/>
          <w:szCs w:val="16"/>
          <w:color w:val="auto"/>
        </w:rPr>
        <w:t>and are frequently located in regional malls and shopping centers and typically carry a varied assortment of primarily sporting goods merchandise.</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Specialty outdoor retailers </w:t>
      </w:r>
      <w:r>
        <w:rPr>
          <w:rFonts w:ascii="Arial" w:cs="Arial" w:eastAsia="Arial" w:hAnsi="Arial"/>
          <w:sz w:val="18"/>
          <w:szCs w:val="18"/>
          <w:color w:val="auto"/>
        </w:rPr>
        <w:t>(examples: Bass Pro Shop/Cabela’s and Sportsman’s Warehouse) generally range in size from 7,500 to over 100,000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and typically focus on specific categories such as outdoor recreation.</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Specialty footwear retailers </w:t>
      </w:r>
      <w:r>
        <w:rPr>
          <w:rFonts w:ascii="Arial" w:cs="Arial" w:eastAsia="Arial" w:hAnsi="Arial"/>
          <w:sz w:val="18"/>
          <w:szCs w:val="18"/>
          <w:color w:val="auto"/>
        </w:rPr>
        <w:t>(examples: Foot Locker, Boot Barn and The Finish Line) generally range in size from 2,000 to 20,000 square feet and</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focus on specific categories such as athletic footwear.</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Catalogue &amp; Internet retailers </w:t>
      </w:r>
      <w:r>
        <w:rPr>
          <w:rFonts w:ascii="Arial" w:cs="Arial" w:eastAsia="Arial" w:hAnsi="Arial"/>
          <w:sz w:val="18"/>
          <w:szCs w:val="18"/>
          <w:color w:val="auto"/>
        </w:rPr>
        <w:t>(examples: Amazon and eBay) do not typically operate brick and mortar stores and primarily rely on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goods. Sporting goods merchandise and apparel and outdoor recreation products may represent a small portion of the total merchandise on their websites.</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Merchandising</w:t>
      </w:r>
    </w:p>
    <w:p>
      <w:pPr>
        <w:spacing w:after="0" w:line="25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In 2021, we purchased merchandise from approximately 1,200 vendors. For 2021, 2020 and 2019 no vendor represented more than 11%, 12%, and 14% of our total purchases, respectively.</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232410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7" w:name="page8"/>
    <w:bookmarkEnd w:id="7"/>
    <w:p>
      <w:pPr>
        <w:jc w:val="both"/>
        <w:ind w:firstLine="324"/>
        <w:spacing w:after="0" w:line="273" w:lineRule="auto"/>
        <w:rPr>
          <w:sz w:val="20"/>
          <w:szCs w:val="20"/>
          <w:color w:val="auto"/>
        </w:rPr>
      </w:pPr>
      <w:r>
        <w:rPr>
          <w:rFonts w:ascii="Arial" w:cs="Arial" w:eastAsia="Arial" w:hAnsi="Arial"/>
          <w:sz w:val="17"/>
          <w:szCs w:val="17"/>
          <w:color w:val="auto"/>
        </w:rPr>
        <w:t>We have premium access to hundreds of well-recognized national brands, such as Nike, Under Armour, adidas, Winchester, Brooks, Crocs, Wilson, Spaulding, Yeti, the North Face, and Columbia Sportswear, which are critical to our market penetration. These and some of our other national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20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owned brand portfolio consists of 20 brands, including Magellan Outdoors, BCG, Academy Sports + Outdoors, Outdoor Gourmet and Freely. Our owned brand strategy focuses on in-filling categories and price points that our national brand products may not satisfy. Our owned brand offerings support and complement our overall merchandising strategy due to limited price-point overlap with national brands. Additionally, our owned brands generate strong brand equity and drive significant customer loyalty. Approximately 57% of our customers purchased an owned brand from us in 2021.</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29, 2022, we generally organized our merchandise in four divisions made up of sixteen categories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Division</w:t>
            </w:r>
          </w:p>
        </w:tc>
        <w:tc>
          <w:tcPr>
            <w:tcW w:w="25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 xml:space="preserve">Category </w:t>
            </w:r>
            <w:r>
              <w:rPr>
                <w:rFonts w:ascii="Arial" w:cs="Arial" w:eastAsia="Arial" w:hAnsi="Arial"/>
                <w:sz w:val="23"/>
                <w:szCs w:val="23"/>
                <w:b w:val="1"/>
                <w:bCs w:val="1"/>
                <w:color w:val="auto"/>
                <w:vertAlign w:val="superscript"/>
              </w:rPr>
              <w:t>(1)</w:t>
            </w:r>
          </w:p>
        </w:tc>
        <w:tc>
          <w:tcPr>
            <w:tcW w:w="680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 xml:space="preserve">Primary product types </w:t>
            </w:r>
            <w:r>
              <w:rPr>
                <w:rFonts w:ascii="Arial" w:cs="Arial" w:eastAsia="Arial" w:hAnsi="Arial"/>
                <w:sz w:val="23"/>
                <w:szCs w:val="23"/>
                <w:b w:val="1"/>
                <w:bCs w:val="1"/>
                <w:color w:val="auto"/>
                <w:vertAlign w:val="superscript"/>
              </w:rPr>
              <w:t>(1)</w:t>
            </w:r>
          </w:p>
        </w:tc>
      </w:tr>
      <w:tr>
        <w:trPr>
          <w:trHeight w:val="75"/>
        </w:trPr>
        <w:tc>
          <w:tcPr>
            <w:tcW w:w="1940" w:type="dxa"/>
            <w:vAlign w:val="bottom"/>
          </w:tcPr>
          <w:p>
            <w:pPr>
              <w:spacing w:after="0"/>
              <w:rPr>
                <w:sz w:val="6"/>
                <w:szCs w:val="6"/>
                <w:color w:val="auto"/>
              </w:rPr>
            </w:pPr>
          </w:p>
        </w:tc>
        <w:tc>
          <w:tcPr>
            <w:tcW w:w="2500" w:type="dxa"/>
            <w:vAlign w:val="bottom"/>
          </w:tcPr>
          <w:p>
            <w:pPr>
              <w:spacing w:after="0"/>
              <w:rPr>
                <w:sz w:val="6"/>
                <w:szCs w:val="6"/>
                <w:color w:val="auto"/>
              </w:rPr>
            </w:pPr>
          </w:p>
        </w:tc>
        <w:tc>
          <w:tcPr>
            <w:tcW w:w="6800" w:type="dxa"/>
            <w:vAlign w:val="bottom"/>
          </w:tcPr>
          <w:p>
            <w:pPr>
              <w:spacing w:after="0"/>
              <w:rPr>
                <w:sz w:val="6"/>
                <w:szCs w:val="6"/>
                <w:color w:val="auto"/>
              </w:rPr>
            </w:pPr>
          </w:p>
        </w:tc>
      </w:tr>
      <w:tr>
        <w:trPr>
          <w:trHeight w:val="175"/>
        </w:trPr>
        <w:tc>
          <w:tcPr>
            <w:tcW w:w="19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Outdoors</w:t>
            </w:r>
          </w:p>
        </w:tc>
        <w:tc>
          <w:tcPr>
            <w:tcW w:w="25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Camping</w:t>
            </w:r>
          </w:p>
        </w:tc>
        <w:tc>
          <w:tcPr>
            <w:tcW w:w="68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88"/>
              </w:rPr>
              <w:t>Coolers and drinkware, camping accessories, camping equipment, sunglasses, backpacks and</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sports bags</w:t>
            </w:r>
          </w:p>
        </w:tc>
      </w:tr>
      <w:tr>
        <w:trPr>
          <w:trHeight w:val="229"/>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Fishing</w:t>
            </w:r>
          </w:p>
        </w:tc>
        <w:tc>
          <w:tcPr>
            <w:tcW w:w="6800" w:type="dxa"/>
            <w:vAlign w:val="bottom"/>
          </w:tcPr>
          <w:p>
            <w:pPr>
              <w:ind w:left="60"/>
              <w:spacing w:after="0"/>
              <w:rPr>
                <w:sz w:val="20"/>
                <w:szCs w:val="20"/>
                <w:color w:val="auto"/>
              </w:rPr>
            </w:pPr>
            <w:r>
              <w:rPr>
                <w:rFonts w:ascii="Arial" w:cs="Arial" w:eastAsia="Arial" w:hAnsi="Arial"/>
                <w:sz w:val="18"/>
                <w:szCs w:val="18"/>
                <w:color w:val="auto"/>
              </w:rPr>
              <w:t>Marine equipment and fishing rods, reels, baits and equipment</w:t>
            </w:r>
          </w:p>
        </w:tc>
      </w:tr>
      <w:tr>
        <w:trPr>
          <w:trHeight w:val="188"/>
        </w:trPr>
        <w:tc>
          <w:tcPr>
            <w:tcW w:w="1940" w:type="dxa"/>
            <w:vAlign w:val="bottom"/>
            <w:shd w:val="clear" w:color="auto" w:fill="CCEEFF"/>
          </w:tcPr>
          <w:p>
            <w:pPr>
              <w:spacing w:after="0"/>
              <w:rPr>
                <w:sz w:val="16"/>
                <w:szCs w:val="16"/>
                <w:color w:val="auto"/>
              </w:rPr>
            </w:pPr>
          </w:p>
        </w:tc>
        <w:tc>
          <w:tcPr>
            <w:tcW w:w="2500" w:type="dxa"/>
            <w:vAlign w:val="bottom"/>
            <w:shd w:val="clear" w:color="auto" w:fill="CCEEFF"/>
          </w:tcPr>
          <w:p>
            <w:pPr>
              <w:ind w:left="320"/>
              <w:spacing w:after="0" w:line="189" w:lineRule="exact"/>
              <w:rPr>
                <w:sz w:val="20"/>
                <w:szCs w:val="20"/>
                <w:color w:val="auto"/>
              </w:rPr>
            </w:pPr>
            <w:r>
              <w:rPr>
                <w:rFonts w:ascii="Arial" w:cs="Arial" w:eastAsia="Arial" w:hAnsi="Arial"/>
                <w:sz w:val="18"/>
                <w:szCs w:val="18"/>
                <w:color w:val="auto"/>
              </w:rPr>
              <w:t>Shooting sports</w:t>
            </w:r>
          </w:p>
        </w:tc>
        <w:tc>
          <w:tcPr>
            <w:tcW w:w="680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99"/>
              </w:rPr>
              <w:t>Firearms, ammunition, archery and archery equipment, camouflage apparel, waders,</w:t>
            </w:r>
          </w:p>
        </w:tc>
      </w:tr>
      <w:tr>
        <w:trPr>
          <w:trHeight w:val="244"/>
        </w:trPr>
        <w:tc>
          <w:tcPr>
            <w:tcW w:w="194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rPr>
                <w:sz w:val="21"/>
                <w:szCs w:val="21"/>
                <w:color w:val="auto"/>
              </w:rPr>
            </w:pP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shooting accessories, optics, airguns and hunting equipment</w:t>
            </w:r>
          </w:p>
        </w:tc>
      </w:tr>
      <w:tr>
        <w:trPr>
          <w:trHeight w:val="95"/>
        </w:trPr>
        <w:tc>
          <w:tcPr>
            <w:tcW w:w="1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800" w:type="dxa"/>
            <w:vAlign w:val="bottom"/>
          </w:tcPr>
          <w:p>
            <w:pPr>
              <w:spacing w:after="0"/>
              <w:rPr>
                <w:sz w:val="8"/>
                <w:szCs w:val="8"/>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Sports and Recreation</w:t>
            </w: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Fitness</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Fitness equipment, fitness accessories and nutrition supplies</w:t>
            </w:r>
          </w:p>
        </w:tc>
      </w:tr>
      <w:tr>
        <w:trPr>
          <w:trHeight w:val="176"/>
        </w:trPr>
        <w:tc>
          <w:tcPr>
            <w:tcW w:w="1940" w:type="dxa"/>
            <w:vAlign w:val="bottom"/>
          </w:tcPr>
          <w:p>
            <w:pPr>
              <w:spacing w:after="0"/>
              <w:rPr>
                <w:sz w:val="15"/>
                <w:szCs w:val="15"/>
                <w:color w:val="auto"/>
              </w:rPr>
            </w:pPr>
          </w:p>
        </w:tc>
        <w:tc>
          <w:tcPr>
            <w:tcW w:w="2500" w:type="dxa"/>
            <w:vAlign w:val="bottom"/>
          </w:tcPr>
          <w:p>
            <w:pPr>
              <w:ind w:left="320"/>
              <w:spacing w:after="0" w:line="176" w:lineRule="exact"/>
              <w:rPr>
                <w:sz w:val="20"/>
                <w:szCs w:val="20"/>
                <w:color w:val="auto"/>
              </w:rPr>
            </w:pPr>
            <w:r>
              <w:rPr>
                <w:rFonts w:ascii="Arial" w:cs="Arial" w:eastAsia="Arial" w:hAnsi="Arial"/>
                <w:sz w:val="18"/>
                <w:szCs w:val="18"/>
                <w:color w:val="auto"/>
              </w:rPr>
              <w:t>Team sports</w:t>
            </w:r>
          </w:p>
        </w:tc>
        <w:tc>
          <w:tcPr>
            <w:tcW w:w="6800" w:type="dxa"/>
            <w:vAlign w:val="bottom"/>
          </w:tcPr>
          <w:p>
            <w:pPr>
              <w:ind w:left="60"/>
              <w:spacing w:after="0" w:line="176" w:lineRule="exact"/>
              <w:rPr>
                <w:sz w:val="20"/>
                <w:szCs w:val="20"/>
                <w:color w:val="auto"/>
              </w:rPr>
            </w:pPr>
            <w:r>
              <w:rPr>
                <w:rFonts w:ascii="Arial" w:cs="Arial" w:eastAsia="Arial" w:hAnsi="Arial"/>
                <w:sz w:val="18"/>
                <w:szCs w:val="18"/>
                <w:color w:val="auto"/>
                <w:w w:val="93"/>
              </w:rPr>
              <w:t>Team and specialty sports equipment, including baseball, football, basketball, soccer, golf,</w:t>
            </w:r>
          </w:p>
        </w:tc>
      </w:tr>
      <w:tr>
        <w:trPr>
          <w:trHeight w:val="229"/>
        </w:trPr>
        <w:tc>
          <w:tcPr>
            <w:tcW w:w="19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6800" w:type="dxa"/>
            <w:vAlign w:val="bottom"/>
          </w:tcPr>
          <w:p>
            <w:pPr>
              <w:ind w:left="60"/>
              <w:spacing w:after="0"/>
              <w:rPr>
                <w:sz w:val="20"/>
                <w:szCs w:val="20"/>
                <w:color w:val="auto"/>
              </w:rPr>
            </w:pPr>
            <w:r>
              <w:rPr>
                <w:rFonts w:ascii="Arial" w:cs="Arial" w:eastAsia="Arial" w:hAnsi="Arial"/>
                <w:sz w:val="18"/>
                <w:szCs w:val="18"/>
                <w:color w:val="auto"/>
              </w:rPr>
              <w:t>racket sports, and volleyball</w:t>
            </w:r>
          </w:p>
        </w:tc>
      </w:tr>
      <w:tr>
        <w:trPr>
          <w:trHeight w:val="176"/>
        </w:trPr>
        <w:tc>
          <w:tcPr>
            <w:tcW w:w="1940" w:type="dxa"/>
            <w:vAlign w:val="bottom"/>
            <w:shd w:val="clear" w:color="auto" w:fill="CCEEFF"/>
          </w:tcPr>
          <w:p>
            <w:pPr>
              <w:spacing w:after="0"/>
              <w:rPr>
                <w:sz w:val="15"/>
                <w:szCs w:val="15"/>
                <w:color w:val="auto"/>
              </w:rPr>
            </w:pPr>
          </w:p>
        </w:tc>
        <w:tc>
          <w:tcPr>
            <w:tcW w:w="25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Recreation</w:t>
            </w:r>
          </w:p>
        </w:tc>
        <w:tc>
          <w:tcPr>
            <w:tcW w:w="6800" w:type="dxa"/>
            <w:vAlign w:val="bottom"/>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Patio furniture, outdoor cooking, wheeled goods (bicycles, skateboards and other ride-on</w:t>
            </w:r>
          </w:p>
        </w:tc>
      </w:tr>
      <w:tr>
        <w:trPr>
          <w:trHeight w:val="229"/>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toys), trampolines, play sets, watersports and pet equipment</w:t>
            </w:r>
          </w:p>
        </w:tc>
      </w:tr>
      <w:tr>
        <w:trPr>
          <w:trHeight w:val="230"/>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Front end</w:t>
            </w:r>
          </w:p>
        </w:tc>
        <w:tc>
          <w:tcPr>
            <w:tcW w:w="6800" w:type="dxa"/>
            <w:vAlign w:val="bottom"/>
          </w:tcPr>
          <w:p>
            <w:pPr>
              <w:ind w:left="60"/>
              <w:spacing w:after="0"/>
              <w:rPr>
                <w:sz w:val="20"/>
                <w:szCs w:val="20"/>
                <w:color w:val="auto"/>
              </w:rPr>
            </w:pPr>
            <w:r>
              <w:rPr>
                <w:rFonts w:ascii="Arial" w:cs="Arial" w:eastAsia="Arial" w:hAnsi="Arial"/>
                <w:sz w:val="18"/>
                <w:szCs w:val="18"/>
                <w:color w:val="auto"/>
              </w:rPr>
              <w:t>Electronics, watches, and front-end (consumables, batteries, etc.)</w:t>
            </w:r>
          </w:p>
        </w:tc>
      </w:tr>
      <w:tr>
        <w:trPr>
          <w:trHeight w:val="95"/>
        </w:trPr>
        <w:tc>
          <w:tcPr>
            <w:tcW w:w="1940" w:type="dxa"/>
            <w:vAlign w:val="bottom"/>
            <w:shd w:val="clear" w:color="auto" w:fill="CCEEFF"/>
          </w:tcPr>
          <w:p>
            <w:pPr>
              <w:spacing w:after="0"/>
              <w:rPr>
                <w:sz w:val="8"/>
                <w:szCs w:val="8"/>
                <w:color w:val="auto"/>
              </w:rPr>
            </w:pPr>
          </w:p>
        </w:tc>
        <w:tc>
          <w:tcPr>
            <w:tcW w:w="2500" w:type="dxa"/>
            <w:vAlign w:val="bottom"/>
            <w:shd w:val="clear" w:color="auto" w:fill="CCEEFF"/>
          </w:tcPr>
          <w:p>
            <w:pPr>
              <w:spacing w:after="0"/>
              <w:rPr>
                <w:sz w:val="8"/>
                <w:szCs w:val="8"/>
                <w:color w:val="auto"/>
              </w:rPr>
            </w:pPr>
          </w:p>
        </w:tc>
        <w:tc>
          <w:tcPr>
            <w:tcW w:w="6800" w:type="dxa"/>
            <w:vAlign w:val="bottom"/>
            <w:shd w:val="clear" w:color="auto" w:fill="CCEEFF"/>
          </w:tcPr>
          <w:p>
            <w:pPr>
              <w:spacing w:after="0"/>
              <w:rPr>
                <w:sz w:val="8"/>
                <w:szCs w:val="8"/>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Apparel</w:t>
            </w:r>
          </w:p>
        </w:tc>
        <w:tc>
          <w:tcPr>
            <w:tcW w:w="2500" w:type="dxa"/>
            <w:vAlign w:val="bottom"/>
          </w:tcPr>
          <w:p>
            <w:pPr>
              <w:ind w:left="320"/>
              <w:spacing w:after="0"/>
              <w:rPr>
                <w:sz w:val="20"/>
                <w:szCs w:val="20"/>
                <w:color w:val="auto"/>
              </w:rPr>
            </w:pPr>
            <w:r>
              <w:rPr>
                <w:rFonts w:ascii="Arial" w:cs="Arial" w:eastAsia="Arial" w:hAnsi="Arial"/>
                <w:sz w:val="18"/>
                <w:szCs w:val="18"/>
                <w:color w:val="auto"/>
                <w:w w:val="89"/>
              </w:rPr>
              <w:t>Outdoor and seasonal apparel</w:t>
            </w:r>
          </w:p>
        </w:tc>
        <w:tc>
          <w:tcPr>
            <w:tcW w:w="6800" w:type="dxa"/>
            <w:vAlign w:val="bottom"/>
          </w:tcPr>
          <w:p>
            <w:pPr>
              <w:ind w:left="60"/>
              <w:spacing w:after="0"/>
              <w:rPr>
                <w:sz w:val="20"/>
                <w:szCs w:val="20"/>
                <w:color w:val="auto"/>
              </w:rPr>
            </w:pPr>
            <w:r>
              <w:rPr>
                <w:rFonts w:ascii="Arial" w:cs="Arial" w:eastAsia="Arial" w:hAnsi="Arial"/>
                <w:sz w:val="18"/>
                <w:szCs w:val="18"/>
                <w:color w:val="auto"/>
                <w:w w:val="94"/>
              </w:rPr>
              <w:t>Outdoor apparel, seasonal apparel, denim, work apparel, graphic t-shirts and accessories</w:t>
            </w:r>
          </w:p>
        </w:tc>
      </w:tr>
      <w:tr>
        <w:trPr>
          <w:trHeight w:val="229"/>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Youth apparel</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Boys and girls outdoor and athletic apparel</w:t>
            </w:r>
          </w:p>
        </w:tc>
      </w:tr>
      <w:tr>
        <w:trPr>
          <w:trHeight w:val="230"/>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Athletic apparel</w:t>
            </w:r>
          </w:p>
        </w:tc>
        <w:tc>
          <w:tcPr>
            <w:tcW w:w="6800" w:type="dxa"/>
            <w:vAlign w:val="bottom"/>
          </w:tcPr>
          <w:p>
            <w:pPr>
              <w:ind w:left="60"/>
              <w:spacing w:after="0"/>
              <w:rPr>
                <w:sz w:val="20"/>
                <w:szCs w:val="20"/>
                <w:color w:val="auto"/>
              </w:rPr>
            </w:pPr>
            <w:r>
              <w:rPr>
                <w:rFonts w:ascii="Arial" w:cs="Arial" w:eastAsia="Arial" w:hAnsi="Arial"/>
                <w:sz w:val="18"/>
                <w:szCs w:val="18"/>
                <w:color w:val="auto"/>
              </w:rPr>
              <w:t>Sporting apparel and apparel for fitness</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Licensed apparel</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Professional and collegiate team licensed apparel and accessories</w:t>
            </w:r>
          </w:p>
        </w:tc>
      </w:tr>
      <w:tr>
        <w:trPr>
          <w:trHeight w:val="95"/>
        </w:trPr>
        <w:tc>
          <w:tcPr>
            <w:tcW w:w="1940" w:type="dxa"/>
            <w:vAlign w:val="bottom"/>
          </w:tcPr>
          <w:p>
            <w:pPr>
              <w:spacing w:after="0"/>
              <w:rPr>
                <w:sz w:val="8"/>
                <w:szCs w:val="8"/>
                <w:color w:val="auto"/>
              </w:rPr>
            </w:pPr>
          </w:p>
        </w:tc>
        <w:tc>
          <w:tcPr>
            <w:tcW w:w="2500" w:type="dxa"/>
            <w:vAlign w:val="bottom"/>
          </w:tcPr>
          <w:p>
            <w:pPr>
              <w:spacing w:after="0"/>
              <w:rPr>
                <w:sz w:val="8"/>
                <w:szCs w:val="8"/>
                <w:color w:val="auto"/>
              </w:rPr>
            </w:pPr>
          </w:p>
        </w:tc>
        <w:tc>
          <w:tcPr>
            <w:tcW w:w="6800" w:type="dxa"/>
            <w:vAlign w:val="bottom"/>
          </w:tcPr>
          <w:p>
            <w:pPr>
              <w:spacing w:after="0"/>
              <w:rPr>
                <w:sz w:val="8"/>
                <w:szCs w:val="8"/>
                <w:color w:val="auto"/>
              </w:rPr>
            </w:pPr>
          </w:p>
        </w:tc>
      </w:tr>
      <w:tr>
        <w:trPr>
          <w:trHeight w:val="229"/>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Footwear</w:t>
            </w: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9"/>
              </w:rPr>
              <w:t>Casual and seasonal footwear</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Casual shoes, slippers, seasonal footwear and socks</w:t>
            </w:r>
          </w:p>
        </w:tc>
      </w:tr>
      <w:tr>
        <w:trPr>
          <w:trHeight w:val="230"/>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Work footwear</w:t>
            </w:r>
          </w:p>
        </w:tc>
        <w:tc>
          <w:tcPr>
            <w:tcW w:w="6800" w:type="dxa"/>
            <w:vAlign w:val="bottom"/>
          </w:tcPr>
          <w:p>
            <w:pPr>
              <w:ind w:left="60"/>
              <w:spacing w:after="0"/>
              <w:rPr>
                <w:sz w:val="20"/>
                <w:szCs w:val="20"/>
                <w:color w:val="auto"/>
              </w:rPr>
            </w:pPr>
            <w:r>
              <w:rPr>
                <w:rFonts w:ascii="Arial" w:cs="Arial" w:eastAsia="Arial" w:hAnsi="Arial"/>
                <w:sz w:val="18"/>
                <w:szCs w:val="18"/>
                <w:color w:val="auto"/>
              </w:rPr>
              <w:t>Work and western boots, shoes and hunting footwear</w:t>
            </w:r>
          </w:p>
        </w:tc>
      </w:tr>
      <w:tr>
        <w:trPr>
          <w:trHeight w:val="230"/>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Youth footwear</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Boys and girls athletic footwear</w:t>
            </w:r>
          </w:p>
        </w:tc>
      </w:tr>
      <w:tr>
        <w:trPr>
          <w:trHeight w:val="230"/>
        </w:trPr>
        <w:tc>
          <w:tcPr>
            <w:tcW w:w="1940" w:type="dxa"/>
            <w:vAlign w:val="bottom"/>
          </w:tcPr>
          <w:p>
            <w:pPr>
              <w:spacing w:after="0"/>
              <w:rPr>
                <w:sz w:val="19"/>
                <w:szCs w:val="19"/>
                <w:color w:val="auto"/>
              </w:rPr>
            </w:pPr>
          </w:p>
        </w:tc>
        <w:tc>
          <w:tcPr>
            <w:tcW w:w="2500" w:type="dxa"/>
            <w:vAlign w:val="bottom"/>
          </w:tcPr>
          <w:p>
            <w:pPr>
              <w:ind w:left="320"/>
              <w:spacing w:after="0"/>
              <w:rPr>
                <w:sz w:val="20"/>
                <w:szCs w:val="20"/>
                <w:color w:val="auto"/>
              </w:rPr>
            </w:pPr>
            <w:r>
              <w:rPr>
                <w:rFonts w:ascii="Arial" w:cs="Arial" w:eastAsia="Arial" w:hAnsi="Arial"/>
                <w:sz w:val="18"/>
                <w:szCs w:val="18"/>
                <w:color w:val="auto"/>
              </w:rPr>
              <w:t>Athletic footwear</w:t>
            </w:r>
          </w:p>
        </w:tc>
        <w:tc>
          <w:tcPr>
            <w:tcW w:w="6800" w:type="dxa"/>
            <w:vAlign w:val="bottom"/>
          </w:tcPr>
          <w:p>
            <w:pPr>
              <w:ind w:left="60"/>
              <w:spacing w:after="0"/>
              <w:rPr>
                <w:sz w:val="20"/>
                <w:szCs w:val="20"/>
                <w:color w:val="auto"/>
              </w:rPr>
            </w:pPr>
            <w:r>
              <w:rPr>
                <w:rFonts w:ascii="Arial" w:cs="Arial" w:eastAsia="Arial" w:hAnsi="Arial"/>
                <w:sz w:val="18"/>
                <w:szCs w:val="18"/>
                <w:color w:val="auto"/>
              </w:rPr>
              <w:t>Running shoes, athletic lifestyle and training shoes</w:t>
            </w:r>
          </w:p>
        </w:tc>
      </w:tr>
      <w:tr>
        <w:trPr>
          <w:trHeight w:val="229"/>
        </w:trPr>
        <w:tc>
          <w:tcPr>
            <w:tcW w:w="1940" w:type="dxa"/>
            <w:vAlign w:val="bottom"/>
            <w:shd w:val="clear" w:color="auto" w:fill="CCEEFF"/>
          </w:tcPr>
          <w:p>
            <w:pPr>
              <w:spacing w:after="0"/>
              <w:rPr>
                <w:sz w:val="19"/>
                <w:szCs w:val="19"/>
                <w:color w:val="auto"/>
              </w:rPr>
            </w:pPr>
          </w:p>
        </w:tc>
        <w:tc>
          <w:tcPr>
            <w:tcW w:w="2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Team sports footwear</w:t>
            </w:r>
          </w:p>
        </w:tc>
        <w:tc>
          <w:tcPr>
            <w:tcW w:w="6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Team and specialty sports footwear and slides</w:t>
            </w:r>
          </w:p>
        </w:tc>
      </w:tr>
    </w:tbl>
    <w:p>
      <w:pPr>
        <w:spacing w:after="0" w:line="80" w:lineRule="exact"/>
        <w:rPr>
          <w:sz w:val="20"/>
          <w:szCs w:val="20"/>
          <w:color w:val="auto"/>
        </w:rPr>
      </w:pPr>
    </w:p>
    <w:p>
      <w:pPr>
        <w:jc w:val="both"/>
        <w:ind w:left="180" w:right="20" w:hanging="172"/>
        <w:spacing w:after="0" w:line="234" w:lineRule="auto"/>
        <w:tabs>
          <w:tab w:leader="none" w:pos="219"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Certain products and categories were reclassified amongst categories and divisions, respectively, during 2021 as compared to prior years in order to better align with our current merchandising strategy and view of the business. Changes in management's merchandise strategy and viewpoints could result in future reclassifications.</w:t>
      </w:r>
    </w:p>
    <w:p>
      <w:pPr>
        <w:spacing w:after="0" w:line="200" w:lineRule="exact"/>
        <w:rPr>
          <w:sz w:val="20"/>
          <w:szCs w:val="20"/>
          <w:color w:val="auto"/>
        </w:rPr>
      </w:pPr>
    </w:p>
    <w:p>
      <w:pPr>
        <w:spacing w:after="0" w:line="3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 w:name="page9"/>
    <w:bookmarkEnd w:id="8"/>
    <w:p>
      <w:pPr>
        <w:ind w:right="140" w:firstLine="324"/>
        <w:spacing w:after="0" w:line="271" w:lineRule="auto"/>
        <w:rPr>
          <w:sz w:val="20"/>
          <w:szCs w:val="20"/>
          <w:color w:val="auto"/>
        </w:rPr>
      </w:pPr>
      <w:r>
        <w:rPr>
          <w:rFonts w:ascii="Arial" w:cs="Arial" w:eastAsia="Arial" w:hAnsi="Arial"/>
          <w:sz w:val="18"/>
          <w:szCs w:val="18"/>
          <w:color w:val="auto"/>
        </w:rPr>
        <w:t>The following table sets forth the approximate amount of sales (all of which are based in the U.S.) by merchandise divisions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2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00" w:type="dxa"/>
            <w:vAlign w:val="bottom"/>
            <w:gridSpan w:val="2"/>
          </w:tcPr>
          <w:p>
            <w:pPr>
              <w:ind w:left="140"/>
              <w:spacing w:after="0"/>
              <w:rPr>
                <w:sz w:val="20"/>
                <w:szCs w:val="20"/>
                <w:color w:val="auto"/>
              </w:rPr>
            </w:pPr>
            <w:r>
              <w:rPr>
                <w:rFonts w:ascii="Arial" w:cs="Arial" w:eastAsia="Arial" w:hAnsi="Arial"/>
                <w:sz w:val="18"/>
                <w:szCs w:val="18"/>
                <w:b w:val="1"/>
                <w:bCs w:val="1"/>
                <w:color w:val="auto"/>
              </w:rPr>
              <w:t>January 29, 2022</w:t>
            </w:r>
          </w:p>
        </w:tc>
        <w:tc>
          <w:tcPr>
            <w:tcW w:w="220" w:type="dxa"/>
            <w:vAlign w:val="bottom"/>
          </w:tcPr>
          <w:p>
            <w:pPr>
              <w:spacing w:after="0"/>
              <w:rPr>
                <w:sz w:val="19"/>
                <w:szCs w:val="19"/>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January 30, 2021</w:t>
            </w:r>
          </w:p>
        </w:tc>
        <w:tc>
          <w:tcPr>
            <w:tcW w:w="240" w:type="dxa"/>
            <w:vAlign w:val="bottom"/>
          </w:tcPr>
          <w:p>
            <w:pPr>
              <w:spacing w:after="0"/>
              <w:rPr>
                <w:sz w:val="19"/>
                <w:szCs w:val="19"/>
                <w:color w:val="auto"/>
              </w:rPr>
            </w:pPr>
          </w:p>
        </w:tc>
        <w:tc>
          <w:tcPr>
            <w:tcW w:w="18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February 1, 2020</w:t>
            </w:r>
          </w:p>
        </w:tc>
      </w:tr>
      <w:tr>
        <w:trPr>
          <w:trHeight w:val="210"/>
        </w:trPr>
        <w:tc>
          <w:tcPr>
            <w:tcW w:w="4900" w:type="dxa"/>
            <w:vAlign w:val="bottom"/>
            <w:tcBorders>
              <w:top w:val="single" w:sz="8" w:color="CCEEFF"/>
            </w:tcBorders>
            <w:shd w:val="clear" w:color="auto" w:fill="CCEEFF"/>
          </w:tcPr>
          <w:p>
            <w:pPr>
              <w:ind w:left="20"/>
              <w:spacing w:after="0" w:line="210" w:lineRule="exact"/>
              <w:rPr>
                <w:sz w:val="20"/>
                <w:szCs w:val="20"/>
                <w:color w:val="auto"/>
              </w:rPr>
            </w:pPr>
            <w:r>
              <w:rPr>
                <w:rFonts w:ascii="Arial" w:cs="Arial" w:eastAsia="Arial" w:hAnsi="Arial"/>
                <w:sz w:val="18"/>
                <w:szCs w:val="18"/>
                <w:color w:val="auto"/>
              </w:rPr>
              <w:t xml:space="preserve">Merchandise sales </w:t>
            </w:r>
            <w:r>
              <w:rPr>
                <w:rFonts w:ascii="Arial" w:cs="Arial" w:eastAsia="Arial" w:hAnsi="Arial"/>
                <w:sz w:val="23"/>
                <w:szCs w:val="23"/>
                <w:color w:val="auto"/>
                <w:vertAlign w:val="superscript"/>
              </w:rPr>
              <w:t>(1)</w:t>
            </w: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Outdoors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2,174,650</w:t>
            </w:r>
          </w:p>
        </w:tc>
        <w:tc>
          <w:tcPr>
            <w:tcW w:w="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1,968,514</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1,455,080</w:t>
            </w: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Sports and recreation</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1,463,172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1,256,357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974,125</w:t>
            </w: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Apparel</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1,810,345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1,390,519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1,358,906</w:t>
            </w: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Footwear</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1,290,197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1,044,502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1,021,603</w:t>
            </w:r>
          </w:p>
        </w:tc>
      </w:tr>
      <w:tr>
        <w:trPr>
          <w:trHeight w:val="223"/>
        </w:trPr>
        <w:tc>
          <w:tcPr>
            <w:tcW w:w="4900" w:type="dxa"/>
            <w:vAlign w:val="bottom"/>
          </w:tcPr>
          <w:p>
            <w:pPr>
              <w:ind w:left="460"/>
              <w:spacing w:after="0" w:line="223" w:lineRule="exact"/>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6,738,364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5,659,892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4,809,714</w:t>
            </w:r>
          </w:p>
        </w:tc>
      </w:tr>
      <w:tr>
        <w:trPr>
          <w:trHeight w:val="229"/>
        </w:trPr>
        <w:tc>
          <w:tcPr>
            <w:tcW w:w="49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(3)</w:t>
            </w: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34,764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20,183</w:t>
            </w:r>
          </w:p>
        </w:tc>
      </w:tr>
      <w:tr>
        <w:trPr>
          <w:trHeight w:val="223"/>
        </w:trPr>
        <w:tc>
          <w:tcPr>
            <w:tcW w:w="4900" w:type="dxa"/>
            <w:vAlign w:val="bottom"/>
          </w:tcPr>
          <w:p>
            <w:pPr>
              <w:ind w:left="46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6,773,128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5,689,233</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4,829,897</w:t>
            </w:r>
          </w:p>
        </w:tc>
      </w:tr>
      <w:tr>
        <w:trPr>
          <w:trHeight w:val="20"/>
        </w:trPr>
        <w:tc>
          <w:tcPr>
            <w:tcW w:w="4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8"/>
        <w:spacing w:after="0" w:line="254" w:lineRule="auto"/>
        <w:tabs>
          <w:tab w:leader="none" w:pos="193"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Certain products and categories were re-categorized amongst various categories and divisions, respectively, during 2021 as compared to prior years in order to better align with our current merchandising strategy and view of the business. As a result, we have reclassified sales between divisions for 2020 and 2019 for comparability purposes. This reclassification is in divisional presentation only and did not impact the overall net sales balances previously disclosed (see Note 2 to the accompanying consolidated financial statements).</w:t>
      </w:r>
    </w:p>
    <w:p>
      <w:pPr>
        <w:spacing w:after="0" w:line="72"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E-commerce sales consist of 9.3%, 10.4% and 5.1% of merchandise sales for 2021, 2020 and 2019, respectively.</w:t>
      </w:r>
    </w:p>
    <w:p>
      <w:pPr>
        <w:spacing w:after="0" w:line="93" w:lineRule="exact"/>
        <w:rPr>
          <w:rFonts w:ascii="Arial" w:cs="Arial" w:eastAsia="Arial" w:hAnsi="Arial"/>
          <w:sz w:val="21"/>
          <w:szCs w:val="21"/>
          <w:color w:val="auto"/>
          <w:vertAlign w:val="superscript"/>
        </w:rPr>
      </w:pPr>
    </w:p>
    <w:p>
      <w:pPr>
        <w:ind w:firstLine="8"/>
        <w:spacing w:after="0" w:line="238" w:lineRule="auto"/>
        <w:tabs>
          <w:tab w:leader="none" w:pos="189" w:val="left"/>
        </w:tabs>
        <w:numPr>
          <w:ilvl w:val="0"/>
          <w:numId w:val="10"/>
        </w:numPr>
        <w:rPr>
          <w:rFonts w:ascii="Arial" w:cs="Arial" w:eastAsia="Arial" w:hAnsi="Arial"/>
          <w:sz w:val="22"/>
          <w:szCs w:val="22"/>
          <w:color w:val="auto"/>
          <w:vertAlign w:val="superscript"/>
        </w:rPr>
      </w:pPr>
      <w:r>
        <w:rPr>
          <w:rFonts w:ascii="Arial" w:cs="Arial" w:eastAsia="Arial" w:hAnsi="Arial"/>
          <w:sz w:val="17"/>
          <w:szCs w:val="17"/>
          <w:color w:val="auto"/>
        </w:rPr>
        <w:t>Other sales consists primarily of the sales return allowance, gift card breakage income, credit card bounties and royalties, shipping income, net hunting and fishing license income and other items.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stores, all of which are based in the U.S., are designed to provide our customers with an easy-in, easy-out shopping experience. The interior of most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8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stores average approximately 70,000 gross square feet, of which approximately 85% is dedicated to selling space. 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9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active members of the communities in which we operate. We have a strong and growing presence in some of the fastest-growing MSAs in the United States, including Austin, Raleigh, Orlando, Houston, San Antonio, Dallas and Charlotte. Our long-time customers have grown up with the Academy brand over time and pass their passion for us on to the next generation, enabling us to benefit from strong customer loyalty and shopping frequency in our embedded regional markets.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9" w:name="page10"/>
    <w:bookmarkEnd w:id="9"/>
    <w:p>
      <w:pPr>
        <w:ind w:left="340"/>
        <w:spacing w:after="0"/>
        <w:rPr>
          <w:sz w:val="20"/>
          <w:szCs w:val="20"/>
          <w:color w:val="auto"/>
        </w:rPr>
      </w:pPr>
      <w:r>
        <w:rPr>
          <w:rFonts w:ascii="Arial" w:cs="Arial" w:eastAsia="Arial" w:hAnsi="Arial"/>
          <w:sz w:val="18"/>
          <w:szCs w:val="18"/>
          <w:color w:val="auto"/>
        </w:rPr>
        <w:t>As of January 29, 2022, the number of stores that we operated, exclusively in the U.S., by state was as follows:</w:t>
      </w:r>
    </w:p>
    <w:p>
      <w:pPr>
        <w:spacing w:after="0" w:line="289" w:lineRule="exact"/>
        <w:rPr>
          <w:sz w:val="20"/>
          <w:szCs w:val="20"/>
          <w:color w:val="auto"/>
        </w:rPr>
      </w:pPr>
    </w:p>
    <w:tbl>
      <w:tblPr>
        <w:tblLayout w:type="fixed"/>
        <w:tblInd w:w="2220" w:type="dxa"/>
        <w:tblCellMar>
          <w:top w:w="0" w:type="dxa"/>
          <w:left w:w="0" w:type="dxa"/>
          <w:bottom w:w="0" w:type="dxa"/>
          <w:right w:w="0" w:type="dxa"/>
        </w:tblCellMar>
      </w:tblPr>
      <w:tr>
        <w:trPr>
          <w:trHeight w:val="234"/>
        </w:trPr>
        <w:tc>
          <w:tcPr>
            <w:tcW w:w="4600" w:type="dxa"/>
            <w:vAlign w:val="bottom"/>
            <w:gridSpan w:val="2"/>
          </w:tcPr>
          <w:p>
            <w:pPr>
              <w:ind w:left="2040"/>
              <w:spacing w:after="0"/>
              <w:rPr>
                <w:sz w:val="20"/>
                <w:szCs w:val="20"/>
                <w:color w:val="auto"/>
              </w:rPr>
            </w:pPr>
            <w:r>
              <w:rPr>
                <w:rFonts w:ascii="Arial" w:cs="Arial" w:eastAsia="Arial" w:hAnsi="Arial"/>
                <w:sz w:val="18"/>
                <w:szCs w:val="18"/>
                <w:b w:val="1"/>
                <w:bCs w:val="1"/>
                <w:color w:val="auto"/>
              </w:rPr>
              <w:t>State</w:t>
            </w:r>
          </w:p>
        </w:tc>
        <w:tc>
          <w:tcPr>
            <w:tcW w:w="2220" w:type="dxa"/>
            <w:vAlign w:val="bottom"/>
          </w:tcPr>
          <w:p>
            <w:pPr>
              <w:jc w:val="right"/>
              <w:ind w:right="350"/>
              <w:spacing w:after="0"/>
              <w:rPr>
                <w:sz w:val="20"/>
                <w:szCs w:val="20"/>
                <w:color w:val="auto"/>
              </w:rPr>
            </w:pPr>
            <w:r>
              <w:rPr>
                <w:rFonts w:ascii="Arial" w:cs="Arial" w:eastAsia="Arial" w:hAnsi="Arial"/>
                <w:sz w:val="18"/>
                <w:szCs w:val="18"/>
                <w:b w:val="1"/>
                <w:bCs w:val="1"/>
                <w:color w:val="auto"/>
              </w:rPr>
              <w:t>Number of Stores</w:t>
            </w:r>
          </w:p>
        </w:tc>
      </w:tr>
      <w:tr>
        <w:trPr>
          <w:trHeight w:val="223"/>
        </w:trPr>
        <w:tc>
          <w:tcPr>
            <w:tcW w:w="4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Texas</w:t>
            </w:r>
          </w:p>
        </w:tc>
        <w:tc>
          <w:tcPr>
            <w:tcW w:w="10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Louisiana</w:t>
            </w:r>
          </w:p>
        </w:tc>
        <w:tc>
          <w:tcPr>
            <w:tcW w:w="22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Alabama</w:t>
            </w:r>
          </w:p>
        </w:tc>
        <w:tc>
          <w:tcPr>
            <w:tcW w:w="2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Tennessee</w:t>
            </w:r>
          </w:p>
        </w:tc>
        <w:tc>
          <w:tcPr>
            <w:tcW w:w="22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Florida</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South Carolina</w:t>
            </w:r>
          </w:p>
        </w:tc>
        <w:tc>
          <w:tcPr>
            <w:tcW w:w="22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Mississippi</w:t>
            </w:r>
          </w:p>
        </w:tc>
        <w:tc>
          <w:tcPr>
            <w:tcW w:w="22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Kansas</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Kentucky</w:t>
            </w:r>
          </w:p>
        </w:tc>
        <w:tc>
          <w:tcPr>
            <w:tcW w:w="2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Indiana</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Illinois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significant growth opportunities in both our core markets and outside our footprint. We believe our real estate strategy has positioned us well for further expansion, and our track record has demonstrated that we can open and operate stores profitably. We believe there is significant near-term opportunity for expansion with stores in in-fill markets, where we already have an established presence, and in adjacent markets, markets nearby to current locations which are not fully represented. We expect to open at least eight stores in 2022.</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marketing strategy is designed to reinforce our broad selection of merchandise and value prices. We rely on various media to communicate with our customers including printed advertisements, television and radio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and sponsor over 3,000 local sports teams and enter into sponsorship agreements with local professional sports teams, associations, events, networks, players and collegiate programs.</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utilize data obtained from our customer relationship management, or CRM, tools, which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We also utilize customer demographic data that we capture to know when our customers buy from us and what items they purchase. With over 40 million customers in our database, there is ample opportunity to increase our communication directly with our customers via one-on-one marketing.</w:t>
      </w:r>
    </w:p>
    <w:p>
      <w:pPr>
        <w:spacing w:after="0" w:line="200" w:lineRule="exact"/>
        <w:rPr>
          <w:sz w:val="20"/>
          <w:szCs w:val="20"/>
          <w:color w:val="auto"/>
        </w:rPr>
      </w:pPr>
    </w:p>
    <w:p>
      <w:pPr>
        <w:spacing w:after="0" w:line="27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 w:name="page11"/>
    <w:bookmarkEnd w:id="10"/>
    <w:p>
      <w:pPr>
        <w:jc w:val="both"/>
        <w:ind w:firstLine="324"/>
        <w:spacing w:after="0" w:line="277" w:lineRule="auto"/>
        <w:rPr>
          <w:sz w:val="20"/>
          <w:szCs w:val="20"/>
          <w:color w:val="auto"/>
        </w:rPr>
      </w:pPr>
      <w:r>
        <w:rPr>
          <w:rFonts w:ascii="Arial" w:cs="Arial" w:eastAsia="Arial" w:hAnsi="Arial"/>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Centers</w:t>
      </w:r>
    </w:p>
    <w:p>
      <w:pPr>
        <w:spacing w:after="0" w:line="25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an ability to service up to an average of 110 locations each.</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Members</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mission is to provide “Fun for All” and a critical component to our success is our people. As of January 29, 2022, we employed approximately 22,000 team members in the U.S. and 11 team members in Hong Kong. Of those team members, approximately 50% were full-time and 50% were part-time. Our employment levels fluctuate over the course of the year mainly due to the seasonality of our business. None of our team members are covered by collective bargaining agreements. The Company believes that it has a good working relationship with its team members.</w:t>
      </w:r>
    </w:p>
    <w:p>
      <w:pPr>
        <w:spacing w:after="0" w:line="19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b w:val="1"/>
          <w:bCs w:val="1"/>
          <w:i w:val="1"/>
          <w:iCs w:val="1"/>
          <w:color w:val="auto"/>
        </w:rPr>
        <w:t xml:space="preserve">Culture and Core Values. </w:t>
      </w:r>
      <w:r>
        <w:rPr>
          <w:rFonts w:ascii="Arial" w:cs="Arial" w:eastAsia="Arial" w:hAnsi="Arial"/>
          <w:sz w:val="17"/>
          <w:szCs w:val="17"/>
          <w:color w:val="auto"/>
        </w:rPr>
        <w:t>We strive to provide rewarding careers, benefits, and a workplace culture where team members are empowered to be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authentic self—drawing on their unique perspectives, passions, skills, interests, and experiences in their day-to-day jobs. Our core values establish a strong foundation for our culture and represent the key expectations we have of our team members. These include the following:</w:t>
      </w:r>
    </w:p>
    <w:p>
      <w:pPr>
        <w:spacing w:after="0" w:line="3"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Customer focus and service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Excellence in all we do</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Responsible leadership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Initiative with urgency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Students of the business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Integrity always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Positive impact on our communities</w:t>
      </w:r>
    </w:p>
    <w:p>
      <w:pPr>
        <w:spacing w:after="0" w:line="200" w:lineRule="exact"/>
        <w:rPr>
          <w:sz w:val="20"/>
          <w:szCs w:val="20"/>
          <w:color w:val="auto"/>
        </w:rPr>
      </w:pP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1" w:name="page12"/>
    <w:bookmarkEnd w:id="11"/>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Diversity, Inclusion and Belonging. </w:t>
      </w:r>
      <w:r>
        <w:rPr>
          <w:rFonts w:ascii="Arial" w:cs="Arial" w:eastAsia="Arial" w:hAnsi="Arial"/>
          <w:sz w:val="18"/>
          <w:szCs w:val="18"/>
          <w:color w:val="auto"/>
        </w:rPr>
        <w:t>At Academy, we believe the diversity of our team members, customers, and all others with whom we interact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enhances the quality of our work environment and our customers’ shopping experience. Academy encourages team members to work together and to value the strengths each team member brings to the team. Our strategy begins with attracting, recruiting, developing, and retaining team members with backgrounds that are representative of our diverse communities because it makes our company and communities stronger. We require all team members to complete unintentional bias training to help eliminate biases from recruiting, hiring, promotions, job assignments and opportunities, evaluations, compensation, and customer service.</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2020, we established our Diversity, Inclusion and Belonging Committee, and they led the organization in the creation of the following formal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Diversity, Inclusion and Belonging Statement to further demonstrate our commitment:</w:t>
      </w:r>
    </w:p>
    <w:p>
      <w:pPr>
        <w:spacing w:after="0" w:line="23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i w:val="1"/>
          <w:iCs w:val="1"/>
          <w:color w:val="auto"/>
        </w:rPr>
        <w:t>At Academy Sports + Outdoors, we promote a culture of diversity, inclusion and belonging, which should be reflected in the actions and behavior of our team members. Diversity is inviting all players to join the team. Inclusion and belonging are when everyone gets to play the game. Every player is key, and we are only successful when everyone has an equal opportunity to play and win.</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Talent Management. </w:t>
      </w:r>
      <w:r>
        <w:rPr>
          <w:rFonts w:ascii="Arial" w:cs="Arial" w:eastAsia="Arial" w:hAnsi="Arial"/>
          <w:sz w:val="17"/>
          <w:szCs w:val="17"/>
          <w:color w:val="auto"/>
        </w:rPr>
        <w:t>The best way to serve our customers is to invest in top talent, be open to innovation, and have the vision to succeed. We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focused on creating a winning team by recruiting and retaining great people, promoting teamwork, and fostering an enjoyable and rewarding work environment. We also strive to provide all team members with opportunities for personal growth, cross functional training, job opportunities and career advancement. We offer a mix of instructor-led, online, and blended courses in several key areas, including Career Development and Leadership Development. Our wide variety of courses ranges from job specific (i.e., functional) to broad based leadership training to safety, security, ethics, and compliance training. We also engage in regular and ongoing feedback, annual performance reviews and annual talent calibration conversations. Succession planning is conducted on an annual basis to identify suitable internal candidates for key positions within the Company.</w:t>
      </w:r>
    </w:p>
    <w:p>
      <w:pPr>
        <w:spacing w:after="0" w:line="20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Compensation and Benefits. </w:t>
      </w:r>
      <w:r>
        <w:rPr>
          <w:rFonts w:ascii="Arial" w:cs="Arial" w:eastAsia="Arial" w:hAnsi="Arial"/>
          <w:sz w:val="17"/>
          <w:szCs w:val="17"/>
          <w:color w:val="auto"/>
        </w:rPr>
        <w:t>We offer a competitive compensation and benefits package. Our benefits package is designed to allow team members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ability to pick and choose which benefits are the best for their and their family’s health and well-being. Depending on the team member’s employment and work status, they may be eligible for: medical, dental, and vision insurance; participation in the Company’s 401(k) Plan with a six percent dollar for dollar match up to the IRS deferral limit; participation in the Company’s Employee Stock Purchase Plan which provides a 15 percent discount on the lower of the stock price at the beginning or the end of the each offering period; paid time off and paid vacations; tuition reimbursement programs; professional license/certification reimbursement; medical, family, and bereavement leave; additional voluntary short/long term, life, legal, pet, and accident insurance; paid maternity and parental leave; and a 20 percent team member discount on most all of our merchandise, to name a few. We also provide, in all our distribution centers and our Katy corporate office, subsidized meals for all team members. Specific to our Katy corporate office, we engage our team members through the opportunity to participate in intramural sport teams, 5K fun walk/run events, subsidized membership in the company gym and exercise classes (this is also open to our Katy distribution team members); “food truck Fridays”; onsite car wash; and a company holiday party and other team member appreciation events. In 2021, we paid over nine million dollars in thank you and retention bonuses to our hourly team members to reward them for their effort and support during a unique and challenging year.</w:t>
      </w:r>
    </w:p>
    <w:p>
      <w:pPr>
        <w:spacing w:after="0" w:line="16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b w:val="1"/>
          <w:bCs w:val="1"/>
          <w:i w:val="1"/>
          <w:iCs w:val="1"/>
          <w:color w:val="auto"/>
        </w:rPr>
        <w:t xml:space="preserve">Workplace, Health and Safety. </w:t>
      </w:r>
      <w:r>
        <w:rPr>
          <w:rFonts w:ascii="Arial" w:cs="Arial" w:eastAsia="Arial" w:hAnsi="Arial"/>
          <w:sz w:val="18"/>
          <w:szCs w:val="18"/>
          <w:color w:val="auto"/>
        </w:rPr>
        <w:t>The health and safety of our customers, team members, and communities is our top priority. We strive to ensure that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safe and hygienic working environment is provided and that occupational health and safety practices which prevent accidents and injury are promoted. Throughout our stores, distribution centers, and corporate headquarters, we employ policies, procedures, and training to promote safe and healthy work environments.</w:t>
      </w:r>
    </w:p>
    <w:p>
      <w:pPr>
        <w:spacing w:after="0" w:line="214"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Our team member handbook outlines safety expectations, but we also empower our team members with knowledge and skills from various safety training courses during the onboarding process and on an ongoing basis through our learning engagement system with topics such as incident reporting, behavior-based safety, evacuation, active shooter response, hazardous materials, ergonomics, heat safety, electrical safety, industrial truck and pallet jack safety, confined space entry and parking lot and garage safety. We continue to focus on developing and driving our safety-first culture through awareness, training, and actions to reduce the frequency and severity of safety incidents.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2" w:name="page13"/>
    <w:bookmarkEnd w:id="12"/>
    <w:p>
      <w:pPr>
        <w:jc w:val="both"/>
        <w:ind w:firstLine="324"/>
        <w:spacing w:after="0" w:line="268" w:lineRule="auto"/>
        <w:rPr>
          <w:sz w:val="20"/>
          <w:szCs w:val="20"/>
          <w:color w:val="auto"/>
        </w:rPr>
      </w:pPr>
      <w:r>
        <w:rPr>
          <w:rFonts w:ascii="Arial" w:cs="Arial" w:eastAsia="Arial" w:hAnsi="Arial"/>
          <w:sz w:val="17"/>
          <w:szCs w:val="17"/>
          <w:color w:val="auto"/>
        </w:rPr>
        <w:t>During 2021, we continued our COVID-19 safety precautions based on Centers for Disease Control guidelines, including requiring all team members in stores, distribution centers, and the corporate office to socially distance; wear face coverings if they were not fully vaccinated or at-risk except when alone, eating or drinking; maintain proper hygiene; stay home if they did not feel well or test positive for COVID-19; and promptly notify their leader if they received a positive COVID-19 test result or developed symptoms of COVID-19. We also encouraged all team members to obtain a COVID-19 vaccination and booster and facilitated several free onsite vaccination events to offer team members a convenient way to get vaccinated. We have taken many additional actions in our stores based on the needs, risks, and regulations present in each community and facility, including cleaning stores professionally on a regular basis, equipping stores with hand sanitizer stations and signage illustrating how to socially distance within the store, limiting the number of customers admitted at one time, monitoring and sanitizing fitting rooms and sampled clothing, installing protective shields at cash registers and other countertops, and providing a cash incentive to our hourly population to get vaccinated. We have also provided free masks and hand sanitizer and may take team members’ temperatures when they report to work. We have taken similar actions to mitigate the spread of COVID-19 in our distribution centers and corporate office. We continue to monitor the rapidly evolving situation and expect to continue to adapt our operations to address federal, state, and local requirements as well as to implement standards or processes that we determine to be in the best interest of our customers, team members, and communities.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our Executive Officers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Below is a list of our executive officers, their respective ages as of January 29, 2022 and a brief account of the business experience of each of them.</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gridSpan w:val="2"/>
          </w:tcPr>
          <w:p>
            <w:pPr>
              <w:ind w:left="1900"/>
              <w:spacing w:after="0"/>
              <w:rPr>
                <w:sz w:val="20"/>
                <w:szCs w:val="20"/>
                <w:color w:val="auto"/>
              </w:rPr>
            </w:pPr>
            <w:r>
              <w:rPr>
                <w:rFonts w:ascii="Arial" w:cs="Arial" w:eastAsia="Arial" w:hAnsi="Arial"/>
                <w:sz w:val="18"/>
                <w:szCs w:val="18"/>
                <w:b w:val="1"/>
                <w:bCs w:val="1"/>
                <w:color w:val="auto"/>
              </w:rPr>
              <w:t>Name</w:t>
            </w:r>
          </w:p>
        </w:tc>
        <w:tc>
          <w:tcPr>
            <w:tcW w:w="580" w:type="dxa"/>
            <w:vAlign w:val="bottom"/>
          </w:tcPr>
          <w:p>
            <w:pPr>
              <w:ind w:left="260"/>
              <w:spacing w:after="0"/>
              <w:rPr>
                <w:sz w:val="20"/>
                <w:szCs w:val="20"/>
                <w:color w:val="auto"/>
              </w:rPr>
            </w:pPr>
            <w:r>
              <w:rPr>
                <w:rFonts w:ascii="Arial" w:cs="Arial" w:eastAsia="Arial" w:hAnsi="Arial"/>
                <w:sz w:val="18"/>
                <w:szCs w:val="18"/>
                <w:b w:val="1"/>
                <w:bCs w:val="1"/>
                <w:color w:val="auto"/>
                <w:w w:val="88"/>
              </w:rPr>
              <w:t>Age</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0" w:type="dxa"/>
            <w:vAlign w:val="bottom"/>
          </w:tcPr>
          <w:p>
            <w:pPr>
              <w:ind w:left="2680"/>
              <w:spacing w:after="0"/>
              <w:rPr>
                <w:sz w:val="20"/>
                <w:szCs w:val="20"/>
                <w:color w:val="auto"/>
              </w:rPr>
            </w:pPr>
            <w:r>
              <w:rPr>
                <w:rFonts w:ascii="Arial" w:cs="Arial" w:eastAsia="Arial" w:hAnsi="Arial"/>
                <w:sz w:val="18"/>
                <w:szCs w:val="18"/>
                <w:b w:val="1"/>
                <w:bCs w:val="1"/>
                <w:color w:val="auto"/>
              </w:rPr>
              <w:t>Position</w:t>
            </w:r>
          </w:p>
        </w:tc>
      </w:tr>
      <w:tr>
        <w:trPr>
          <w:trHeight w:val="223"/>
        </w:trPr>
        <w:tc>
          <w:tcPr>
            <w:tcW w:w="4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Ken C. Hicks</w:t>
            </w:r>
          </w:p>
        </w:tc>
        <w:tc>
          <w:tcPr>
            <w:tcW w:w="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w:t>
            </w:r>
          </w:p>
        </w:tc>
        <w:tc>
          <w:tcPr>
            <w:tcW w:w="80" w:type="dxa"/>
            <w:vAlign w:val="bottom"/>
            <w:tcBorders>
              <w:top w:val="single" w:sz="8" w:color="CCEEFF"/>
            </w:tcBorders>
            <w:shd w:val="clear" w:color="auto" w:fill="CCEEFF"/>
          </w:tcPr>
          <w:p>
            <w:pPr>
              <w:spacing w:after="0"/>
              <w:rPr>
                <w:sz w:val="19"/>
                <w:szCs w:val="19"/>
                <w:color w:val="auto"/>
              </w:rPr>
            </w:pPr>
          </w:p>
        </w:tc>
        <w:tc>
          <w:tcPr>
            <w:tcW w:w="6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Michael P. Mullican</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Steven P. Lawrence</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and Chief Merchandising Officer</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Samuel J. Johnson</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55</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Executive Vice President, Retail Operations</w:t>
            </w:r>
          </w:p>
        </w:tc>
      </w:tr>
      <w:tr>
        <w:trPr>
          <w:trHeight w:val="229"/>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Sherry Harriman</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52</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Logistics and Supply Chain</w:t>
            </w: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Jamey Traywick Rutherford</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Senior Vice President, Omnichannel</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Manish Maini</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48</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Chief Information Officer</w:t>
            </w: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William S. Ennis</w:t>
            </w:r>
          </w:p>
        </w:tc>
        <w:tc>
          <w:tcPr>
            <w:tcW w:w="5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52</w:t>
            </w:r>
          </w:p>
        </w:tc>
        <w:tc>
          <w:tcPr>
            <w:tcW w:w="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8"/>
                <w:szCs w:val="18"/>
                <w:color w:val="auto"/>
              </w:rPr>
              <w:t>Senior Vice President, Chief Human Resources Officer</w:t>
            </w: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Rene G. Casares</w:t>
            </w: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46</w:t>
            </w:r>
          </w:p>
        </w:tc>
        <w:tc>
          <w:tcPr>
            <w:tcW w:w="80" w:type="dxa"/>
            <w:vAlign w:val="bottom"/>
            <w:shd w:val="clear" w:color="auto" w:fill="CCEEFF"/>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32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i w:val="1"/>
          <w:iCs w:val="1"/>
          <w:color w:val="auto"/>
        </w:rPr>
        <w:t xml:space="preserve">Ken C. Hicks </w:t>
      </w:r>
      <w:r>
        <w:rPr>
          <w:rFonts w:ascii="Arial" w:cs="Arial" w:eastAsia="Arial" w:hAnsi="Arial"/>
          <w:sz w:val="17"/>
          <w:szCs w:val="17"/>
          <w:color w:val="auto"/>
        </w:rPr>
        <w:t>has served as the Chairman and our President and Chief Executive Officer since May 2018. Mr. Hicks has served as a member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managers of New Academy Holding Company, LLC (our predecessor company)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w:t>
      </w:r>
    </w:p>
    <w:p>
      <w:pPr>
        <w:spacing w:after="0" w:line="2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Michael P. Mullican </w:t>
      </w:r>
      <w:r>
        <w:rPr>
          <w:rFonts w:ascii="Arial" w:cs="Arial" w:eastAsia="Arial" w:hAnsi="Arial"/>
          <w:sz w:val="18"/>
          <w:szCs w:val="18"/>
          <w:color w:val="auto"/>
        </w:rPr>
        <w:t>has served as our Executive Vice President and Chief Financial Officer since January 2018. He previously served as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3" w:name="page14"/>
    <w:bookmarkEnd w:id="13"/>
    <w:p>
      <w:pPr>
        <w:jc w:val="both"/>
        <w:ind w:firstLine="324"/>
        <w:spacing w:after="0" w:line="296" w:lineRule="auto"/>
        <w:rPr>
          <w:sz w:val="20"/>
          <w:szCs w:val="20"/>
          <w:color w:val="auto"/>
        </w:rPr>
      </w:pPr>
      <w:r>
        <w:rPr>
          <w:rFonts w:ascii="Arial" w:cs="Arial" w:eastAsia="Arial" w:hAnsi="Arial"/>
          <w:sz w:val="16"/>
          <w:szCs w:val="16"/>
          <w:b w:val="1"/>
          <w:bCs w:val="1"/>
          <w:i w:val="1"/>
          <w:iCs w:val="1"/>
          <w:color w:val="auto"/>
        </w:rPr>
        <w:t xml:space="preserve">Steven (Steve) P. Lawrence </w:t>
      </w:r>
      <w:r>
        <w:rPr>
          <w:rFonts w:ascii="Arial" w:cs="Arial" w:eastAsia="Arial" w:hAnsi="Arial"/>
          <w:sz w:val="16"/>
          <w:szCs w:val="16"/>
          <w:color w:val="auto"/>
        </w:rPr>
        <w:t>has served as our Executive Vice President and Chief Merchandising Officer since joining the Academy Sports + Outdoors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 in February 2019. Prior to joining Academy Sports + Outdoors, Mr. Lawrence was President and Chief Executive Officer at francesca’s. From May 2012 to September 2016, he served as Chief Merchandising Officer at Stage Stores. Mr. Lawrence also spent nearly 12 years 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8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 xml:space="preserve">Samuel (Sam) J. Johnson </w:t>
      </w:r>
      <w:r>
        <w:rPr>
          <w:rFonts w:ascii="Arial" w:cs="Arial" w:eastAsia="Arial" w:hAnsi="Arial"/>
          <w:sz w:val="16"/>
          <w:szCs w:val="16"/>
          <w:color w:val="auto"/>
        </w:rPr>
        <w:t>has served as our Executive Vice President, Retail Operations since joining the Academy Sports + Outdoors team in April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84" w:lineRule="exact"/>
        <w:rPr>
          <w:sz w:val="20"/>
          <w:szCs w:val="20"/>
          <w:color w:val="auto"/>
        </w:rPr>
      </w:pPr>
    </w:p>
    <w:p>
      <w:pPr>
        <w:jc w:val="both"/>
        <w:ind w:firstLine="324"/>
        <w:spacing w:after="0"/>
        <w:rPr>
          <w:sz w:val="20"/>
          <w:szCs w:val="20"/>
          <w:color w:val="auto"/>
        </w:rPr>
      </w:pPr>
      <w:r>
        <w:rPr>
          <w:rFonts w:ascii="Arial" w:cs="Arial" w:eastAsia="Arial" w:hAnsi="Arial"/>
          <w:sz w:val="18"/>
          <w:szCs w:val="18"/>
          <w:b w:val="1"/>
          <w:bCs w:val="1"/>
          <w:i w:val="1"/>
          <w:iCs w:val="1"/>
          <w:color w:val="auto"/>
        </w:rPr>
        <w:t xml:space="preserve">Sherry L. Harriman </w:t>
      </w:r>
      <w:r>
        <w:rPr>
          <w:rFonts w:ascii="Arial" w:cs="Arial" w:eastAsia="Arial" w:hAnsi="Arial"/>
          <w:sz w:val="18"/>
          <w:szCs w:val="18"/>
          <w:color w:val="auto"/>
        </w:rPr>
        <w:t>has served as our Senior Vice President, Logistics and Supply Chain since joining the Academy Sports + Outdoors team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2018. Prior to joining Academy Sports + Outdoors, Mrs. Harriman spent 29 years at Walmart, Inc., where she served in various logistics and operations roles until she was promoted to Regional Vice President – Logistics in 2007. In 2010, she was promoted to Divisional Vice President – Supply Chain for Florida and Puerto Rico, where her team delivered innovative Supply Chain solutions that supported omnichannel strategies and disaster relief initiatives. Ms. Harriman holds a Bachelor of Business Administration from the University of Wisconsin-Eau Claire and a Master of Business Administration from John Brown University.</w:t>
      </w:r>
    </w:p>
    <w:p>
      <w:pPr>
        <w:spacing w:after="0" w:line="216"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b w:val="1"/>
          <w:bCs w:val="1"/>
          <w:i w:val="1"/>
          <w:iCs w:val="1"/>
          <w:color w:val="auto"/>
        </w:rPr>
        <w:t xml:space="preserve">Jamey Traywick Rutherford </w:t>
      </w:r>
      <w:r>
        <w:rPr>
          <w:rFonts w:ascii="Arial" w:cs="Arial" w:eastAsia="Arial" w:hAnsi="Arial"/>
          <w:sz w:val="16"/>
          <w:szCs w:val="16"/>
          <w:color w:val="auto"/>
        </w:rPr>
        <w:t>has served as our Senior Vice President, Omnichannel since joining the Academy Sports + Outdoors team in May 2018.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Prior to joining Academy Sports + Outdoors, Ms. Traywick Rutherford spent over 17 years at AutoZone where she served in various e-commerce roles until she was promoted to Vice President, e-commerce in 2010. She transitioned to Vice President, Merchandising in 2017. She holds a Bachelor of Science in Environmental Science from the University of Denver, and a Master of Science in e-commerce from the University of Memphis.</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Manish Maini </w:t>
      </w:r>
      <w:r>
        <w:rPr>
          <w:rFonts w:ascii="Arial" w:cs="Arial" w:eastAsia="Arial" w:hAnsi="Arial"/>
          <w:sz w:val="17"/>
          <w:szCs w:val="17"/>
          <w:color w:val="auto"/>
        </w:rPr>
        <w:t>has served as our Senior Vice President, Chief Information Officer since joining the Academy Sports + Outdoors team in June 2017.</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20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b w:val="1"/>
          <w:bCs w:val="1"/>
          <w:i w:val="1"/>
          <w:iCs w:val="1"/>
          <w:color w:val="auto"/>
        </w:rPr>
        <w:t xml:space="preserve">William (Bill) S. Ennis </w:t>
      </w:r>
      <w:r>
        <w:rPr>
          <w:rFonts w:ascii="Arial" w:cs="Arial" w:eastAsia="Arial" w:hAnsi="Arial"/>
          <w:sz w:val="16"/>
          <w:szCs w:val="16"/>
          <w:color w:val="auto"/>
        </w:rPr>
        <w:t>has served as our Senior Vice President, Chief Human Resources Officer since March 2016. Mr. Ennis joined the Academy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9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Rene G. Casares </w:t>
      </w:r>
      <w:r>
        <w:rPr>
          <w:rFonts w:ascii="Arial" w:cs="Arial" w:eastAsia="Arial" w:hAnsi="Arial"/>
          <w:sz w:val="17"/>
          <w:szCs w:val="17"/>
          <w:color w:val="auto"/>
        </w:rPr>
        <w:t>has served as our Senior Vice President, General Counsel and Secretary since March 2018. He joined the company in July 2013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Director, Associate General Counsel and served as Vice President, 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 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Intellectual Property</w:t>
      </w:r>
    </w:p>
    <w:p>
      <w:pPr>
        <w:spacing w:after="0" w:line="25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trademarks, service marks, copyrights, patents, processes, trade secrets, domain names and other intellectual property, including our Academy Sports + Outdoors brand, our owned brands, such as Academy Sports + Outdoors, Magellan Outdoors, BCG, O’rageous, Game Winner, Outdoor Gourmet and Freely, and our designs, names, slogans, images and trade dress associated with these brands, are valuable assets that are critical to our success.</w:t>
      </w:r>
    </w:p>
    <w:p>
      <w:pPr>
        <w:spacing w:after="0" w:line="1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operate in a complex regulatory and legal environment that exposes us to regulatory, compliance and litigation risks that could materially affect our operations and financial results. Specifically,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197"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 product safety, product liability or consumer protection laws;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laws related to advertising, marketing, pricing and selling our products, including but not limited to firearms, ammunition, and related accessories;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Americans with Disabilities Act, or ADA, and similar state and local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website design and content regulations;</w:t>
      </w:r>
    </w:p>
    <w:p>
      <w:pPr>
        <w:spacing w:after="0" w:line="9" w:lineRule="exact"/>
        <w:rPr>
          <w:rFonts w:ascii="Arial" w:cs="Arial" w:eastAsia="Arial" w:hAnsi="Arial"/>
          <w:sz w:val="18"/>
          <w:szCs w:val="18"/>
          <w:color w:val="auto"/>
        </w:rPr>
      </w:pPr>
    </w:p>
    <w:p>
      <w:pPr>
        <w:ind w:left="660" w:hanging="328"/>
        <w:spacing w:after="0" w:line="23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 Foreign Corrupt Practices Act, or FCPA, the U.K. Bribery Act, or UKBA, and other anti-corruption laws;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23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sell firearms, ammunition, and related accessories. Firearms represented approximately 6% of our net sales in 2021.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and enforcement affecting the sale of firearms, ammunition, and related accessories, including taxation or restrictions on the type of firearms and ammunition available for retail sale, which could reduce our sales and profitability.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additional information, see the risk factors herein in "Item 1A. Risk Factors" under the sub-caption "Legal and Regulatory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website address is www.academy.com. We use our website as a channel of distribution for company information. We will make available free of charge on the Investor Relations section of our website our Annual Report on Form 10-K, Quarterly Reports on Form 10-Q, Current Reports on Form 8-K and all amendments to those reports as soon as reasonably practicable after such material is electronically filed with or furnished to the SEC pursuant to Section 13(a) or 15(d) of the Exchange Act. We will also make available through our website other reports filed with or furnished to the SEC under the Exchange Act, including our proxy statements and reports filed by officers and directors under Section 16(a) of the Exchange Act, as well as our Ethics and Code of Conduct Policy. Financial and other material information regarding the Company is routinely posted on our website and is readily accessible. We do not intend for information contained on our website to be part of this Annual Report on Form 10-K.</w:t>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Investing in our securities involves a high degree of risk. In addition to the other information contained in this Annual Report, you should consider the following risk factors before investing in our securities. Risks in this section are grouped in the following categories: (1) Risks Related to Our Business and Industry; (2) Legal and Regulatory Risks; (3) Risks Related to Our Indebtedness; and (4) Risks Related to the Ownership of Our Common Stock. Many risks affect more than one category, and the risks are not in order of significance or probability of occurrence because they have been grouped by categories.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7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general conditions that affect U.S. consumer discretionary spending in our markets include:</w:t>
      </w:r>
    </w:p>
    <w:p>
      <w:pPr>
        <w:spacing w:after="0" w:line="63" w:lineRule="exact"/>
        <w:rPr>
          <w:sz w:val="20"/>
          <w:szCs w:val="20"/>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health of the economy;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financial market volatility;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wages, jobs and unemployment trends;</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 health pandemics (including the coronavirus ("COVID-19") pandemic) and their effect on our customers, team members, vendors/suppliers and other stakeholders;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housing market, including real estate prices and mortgage rates;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credit availability;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consumer debt levels;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gasoline and fuel prices;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rates and inflation;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tax rates and tax policy;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immigration policy;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import and customs duties/tariffs and policy;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impact of natural or man-made disasters;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legislation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international unrest, trade disputes, labor shortages, and other disruptions to the supply chain;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to raw material and commodity prices;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national and international security and safety concerns.</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Increasing volatility in financial markets may cause some of the aforementioned conditions to change with even greater degree of frequency and magnitude. In addition, COVID-19 has had, and may continue to have, far-reaching adverse impacts on aspects of our operations, directly and indirectly, including our team members, consumer behavior, inventory, distribution and logistics, our suppliers and the market overall. The ongoing pandemic could adversely affect the economies and financial markets of many countries, including the United States, resulting in an economic downturn that could affect demand for our 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8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comparable sales, net sales per square foot, customer traffic or average value per transaction may be adversely affected if, for example, our customers reduce their purchases with us due to inflation,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w:t>
      </w:r>
    </w:p>
    <w:p>
      <w:pPr>
        <w:sectPr>
          <w:pgSz w:w="11900" w:h="16838" w:orient="portrait"/>
          <w:cols w:equalWidth="0" w:num="1">
            <w:col w:w="11240"/>
          </w:cols>
          <w:pgMar w:left="320" w:top="1134" w:right="339" w:bottom="1440" w:gutter="0" w:footer="0" w:header="0"/>
        </w:sect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7"/>
          <w:szCs w:val="17"/>
          <w:color w:val="auto"/>
        </w:rPr>
        <w:t>obligations under our indebtedness. A prolonged period of depressed consumer spending could have a material adverse effect on our business.</w:t>
      </w:r>
    </w:p>
    <w:p>
      <w:pPr>
        <w:spacing w:after="0" w:line="1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76"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88" w:lineRule="exact"/>
        <w:rPr>
          <w:sz w:val="20"/>
          <w:szCs w:val="20"/>
          <w:color w:val="auto"/>
        </w:rPr>
      </w:pPr>
    </w:p>
    <w:p>
      <w:pPr>
        <w:jc w:val="both"/>
        <w:ind w:firstLine="324"/>
        <w:spacing w:after="0" w:line="305" w:lineRule="auto"/>
        <w:rPr>
          <w:sz w:val="20"/>
          <w:szCs w:val="20"/>
          <w:color w:val="auto"/>
        </w:rPr>
      </w:pPr>
      <w:r>
        <w:rPr>
          <w:rFonts w:ascii="Arial" w:cs="Arial" w:eastAsia="Arial" w:hAnsi="Arial"/>
          <w:sz w:val="16"/>
          <w:szCs w:val="16"/>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1" w:lineRule="exact"/>
        <w:rPr>
          <w:sz w:val="20"/>
          <w:szCs w:val="20"/>
          <w:color w:val="auto"/>
        </w:rPr>
      </w:pPr>
    </w:p>
    <w:p>
      <w:pPr>
        <w:ind w:left="1300" w:hanging="320"/>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shifts in behavior away from team sports and outdoor activities in favor of media (including social media) and electronics-driven leisure activities;</w:t>
      </w:r>
    </w:p>
    <w:p>
      <w:pPr>
        <w:spacing w:after="0" w:line="8"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 local and federal government budget cuts on facilities and activities, such as school athletic budgets, parks, ball fields, recreational sports leagues, hunting and fishing services, etc.;</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weak economic conditions, recession, inflation or other factors, such as global or local pandemics;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legal and regulatory changes in federal and state hunting and fishing seasons, bag limits and firearm and ammunition restrictions;</w:t>
      </w:r>
    </w:p>
    <w:p>
      <w:pPr>
        <w:spacing w:after="0" w:line="74" w:lineRule="exact"/>
        <w:rPr>
          <w:rFonts w:ascii="Arial" w:cs="Arial" w:eastAsia="Arial" w:hAnsi="Arial"/>
          <w:sz w:val="17"/>
          <w:szCs w:val="17"/>
          <w:color w:val="auto"/>
        </w:rPr>
      </w:pPr>
    </w:p>
    <w:p>
      <w:pPr>
        <w:ind w:left="1300" w:right="20" w:hanging="320"/>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8"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escalating costs of sporting and outdoor activities due to adverse changes in economic conditions, including rising fuel prices, rising participation fees and rising sporting license fees; and</w:t>
      </w:r>
    </w:p>
    <w:p>
      <w:pPr>
        <w:spacing w:after="0" w:line="8"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8" w:name="page19"/>
    <w:bookmarkEnd w:id="18"/>
    <w:p>
      <w:pPr>
        <w:jc w:val="both"/>
        <w:ind w:firstLine="324"/>
        <w:spacing w:after="0" w:line="286" w:lineRule="auto"/>
        <w:rPr>
          <w:sz w:val="20"/>
          <w:szCs w:val="20"/>
          <w:color w:val="auto"/>
        </w:rPr>
      </w:pPr>
      <w:r>
        <w:rPr>
          <w:rFonts w:ascii="Arial" w:cs="Arial" w:eastAsia="Arial" w:hAnsi="Arial"/>
          <w:sz w:val="17"/>
          <w:szCs w:val="17"/>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their brand name merchandise, we may not be able to meet the demand of our customers for their brand names.</w:t>
      </w:r>
    </w:p>
    <w:p>
      <w:pPr>
        <w:spacing w:after="0" w:line="8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ongoing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COVID-19 has, and may continue to, impact our business and financial results.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ongoing COVID-19 pandemic and measures taken in response have negatively impacted the global and U.S. economies, disrupted consumer spending and global supply chains, and created significant volatility and disruption of labor and financial markets.</w:t>
      </w:r>
    </w:p>
    <w:p>
      <w:pPr>
        <w:spacing w:after="0" w:line="19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In response to the pandemic, various governmental authorities and we have from time to time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Additionally, vaccine mandates or such other measures that may be announced in jurisdictions in which our business operates could result in disruptions to our current and potential future workforce and may result in increased attrition, as well as increased costs in connection with retaining our workforce. The situation also 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have adversely impacted our business and results and are expected to continue to do so for the duration of the pandemic. In addition, despite any precautions, consumer or team member fears about becoming ill with the disease may continue, which will adversely affect traffic to our stores or supply of labor.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w:t>
      </w:r>
    </w:p>
    <w:p>
      <w:pPr>
        <w:spacing w:after="0" w:line="20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information technology systems and cyber-security could also be adversely affected due to any significant increase in remote working of our corporate team members due to any quarantines or future closing of our corporate headquarters and in online orders due to a significant increase in online transactions.</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9" w:name="page20"/>
    <w:bookmarkEnd w:id="19"/>
    <w:p>
      <w:pPr>
        <w:jc w:val="both"/>
        <w:ind w:firstLine="324"/>
        <w:spacing w:after="0" w:line="277" w:lineRule="auto"/>
        <w:rPr>
          <w:sz w:val="20"/>
          <w:szCs w:val="20"/>
          <w:color w:val="auto"/>
        </w:rPr>
      </w:pPr>
      <w:r>
        <w:rPr>
          <w:rFonts w:ascii="Arial" w:cs="Arial" w:eastAsia="Arial" w:hAnsi="Arial"/>
          <w:sz w:val="18"/>
          <w:szCs w:val="18"/>
          <w:color w:val="auto"/>
        </w:rPr>
        <w:t>The operations of our stores, distribution centers, and corporate headquarters could be further restricted, if we deem it necessary or if recommended or mandated by authorities and these measures could have an adverse impact on our sales and profits.</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the ongoing COVID-19 pandemic, we may have fewer resources to operate our business and we could also see deterioration in macroeconomic factors that typically affect us. We may also see further disruptions or delays in shipments and negative impacts to pricing of certain components of our products. The ongoing COVID-19 pandemic has already impacted the suppliers of products we sell, particularly as a result of mandatory shutdowns in locations where our products are manufactured and in some cases due to extreme demand for certain popular or necessary goods or raw materials.</w:t>
      </w:r>
    </w:p>
    <w:p>
      <w:pPr>
        <w:spacing w:after="0" w:line="21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significant amount of our merchandise is produced in China, and the ongoing COVID-19 pandemic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remain curtailed, we may need to seek alternate manufacturing sources, which may be more expensive. Alternate sources may not be available or may result in delays in shipments to us from our supply chain and subsequently to our customers, each of which would affect our results of operations.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95"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Moreover, during the pandemic we have observed an increase in the popularity of isolated recreation, outdoor and leisure activity products, which has benefited our business and financial results. However, we are unable to predict how long this increased popularity will last or how significant it will be. To the extent the popularity of isolated recreation, outdoor and leisure activity products declines, our sales could be adversely impacted.</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extent to which the ongoing COVID-19 pandemic impacts our results, financial position and liquidity will depend on future developments, including whether there are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Additionally, the direct and indirect effects of the ongoing COVID-19 pandemic may give rise to risks that are currently unknown or have the effect of heightening many of the other risks set forth in these "Item 1A. Risk Factors" in this Annual Report.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Intense competition in the sporting goods and outdoor recreation retail industries could limit our growth and reduce our profitability.</w:t>
      </w:r>
    </w:p>
    <w:p>
      <w:pPr>
        <w:spacing w:after="0" w:line="1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22"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mass general merchants;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 format sporting goods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traditional sporting goods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specialty outdoor retailers;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specialty footwear retailers;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catalogue and internet retailers.</w:t>
      </w:r>
    </w:p>
    <w:p>
      <w:pPr>
        <w:spacing w:after="0" w:line="11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5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(including ransomware attacks),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 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74"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6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7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6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6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General trade tensions between the United States and China began escalating in 2018, with the Trump administration ultimately imposing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have had an adverse effect on our business, financial condition and results of operations. In response, we have sought alternative suppliers or vendors, raised prices, and made changes to our operations. The continuation of this situation could have further adverse effects on our sales and profitability, results of operations and financial condition. As of our report date, no significant modifications have been enacted relative to the escalated tariffs which impact our business.</w:t>
      </w:r>
    </w:p>
    <w:p>
      <w:pPr>
        <w:spacing w:after="0" w:line="20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6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6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ind w:right="20" w:firstLine="324"/>
        <w:spacing w:after="0" w:line="277" w:lineRule="auto"/>
        <w:rPr>
          <w:sz w:val="20"/>
          <w:szCs w:val="20"/>
          <w:color w:val="auto"/>
        </w:rPr>
      </w:pPr>
      <w:r>
        <w:rPr>
          <w:rFonts w:ascii="Arial" w:cs="Arial" w:eastAsia="Arial" w:hAnsi="Arial"/>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Updating our existing information technology systems subjects us to numerous risks, including:</w:t>
      </w:r>
    </w:p>
    <w:p>
      <w:pPr>
        <w:spacing w:after="0" w:line="63"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loss of information;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disruption of normal operations;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or other operating procedures;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or general computer controls;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problems maintaining accuracy of historical data;</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allocation and dedication of key business resources to the updating of existing systems;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ability to attract and retain adequate experienced technical resources and third-party contractors for the updating of existing systems;</w:t>
      </w:r>
    </w:p>
    <w:p>
      <w:pPr>
        <w:spacing w:after="0" w:line="86" w:lineRule="exact"/>
        <w:rPr>
          <w:rFonts w:ascii="Arial" w:cs="Arial" w:eastAsia="Arial" w:hAnsi="Arial"/>
          <w:sz w:val="16"/>
          <w:szCs w:val="16"/>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unknown impact on remaining systems;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adequacy of training and change management to address critical changes in business processes and job functions;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updated information technology system ultimately does not meet the needs of the business.</w:t>
      </w:r>
    </w:p>
    <w:p>
      <w:pPr>
        <w:spacing w:after="0" w:line="11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5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From time to time, we may undertake initiatives involving numerous information technology systems, including our merchandise management, warehouse management, point of sale, e-commerce, data security, credit card fraud detection, financial reporting, and labor management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depend on approximately 1,200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depend on approximately 1,200 suppliers to supply us in a timely and efficient manner with the merchandise we sell. Our significant dependence on these suppliers exposes us to various risks that could have a material adverse effect on our business and results of operations. In 2021, purchases from our largest vendor represented approximately 11%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as a result of public health emergencies, such as the ongoing COVID-19 pandemic, and measures taken by the Chinese government or other governments in response to such events), we may experience merchandise out-of-stocks, delivery delays or increased delivery costs, or otherwise be unable to obtain the same merchandise from other suppliers in a timely and efficient manner and on acceptable terms, or at all, which could materially affect our results of operations and our customers’ confidence in us. For example, during fiscal 2021 we observed increased competition across the industry for resources throughout the supply chain, which resulted in disruptions to the flow of products from our vendors, labor shortages, reduced shipping container availability, and longer delays at the port. These factors negatively impacted transportation costs, and required us to pay higher rates to maintain our inventory levels, and we expect such supply chain challenges to continue at least in the near term. Additionally,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 which could have a material adverse effect on the level of customers purchasing merchandise from us and, thus, our results of operations. Moreover, many of our suppliers provide us</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with merchandise purchasing incentives, such as return privileges, volume purchasing allowances and cooperative advertising, and a decline or discontinuation of these incentives could severely impact our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Harm to our reputation could adversely impact our ability to attract and retain customers, team members, vendors and/or other partners.</w:t>
      </w:r>
    </w:p>
    <w:p>
      <w:pPr>
        <w:spacing w:after="0" w:line="12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 product liability and product recalls, our social media activity, failure to comply with applicable laws and regulations or enforce our own policies, our policies related to the sale of firearms, ammunition and accessories, our policies relating to the COVID-19 pandemic,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6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part of our long-term strategy, we look for opportunities to cost-effectively enhance the capabilities of our business services. In some cases, 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While we believe we conduct appropriate due diligence before entering into agreements with these third-parties, if we fail to properly manage these vendors or if they fail to meet, or are prevented from meeting, our performance standards and expectations, then our reputation, sales, and results of operations could be adversely affected. Any significant interruption in the operations of these service providers, over which we have no control, could also have an adverse effect on our business. In addition, we could face increased costs associated with finding replacement service vendors or hiring new team members to provide these business services and solutions in-house.</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7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2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4" w:name="page25"/>
    <w:bookmarkEnd w:id="24"/>
    <w:p>
      <w:pPr>
        <w:jc w:val="both"/>
        <w:ind w:firstLine="324"/>
        <w:spacing w:after="0" w:line="275" w:lineRule="auto"/>
        <w:rPr>
          <w:sz w:val="20"/>
          <w:szCs w:val="20"/>
          <w:color w:val="auto"/>
        </w:rPr>
      </w:pPr>
      <w:r>
        <w:rPr>
          <w:rFonts w:ascii="Arial" w:cs="Arial" w:eastAsia="Arial" w:hAnsi="Arial"/>
          <w:sz w:val="17"/>
          <w:szCs w:val="17"/>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6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 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7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 large part, upon our ability to open new stores in a timely manner and to operate them profitably. In 2020 and 2021, in response to the then-current retail environment, we temporarily stopped new store openings, before announcing a planned resumption in 2022.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e-commerce activities expose us to various risks that could have a material adverse impact on our overall results of operations.</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15" w:lineRule="exact"/>
        <w:rPr>
          <w:sz w:val="20"/>
          <w:szCs w:val="20"/>
          <w:color w:val="auto"/>
        </w:rPr>
      </w:pPr>
    </w:p>
    <w:p>
      <w:pPr>
        <w:ind w:left="1300" w:hanging="320"/>
        <w:spacing w:after="0"/>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expansion of our sales across the United States, thereby, subjecting us to the regulatory and other requirements of the 50 states;</w:t>
      </w:r>
    </w:p>
    <w:p>
      <w:pPr>
        <w:spacing w:after="0" w:line="74" w:lineRule="exact"/>
        <w:rPr>
          <w:rFonts w:ascii="Arial" w:cs="Arial" w:eastAsia="Arial" w:hAnsi="Arial"/>
          <w:sz w:val="17"/>
          <w:szCs w:val="17"/>
          <w:color w:val="auto"/>
        </w:rPr>
      </w:pPr>
    </w:p>
    <w:p>
      <w:pPr>
        <w:ind w:left="1300" w:hanging="320"/>
        <w:spacing w:after="0" w:line="277" w:lineRule="auto"/>
        <w:tabs>
          <w:tab w:leader="none" w:pos="12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need to keep pace with rapid technological change and maintain investments necessary for our e-commerce operation;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legal compliance issues related to the online sale of merchandise;</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intellectual property litigation related to the enforcement of patent rights;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privacy and personal data security;</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protection against credit card and gift card fraud;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fulfillment, inventory control and shipping issues for e-commerce transactions;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tax issues, including state sales tax collection for e-commerce transactions;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hiring, retention and training of personnel qualified to conduct our e-commerce operation;</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ind w:left="1300" w:hanging="320"/>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ability to procure adequate computer hardware and software and technology services and solutions from third-party providers; and</w:t>
      </w:r>
    </w:p>
    <w:p>
      <w:pPr>
        <w:spacing w:after="0" w:line="74" w:lineRule="exact"/>
        <w:rPr>
          <w:rFonts w:ascii="Arial" w:cs="Arial" w:eastAsia="Arial" w:hAnsi="Arial"/>
          <w:sz w:val="17"/>
          <w:szCs w:val="17"/>
          <w:color w:val="auto"/>
        </w:rPr>
      </w:pPr>
    </w:p>
    <w:p>
      <w:pPr>
        <w:ind w:left="1300" w:hanging="320"/>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reduction in visits to, diversion and/or cannibalization of sales from, existing retail stores.</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 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national brand merchandise, we offer customers owned brand merchandise that is primarily sold exclusively by Academy. The sale of owned brand merchandise subjects us to certain risks, including:</w:t>
      </w:r>
    </w:p>
    <w:p>
      <w:pPr>
        <w:spacing w:after="0" w:line="8" w:lineRule="exact"/>
        <w:rPr>
          <w:sz w:val="20"/>
          <w:szCs w:val="20"/>
          <w:color w:val="auto"/>
        </w:rPr>
      </w:pPr>
    </w:p>
    <w:p>
      <w:pPr>
        <w:ind w:left="1300" w:right="20" w:hanging="320"/>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and profitably conduct sourcing and manufacturing activities internally or with third-party agents, manufacturers and distributors;</w:t>
      </w:r>
    </w:p>
    <w:p>
      <w:pPr>
        <w:spacing w:after="0" w:line="8"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mandatory or voluntary product recalls;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claims and lawsuits resulting from injuries associated with the use of our owned brand merchandise;</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protect our intellectual property or other proprietary rights (e.g., defending against counterfeit, knock-offs, grey-market, infringing or otherwise unauthorized goods);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successfully navigate and avoid claims related to the intellectual property or other proprietary rights of third parties;</w:t>
      </w:r>
    </w:p>
    <w:p>
      <w:pPr>
        <w:spacing w:after="0" w:line="74" w:lineRule="exact"/>
        <w:rPr>
          <w:rFonts w:ascii="Arial" w:cs="Arial" w:eastAsia="Arial" w:hAnsi="Arial"/>
          <w:sz w:val="17"/>
          <w:szCs w:val="17"/>
          <w:color w:val="auto"/>
        </w:rPr>
      </w:pPr>
    </w:p>
    <w:p>
      <w:pPr>
        <w:ind w:left="1300" w:hanging="320"/>
        <w:spacing w:after="0" w:line="316" w:lineRule="auto"/>
        <w:tabs>
          <w:tab w:leader="none" w:pos="129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1" w:lineRule="exact"/>
        <w:rPr>
          <w:rFonts w:ascii="Arial" w:cs="Arial" w:eastAsia="Arial" w:hAnsi="Arial"/>
          <w:sz w:val="16"/>
          <w:szCs w:val="16"/>
          <w:color w:val="auto"/>
        </w:rPr>
      </w:pPr>
    </w:p>
    <w:p>
      <w:pPr>
        <w:jc w:val="both"/>
        <w:ind w:left="1300" w:hanging="320"/>
        <w:spacing w:after="0" w:line="263"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21"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failure to adequately address some or all of these risks could have a material adverse effect on our business, results of operations and financial condition.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operate three distribution centers located in Katy, Texas; Twiggs County, Georgia; and Cookeville, Tennessee, to manage the receipt, storage, sorting, packing and distribution of our merchandise to the appropriate stores or to the customer directly. We depend in large part on the orderly operation of our receiving and distribution process, which depends, in turn, on adherence to shipping schedules, proper functioning of our information technology and inventory control systems and overall effective management of our distribution centers. As a result of damage to, or prolonged interruption of, operations or inventory at any of these facilities, or with respect to third-party transportation providers, due to a work stoppage, labor shortage, operations significantly below historical efficiency levels, supply chain disruption, inclement weather or natural or man-made disasters (including events that may be caused or exacerbated by climate change), system failures, slowdowns or strikes, acts of terror or other unforeseen events in the areas or regions of these facilities could impair our ability to adequately stock our stores, process returns of products to vendors and ship product to our e-commerce customers, thereby adversely affecting our sales and profitability. In addition, we could incur significantly higher costs and longer lead times associated with</w:t>
      </w: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distributing our products to our stores and customers during the time it takes for us to reopen or replace these distribution centers.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Although we maintain business interruption and property insurance for these facilities, there can be no assurance that our insurance coverage will be sufficient, or that insurance proceeds will be timely paid to us, if our distribution centers are shut down or interrupted for any unplanned reason.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and comparable sales may fluctuate due to seasonality and other factors outside of our control.</w:t>
      </w:r>
    </w:p>
    <w:p>
      <w:pPr>
        <w:spacing w:after="0" w:line="11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quarterly results of operations and comparable sales have historically fluctuated, and may continue to fluctuate, as a result of factors outside our control, including:</w:t>
      </w:r>
    </w:p>
    <w:p>
      <w:pPr>
        <w:spacing w:after="0" w:line="8" w:lineRule="exact"/>
        <w:rPr>
          <w:sz w:val="20"/>
          <w:szCs w:val="20"/>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unseasonal or extreme weather conditions, natural or man-made disasters or public health emergencies (such as snow storms, hurricanes, tornadoes, floods, pandemics, and civil disturbances);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catastrophic or tragic events (such as tragedies involving firearms);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demand for the products that we offer in our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lack of new product introduction;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lockouts or strikes involving professional sports teams;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retirement of sports superstars used in marketing various products;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sports scandals, including those involving leagues, associations, teams or athletes with ties to us or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related to the closure of existing stores;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success or failure of college and professional sports teams in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expansion of existing or entry of new competitors into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consolidation of competitors in our markets;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shift in consumer tastes and fashion trends;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calendar shifts or holiday or seasonal periods;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income tax refunds to customers;</w:t>
      </w:r>
    </w:p>
    <w:p>
      <w:pPr>
        <w:spacing w:after="0" w:line="63"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laws and regulations, politics or consumer advocacy affecting our business, including sentiment relating to the sale of firearms and ammunition;</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cancellations of tax-free holidays in certain states;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promotions or other actions taken by us or our existing or possible new competitors;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other tenants or landlords or surrounding geographic circumstances in the shopping centers in which we are located.</w:t>
      </w:r>
    </w:p>
    <w:p>
      <w:pPr>
        <w:spacing w:after="0" w:line="129"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jc w:val="both"/>
        <w:spacing w:after="0" w:line="311" w:lineRule="auto"/>
        <w:rPr>
          <w:sz w:val="20"/>
          <w:szCs w:val="20"/>
          <w:color w:val="auto"/>
        </w:rPr>
      </w:pPr>
      <w:r>
        <w:rPr>
          <w:rFonts w:ascii="Arial" w:cs="Arial" w:eastAsia="Arial" w:hAnsi="Arial"/>
          <w:sz w:val="16"/>
          <w:szCs w:val="16"/>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4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Unforeseen events, including public health emergencies, such as pandemics,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Global climate change may result in significant natural disasters occurring more frequently or with greater intensity, such as drought, wildfires, storms, sea-level rise, and flooding. Socio-political factors, such as foreign wars, civil unrest or other economic or political uncertainties that contribute to consumer unease or harm to our supply chain or store base, may also result in decreased discretionary spending, property damage and/or business interruption losses. For example, we may face losses related to the civil unrest in the United States, such as the civil unrest that occurred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and any precautions that we may take may not be adequate to mitigate the impact of such events.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significantly dependent on our ability to meet our labor needs.</w:t>
      </w:r>
    </w:p>
    <w:p>
      <w:pPr>
        <w:spacing w:after="0" w:line="25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 xml:space="preserve">The success of our business depends significantly on our ability to hire and retain quality team members, including store managers,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competition,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public health emergencies, such as the ongoing COVID-19 pandemic. We have experienced, and expect to continue to experience, a shortage of labor for certain functions, including concerns around the ongoing COVID-19 and other factors, which has increased our labor costs and negatively impacted our profitability. The extent and duration of the effect of these labor market challenges are subject to numerous factors, including the continuing effect of the ongoing COVID-19 pandemic, vaccine mandates that may be announced in jurisdictions in which our businesses operate, availability of qualified persons in the markets where we and our contracted service providers operate and unemployment levels within these markets, behavioral changes, prevailing wage rates and other benefits, inflation, adoption of new or revised employment and labor laws and regulations (including increased minimum wage requirements) or government programs, safety levels of our operations, and our reputation within the labor market.</w:t>
      </w:r>
    </w:p>
    <w:p>
      <w:pPr>
        <w:spacing w:after="0" w:line="12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Recent or potential future legislative initiatives may seek to increase the federal minimum wage in the United States, as well as the minimum wage in a number of individual states or markets.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line="2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Additionally, on November 5, 2021, the U.S. Department of Labor’s Occupational Safety and Health Administration (“OSHA”) issued an Emergency Temporary Standard on Vaccination and Testing (the “ETS”) regarding workplace safety relating to COVID-19, generally requiring employers with more than 100 employees, like Academy, to mandate either regular testing and face covering-wearing or COVID-19 vaccinations for unvaccinated employees beginning on January 4, 2022. Shortly thereafter, enforcement of the ETS was stayed by the federal courts, and on January 13, 2022, the Supreme Court of the United States upheld the stay pending the final disposition of litigation. Effective January 26, 2022, OSHA withdrew the ETS, but retained it as a proposal for a permanent rule. If a rule substantially similar to the ETS is ultimately enforced, we may experience adverse impacts on our workforce, across all functional areas, at our stores and distribution centers in particular, and the workforce of our vendors to the extent that any of these workers are unavailable to work because they either fail the weekly testing requirement or fail to vaccinate in compliance with the rule, which could require us to adapt our operations. We may also experience increased expenses relating to any support pay we must make in compliance with such a rule to employees who need time to get vaccinated and recover from vaccination during work hours. The requirements of such a rule and the potential adverse impact on our workforce, and that of our vendors, could have a material adverse effect on our financial position, results of operations or cash flows.</w:t>
      </w:r>
    </w:p>
    <w:p>
      <w:pPr>
        <w:spacing w:after="0" w:line="19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key personnel in order to support our existing business and future initiatives and may not be able to retain or replace these team members recruit additional qualified personnel or effectively manage succession.</w:t>
      </w:r>
    </w:p>
    <w:p>
      <w:pPr>
        <w:spacing w:after="0" w:line="6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future success may be adversely impacted if we are not able to attract, retain and develop talent and future leaders, including our senior executives and team members. Our senior executive team closely supervises all major aspects of our business, including the design and development of our strategy, and procurement of merchandise; operation of our information technology platforms, supply chain, and store network; development and retention of critical talent; and financial planning, reporting and compliance. Our senior executive team has substantial experience and expertise in our retail business, and serves an integral role in the growth and support of our various initiatives. If we were to lose the leadership of senior executives or other key team members, our business could be adversely affected. In addition, if significant unexpected turnover occurs at the team member level, the loss of the services of these individuals, or any resulting negative perceptions of our business, could damage our reputation and our business. Competition for such qualified talent is intense, and we cannot be sure we will be able to find suitable successors promptly, or at all, or to successfully integrate any successors, or that we will be able to attract, retain, and develop a sufficient number of qualified individuals in future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stores are located primarily in the southern United States which could subject us to regional risks.</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 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jc w:val="both"/>
        <w:ind w:firstLine="324"/>
        <w:spacing w:after="0" w:line="253" w:lineRule="auto"/>
        <w:rPr>
          <w:sz w:val="20"/>
          <w:szCs w:val="20"/>
          <w:color w:val="auto"/>
        </w:rPr>
      </w:pPr>
      <w:r>
        <w:rPr>
          <w:rFonts w:ascii="Arial" w:cs="Arial" w:eastAsia="Arial" w:hAnsi="Arial"/>
          <w:sz w:val="18"/>
          <w:szCs w:val="18"/>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Additionally, during fiscal 2021, we observed increased competition across the industry for resources throughout the supply chain, which resulted in disruptions to the flow of products from our vendors, labor shortages, reduced shipping container availability, and longer delays at the port. These factors negatively impacted transportation costs, and required us to pay higher rates to maintain our inventory levels, and we expect such supply chain challenges to continue at least in the near term. In addition, changes in regulations may result in higher fuel costs through taxation, transportation restrictions or other means. Fluctuations in transportation costs and availability could adversely affect our results of operations.</w:t>
      </w:r>
    </w:p>
    <w:p>
      <w:pPr>
        <w:spacing w:after="0" w:line="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Labor shortages in the transportation industry have and are expected to continue to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7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Difficulties in moving products manufactured overseas and through the ports of North America, whether due to port congestion, government shutdowns, labor disputes, product regulations and/or inspections or other factors, including man-made or natural disasters and public health emergencies, could negatively affect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1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pursue strategic acquisitions, which could have an adverse impact on our business, as could assimilation of companies following acquisition.</w:t>
      </w:r>
    </w:p>
    <w:p>
      <w:pPr>
        <w:spacing w:after="0" w:line="1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00" w:lineRule="exact"/>
        <w:rPr>
          <w:sz w:val="20"/>
          <w:szCs w:val="20"/>
          <w:color w:val="auto"/>
        </w:rPr>
      </w:pPr>
    </w:p>
    <w:p>
      <w:pPr>
        <w:spacing w:after="0" w:line="3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and advertising programs.</w:t>
      </w:r>
    </w:p>
    <w:p>
      <w:pPr>
        <w:spacing w:after="0" w:line="11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subject to costs and risks associated with laws and regulations affecting our business, including those relating to the sale, manufacture and import of consumer products and other matters, and the substance or enforcement of such laws may change or become more stringent.</w:t>
      </w:r>
    </w:p>
    <w:p>
      <w:pPr>
        <w:spacing w:after="0" w:line="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(DOJ), Department of Treasury, Federal Trade Commission, Customs and Border Protection, Bureau of Alcohol, Tobacco, Firearms and Explosives (ATF), SEC, Internal Revenue Service, or IRS, and Environmental Protection Agency and comparable state and local agencies.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8" w:lineRule="exact"/>
        <w:rPr>
          <w:sz w:val="20"/>
          <w:szCs w:val="20"/>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consumer product safety, product liability or consumer protection laws;</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laws related to advertising, marketing, pricing and selling our products, including but not limited to firearms, ammunition, and related accessories;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Americans with Disabilities Act, or ADA, and similar state and local laws and regulations;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website design and content regulations; and</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sell firearms, ammunition, and related accessories. Firearms represented approximately 6% of our net sales in 2021.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June 2021, the DOJ announced a new policy to underscore zero tolerance for willful violations of the law by federally licensed firearms dealers that put public safety at risk. In the future, there may be increased federal, state or local regulation or enforcement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spacing w:after="0" w:line="277" w:lineRule="auto"/>
        <w:rPr>
          <w:sz w:val="20"/>
          <w:szCs w:val="20"/>
          <w:color w:val="auto"/>
        </w:rPr>
      </w:pPr>
      <w:r>
        <w:rPr>
          <w:rFonts w:ascii="Arial" w:cs="Arial" w:eastAsia="Arial" w:hAnsi="Arial"/>
          <w:sz w:val="18"/>
          <w:szCs w:val="18"/>
          <w:color w:val="auto"/>
        </w:rPr>
        <w:t>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Another significant risk relating to our operations is compliance with the FCPA, the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7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62"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7"/>
          <w:szCs w:val="17"/>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1" w:lineRule="exact"/>
        <w:rPr>
          <w:sz w:val="20"/>
          <w:szCs w:val="20"/>
          <w:color w:val="auto"/>
        </w:rPr>
      </w:pPr>
    </w:p>
    <w:p>
      <w:pPr>
        <w:jc w:val="both"/>
        <w:ind w:left="1300" w:hanging="320"/>
        <w:spacing w:after="0" w:line="259"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spacing w:after="0" w:line="24"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design, purchase, manufacture, import, distribution and sale of our owned brand products;</w:t>
      </w:r>
    </w:p>
    <w:p>
      <w:pPr>
        <w:spacing w:after="0" w:line="63" w:lineRule="exact"/>
        <w:rPr>
          <w:rFonts w:ascii="Arial" w:cs="Arial" w:eastAsia="Arial" w:hAnsi="Arial"/>
          <w:sz w:val="18"/>
          <w:szCs w:val="18"/>
          <w:color w:val="auto"/>
        </w:rPr>
      </w:pPr>
    </w:p>
    <w:p>
      <w:pPr>
        <w:jc w:val="both"/>
        <w:ind w:left="1300" w:hanging="320"/>
        <w:spacing w:after="0" w:line="263"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21"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municipalities or other organizations attempting to recover costs from firearm manufacturers and retailers, relating to the use of firearms and ammunition;</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operations of a fleet of trucks for distribution purposes, including transportation of hazardous materials by such fleet;</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procurement and ownership, leasing or operation of property for retail stores, distribution centers and other corporate needs;</w:t>
      </w:r>
    </w:p>
    <w:p>
      <w:pPr>
        <w:spacing w:after="0" w:line="74" w:lineRule="exact"/>
        <w:rPr>
          <w:rFonts w:ascii="Arial" w:cs="Arial" w:eastAsia="Arial" w:hAnsi="Arial"/>
          <w:sz w:val="17"/>
          <w:szCs w:val="17"/>
          <w:color w:val="auto"/>
        </w:rPr>
      </w:pPr>
    </w:p>
    <w:p>
      <w:pPr>
        <w:ind w:left="1300" w:hanging="320"/>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alleged infringement upon intellectual property rights to merchandise we sell or technology or services we use, including information technology, marketing and advertising services;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global sourcing, including international, customs and trade issues;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real estate issues, including construction, leasing, zoning and environmental issues;</w:t>
      </w:r>
    </w:p>
    <w:p>
      <w:pPr>
        <w:spacing w:after="0" w:line="63"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8"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commercial disputes, including contractual and business disputes with vendors, landlords, or competitors;</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tort, personal injury and property damage claims related to our stores, e-commerce, distribution centers or corporate headquarters; and</w:t>
      </w:r>
    </w:p>
    <w:p>
      <w:pPr>
        <w:spacing w:after="0" w:line="86" w:lineRule="exact"/>
        <w:rPr>
          <w:rFonts w:ascii="Arial" w:cs="Arial" w:eastAsia="Arial" w:hAnsi="Arial"/>
          <w:sz w:val="16"/>
          <w:szCs w:val="16"/>
          <w:color w:val="auto"/>
        </w:rPr>
      </w:pPr>
    </w:p>
    <w:p>
      <w:pPr>
        <w:jc w:val="both"/>
        <w:ind w:left="1300" w:hanging="320"/>
        <w:spacing w:after="0" w:line="311" w:lineRule="auto"/>
        <w:tabs>
          <w:tab w:leader="none" w:pos="1295"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jc w:val="both"/>
        <w:ind w:firstLine="324"/>
        <w:spacing w:after="0" w:line="272" w:lineRule="auto"/>
        <w:rPr>
          <w:sz w:val="20"/>
          <w:szCs w:val="20"/>
          <w:color w:val="auto"/>
        </w:rPr>
      </w:pPr>
      <w:r>
        <w:rPr>
          <w:rFonts w:ascii="Arial" w:cs="Arial" w:eastAsia="Arial" w:hAnsi="Arial"/>
          <w:sz w:val="17"/>
          <w:szCs w:val="17"/>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 are, and may in the future also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6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8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maintain insurance coverage with third-party insurers. However, not every risk or liability is or can be protected by insurance, and, for those risks we insure, the limits of coverage we purchase or that are reasonably obtainable in the market may not be sufficient to cover all actual losses or liabilities incurred. Liability insurance coverage is expensive and there is a risk that commercially available liability insurance will not continue to be available to us at a reasonable cost, if at all. If we or other industry participants sustain significant losses or make significant insurance claims, our ability to obtain future insurance coverage at commercially reasonable rates could be materially adversely affected. An inability to obtain liability insurance, significant increases in the cost of insurance we obtain, or losses in excess of our liability insurance coverage could have a material adverse effect on us.</w:t>
      </w:r>
    </w:p>
    <w:p>
      <w:pPr>
        <w:spacing w:after="0" w:line="5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Any insurance we carry, including the aforementioned insurance coverage, reflects deductibles, self-insured retentions, limits of liability and similar provisions that we believe are prudent based on our operations. 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7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carry or maintain such insurance coverage or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w:t>
      </w:r>
    </w:p>
    <w:p>
      <w:pPr>
        <w:spacing w:after="0" w:line="4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all claims and lawsuits, however, there is a risk that liabilities, fines and losses may not be covered by insurance or indemnity or may exceed insurance or indemnity coverage.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believe that our trademarks, service marks, copyrights, patents, processes, trade secrets, domain names and other intellectual property, including our Academy Sports + Outdoors brand, our owned brands, such as Academy Sports + Outdoors, Magellan Outdoors, BCG, Freely and Outdoor Gourmet, and our goodwill, designs, names, slogans, images and trade dress associated with these brands, are valuable assets, essential to our success and our competitive position due to their name recognition with customers.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costs and risks associated with the requirements of being a public company, and our management is required to devote substantial time to compliance, adding complexity to running our business.</w:t>
      </w:r>
    </w:p>
    <w:p>
      <w:pPr>
        <w:spacing w:after="0" w:line="6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public company, we incur significant legal, regulatory, finance, accounting, investor relations, insurance, and other expenses that we did not incur as a private company, including costs associated with public company governance and reporting requirements and costs of recruiting and retaining non-executive directors. We also incur costs associated with the Sarbanes-Oxley Act, and the Dodd-Frank Wall Street Reform and Consumer Protection Act, or the Dodd-Frank Act, and related rules implemented by the SEC, and costs in connection with continued listing on Nasdaq, ESG and investor relations. The obligations, expenses, and risks incurred by public companies generally for reporting and ESG purposes have been increasing. Our efforts to comply with public company rules, regulations, and expectations increase our legal and financial compliance costs and to make some activities more time-consuming and/or costly. Our management devotes a substantial amount of time to ensure that we comply with all of these requirements and expectations, diverting the attention of management away from revenue-producing activities. These rules, regulations, and expectations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1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w:t>
      </w:r>
    </w:p>
    <w:p>
      <w:pPr>
        <w:spacing w:after="0" w:line="3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are required, pursuant to Section 404(a) of the Sarbanes-Oxley Act, or Section 404, to furnish a report by management on, among other things, the effectiveness of our internal control over financial reporting each annual report on Form 10-K.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is also required to issue an attestation report on the effectiveness of our internal controls in each annual report on Form 10-K.</w:t>
      </w:r>
    </w:p>
    <w:p>
      <w:pPr>
        <w:spacing w:after="0" w:line="7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8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level of indebtedness requires that we dedicate a portion of our cash flows to debt service payments and reduces the funds that would otherwise be available for other general corporate purposes and 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January 29, 2022, we had approximately $297.8 million outstanding under the Term Loan and $400.0 million outstanding under the Notes, all of which is secured. As of January 29, 2022, we had no borrowings outstanding under the ABL Facility (as defined in Note 4 of the accompanying consolidated financial statements), an available borrowing capacity under the ABL Facility of approximately $874.8 million (which is subject to customary borrowing conditions, including a borrowing base), and outstanding letters of credit of $21.4 million, $17.8 million of which were issued under the ABL Facility.</w:t>
      </w:r>
    </w:p>
    <w:p>
      <w:pPr>
        <w:spacing w:after="0" w:line="8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overall level of indebtedness requires that we dedicate a portion of our cash flows to debt service payments. The Term Loan (as defined in Note 4 of the accompanying consolidated financial statements) requires quarterly principal and cash interest payments through September 30, 2027. The ABL Facility matures on November 6, 2025, subject to a springing maturity clause which is triggered 91 days before the November 6, 2027 maturity of the Term Loan should it not be paid off or extended at least 91 days beyond the November 6, 2025 maturity date of the ABL Facility. The Notes (as defined in Note 4 of the accompanying consolidated financial statements) require semi-annual payments of interest (in arrears) and matures on November 15, 2027.</w:t>
      </w:r>
    </w:p>
    <w:p>
      <w:pPr>
        <w:spacing w:after="0" w:line="5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indebtedness reduces the funds that would otherwise be available for operations, future business opportunities and payments of our debt obligations and limits our ability to:</w:t>
      </w:r>
    </w:p>
    <w:p>
      <w:pPr>
        <w:spacing w:after="0" w:line="62" w:lineRule="exact"/>
        <w:rPr>
          <w:sz w:val="20"/>
          <w:szCs w:val="20"/>
          <w:color w:val="auto"/>
        </w:rPr>
      </w:pPr>
    </w:p>
    <w:p>
      <w:pPr>
        <w:ind w:left="1300" w:hanging="320"/>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obtain additional financing, if necessary, for working capital and operations, or such financing may not be available on favorable terms;</w:t>
      </w:r>
    </w:p>
    <w:p>
      <w:pPr>
        <w:spacing w:after="0" w:line="140" w:lineRule="exact"/>
        <w:rPr>
          <w:rFonts w:ascii="Arial" w:cs="Arial" w:eastAsia="Arial" w:hAnsi="Arial"/>
          <w:sz w:val="16"/>
          <w:szCs w:val="16"/>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react to changes or withstand a future downturn in our business, the industry or the economy in general;</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 store growth, distribution center expansion, e-commerce growth, budget targets and forecasts of future results;</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117"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react to competitive pressures or compete with competitors with less debt.</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53"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are unable to generate sufficient cash flow to permit us to make scheduled service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Despite our level of indebtedness, we may still be able to incur substantially more debt, which could further increase the risks to our financial condition described above.</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Despite our level of indebtedness, we may be able to incur significant additional indebtedness in the future, including off-balance sheet financings, trade credit, contractual obligations and general and commercial liabilities. Although the credit agreements governing the Term Loan and the ABL Facility and the indenture governing the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w:t>
      </w: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5" w:name="page36"/>
    <w:bookmarkEnd w:id="35"/>
    <w:p>
      <w:pPr>
        <w:jc w:val="both"/>
        <w:spacing w:after="0" w:line="255" w:lineRule="auto"/>
        <w:rPr>
          <w:sz w:val="20"/>
          <w:szCs w:val="20"/>
          <w:color w:val="auto"/>
        </w:rPr>
      </w:pPr>
      <w:r>
        <w:rPr>
          <w:rFonts w:ascii="Arial" w:cs="Arial" w:eastAsia="Arial" w:hAnsi="Arial"/>
          <w:sz w:val="18"/>
          <w:szCs w:val="18"/>
          <w:color w:val="auto"/>
        </w:rPr>
        <w:t>under the ABL Facility. As of January 29, 2022, we had no borrowings outstanding under the ABL Facility, and an available borrowing capacity under the ABL Facility of approximately $874.8 million (which is subject to customary borrowing conditions, including a borrowing base). We may be able to increase the commitments under the ABL Facility by $250.0 million, subject to certain conditions. We may also be able to increase the capacity under the Term Loan by up to the greater of (x) $480.0 million and (y) 100% of the Consolidated EBITDA (as defined in the Term Loan),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6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and the ABL Facility and the indenture governing the Notes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5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If we cannot generate sufficient cash flow to permit us to make scheduled payments on our debt, then we will be in default and holders of that debt could declare all outstanding principal and interest to be due and payable. If our existing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and the ABL Facility and/or holders of the Notes could foreclose against the assets securing their borrowings and we could be forced into bankruptcy or liquidation.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6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credit agreements governing the Term Loan and the ABL Facility and the indenture governing the Notes contain restrictive covenants that impose significant operating and financial restrictions on us and may limit our ability to engage in acts that may be in our best interest, including restrictions on our ability to:</w:t>
      </w:r>
    </w:p>
    <w:p>
      <w:pPr>
        <w:spacing w:after="0" w:line="76" w:lineRule="exact"/>
        <w:rPr>
          <w:sz w:val="20"/>
          <w:szCs w:val="20"/>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loans, investments and other restricted payments;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Additionally, at certain times, the ABL Facility requires maintenance of a certain minimum adjusted fixed charge coverage ratio. Our ability to comply with the covenants and restrictions contained in our credit agreements and indenture may be affected by events beyond our control. If market or other economic conditions deteriorate, our ability to comply with these covenants and restrictions may be impaired.</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existing indebtedness were to be accelerated, there can be no assurance that we would have, or be able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to obtain, sufficient funds to repay such indebtedness in full. In addition, an event of default under the credit agreement governing our ABL Facility would permit the lenders under our ABL Facility to terminate all commitments to extend further credit under that facility. Furthermore, if we were unable to repay the amounts due and payable under secured indebtedness, the lenders/holders of such indebtedness could proceed against the collateral granted to them to secure that indebtedness, and we could be forced into bankruptcy or liquidation.</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variable rate indebtedness subjects us to interest rate risk, which could cause our debt service obligations to increase significantly.</w:t>
      </w:r>
    </w:p>
    <w:p>
      <w:pPr>
        <w:spacing w:after="0" w:line="1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Borrowings under the Term Loan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6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6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One of our sources of liquidity is the ABL Facility. Each financial institution that is a lender under the ABL Facility is responsible on a several but not joint basis for providing a portion of the loans to be made under the 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new store profitability is partially attributable to our ability to negotiate attractive rental rates with our landlords and to secure sale-leaseback financing at attractive cap rates. Our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successful retail strategy is partially attributable to our ability to negotiate favorable trade terms with our vendors. Our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level of indebtedness could adversely affect the profitability of our business, which could make it more difficult for us to generate cash flow sufficient to satisfy our obligations under our indebtedness.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the Ownership of Our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You may be diluted by the future issuance of additional common stock in connection with our incentive plans, acquisitions or otherwise.</w:t>
      </w:r>
    </w:p>
    <w:p>
      <w:pPr>
        <w:spacing w:after="0" w:line="2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approximately 213 million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New Academy Holding Company, LLC 2011 Unit Incentive Plan, or 2011 Equity Plan, our 2020 Omnibus Incentive Plan, or 2020 Equity Plan, and our new 2020 Employee Stock Purchase Plan, or ESPP. See “Executive Compensation—Equity Compensation Plans.”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6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8" w:lineRule="exact"/>
        <w:rPr>
          <w:sz w:val="20"/>
          <w:szCs w:val="20"/>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63"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governmental fiscal policy or interest rate regulation;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74" w:lineRule="exact"/>
        <w:rPr>
          <w:rFonts w:ascii="Arial" w:cs="Arial" w:eastAsia="Arial" w:hAnsi="Arial"/>
          <w:sz w:val="17"/>
          <w:szCs w:val="17"/>
          <w:color w:val="auto"/>
        </w:rPr>
      </w:pPr>
    </w:p>
    <w:p>
      <w:pPr>
        <w:ind w:left="1140" w:hanging="322"/>
        <w:spacing w:after="0" w:line="277" w:lineRule="auto"/>
        <w:tabs>
          <w:tab w:leader="none" w:pos="11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8" w:name="page39"/>
    <w:bookmarkEnd w:id="38"/>
    <w:p>
      <w:pPr>
        <w:ind w:left="1140" w:hanging="32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63" w:lineRule="exact"/>
        <w:rPr>
          <w:rFonts w:ascii="Arial" w:cs="Arial" w:eastAsia="Arial" w:hAnsi="Arial"/>
          <w:sz w:val="18"/>
          <w:szCs w:val="18"/>
          <w:color w:val="auto"/>
        </w:rPr>
      </w:pPr>
    </w:p>
    <w:p>
      <w:pPr>
        <w:jc w:val="both"/>
        <w:ind w:left="1140" w:hanging="322"/>
        <w:spacing w:after="0" w:line="263" w:lineRule="auto"/>
        <w:tabs>
          <w:tab w:leader="none" w:pos="11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acts of terrorism, civil unrest, wars (including the invasion of Ukraine by Russia and its regional and global ramifications) or responses to these events.</w:t>
      </w:r>
    </w:p>
    <w:p>
      <w:pPr>
        <w:spacing w:after="0" w:line="76"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4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w:t>
      </w:r>
    </w:p>
    <w:p>
      <w:pPr>
        <w:spacing w:after="0" w:line="11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19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We cannot assure you that we will pay dividends on our common stock, and our indebtedness could limit our ability to pay future dividends on our common stock.</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have announced our intention to pay cash dividends on our common stock, subject to our compliance with applicable law. In addition, any determination to pay dividends to holders of our common stock will be at the discretion of our board of directors and will depend upon many factors, including our financial condition, results of operations, projections, liquidity, earnings, legal requirements, covenant compliance, restrictions in our existing and any future debt agreements and other factors that our board of directors deems relevant. Therefore, there can be no assurance that we will pay any dividends to holders of our common stock or as to the amount of any such dividends. In addition, our historical results of operations, including cash flow, are not indicative of future financial performance, and our actual results of operations could differ significantly from our historical results of operations. We have not adopted, and do not currently expect to adopt, a separate written dividend policy.</w:t>
      </w:r>
    </w:p>
    <w:p>
      <w:pPr>
        <w:spacing w:after="0" w:line="20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Additionally, 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In addition, Delaware law may impose requirements that may restrict our ability to pay dividends to holders of our common stock.</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 our stock or our industry, or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These provisions provide for, among other things:</w:t>
      </w:r>
    </w:p>
    <w:p>
      <w:pPr>
        <w:spacing w:after="0" w:line="63" w:lineRule="exact"/>
        <w:rPr>
          <w:sz w:val="20"/>
          <w:szCs w:val="20"/>
          <w:color w:val="auto"/>
        </w:rPr>
      </w:pPr>
    </w:p>
    <w:p>
      <w:pPr>
        <w:ind w:left="1140" w:hanging="322"/>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 without stockholder approval;</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8" w:lineRule="exact"/>
        <w:rPr>
          <w:rFonts w:ascii="Arial" w:cs="Arial" w:eastAsia="Arial" w:hAnsi="Arial"/>
          <w:sz w:val="18"/>
          <w:szCs w:val="18"/>
          <w:color w:val="auto"/>
        </w:rPr>
      </w:pPr>
    </w:p>
    <w:p>
      <w:pPr>
        <w:ind w:left="1140" w:hanging="322"/>
        <w:spacing w:after="0"/>
        <w:tabs>
          <w:tab w:leader="none" w:pos="1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63" w:lineRule="exact"/>
        <w:rPr>
          <w:rFonts w:ascii="Arial" w:cs="Arial" w:eastAsia="Arial" w:hAnsi="Arial"/>
          <w:sz w:val="18"/>
          <w:szCs w:val="18"/>
          <w:color w:val="auto"/>
        </w:rPr>
      </w:pPr>
    </w:p>
    <w:p>
      <w:pPr>
        <w:ind w:left="1140" w:hanging="322"/>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 2/3% of the shares of common stock entitled to vote generally in the election of directors; and</w:t>
      </w:r>
    </w:p>
    <w:p>
      <w:pPr>
        <w:spacing w:after="0" w:line="8" w:lineRule="exact"/>
        <w:rPr>
          <w:rFonts w:ascii="Arial" w:cs="Arial" w:eastAsia="Arial" w:hAnsi="Arial"/>
          <w:sz w:val="18"/>
          <w:szCs w:val="18"/>
          <w:color w:val="auto"/>
        </w:rPr>
      </w:pPr>
    </w:p>
    <w:p>
      <w:pPr>
        <w:ind w:left="1140" w:right="20" w:hanging="322"/>
        <w:spacing w:after="0" w:line="277" w:lineRule="auto"/>
        <w:tabs>
          <w:tab w:leader="none" w:pos="11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of shares of common stock entitled to vote generally in the election of directors.</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27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does not relieve us of our duties to comply with the federal securities laws and the rules and regulations thereunder, and our stockholders are not be deemed to have waived our compliance with these laws, rules and regulations.</w:t>
      </w:r>
    </w:p>
    <w:p>
      <w:pPr>
        <w:spacing w:after="0" w:line="2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jc w:val="both"/>
        <w:ind w:firstLine="324"/>
        <w:spacing w:after="0" w:line="255"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is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ectPr>
          <w:pgSz w:w="11900" w:h="16838" w:orient="portrait"/>
          <w:cols w:equalWidth="0" w:num="1">
            <w:col w:w="11240"/>
          </w:cols>
          <w:pgMar w:left="320" w:top="1003" w:right="339" w:bottom="1440" w:gutter="0" w:footer="0" w:header="0"/>
        </w:sectPr>
      </w:pP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8"/>
          <w:szCs w:val="18"/>
          <w:color w:val="auto"/>
        </w:rPr>
        <w:t>We are headquartered at 1800 North Mason Road, Katy, Texas, 77449. The following table sets forth the location, use and size of our corporate and distribution center facilities as of January 29, 2022:</w:t>
      </w:r>
    </w:p>
    <w:tbl>
      <w:tblPr>
        <w:tblLayout w:type="fixed"/>
        <w:tblInd w:w="0" w:type="dxa"/>
        <w:tblCellMar>
          <w:top w:w="0" w:type="dxa"/>
          <w:left w:w="0" w:type="dxa"/>
          <w:bottom w:w="0" w:type="dxa"/>
          <w:right w:w="0" w:type="dxa"/>
        </w:tblCellMar>
      </w:tblPr>
      <w:tr>
        <w:trPr>
          <w:trHeight w:val="181"/>
        </w:trPr>
        <w:tc>
          <w:tcPr>
            <w:tcW w:w="326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Location</w:t>
            </w:r>
          </w:p>
        </w:tc>
        <w:tc>
          <w:tcPr>
            <w:tcW w:w="4480" w:type="dxa"/>
            <w:vAlign w:val="bottom"/>
            <w:vMerge w:val="restart"/>
          </w:tcPr>
          <w:p>
            <w:pPr>
              <w:ind w:left="1140"/>
              <w:spacing w:after="0"/>
              <w:rPr>
                <w:sz w:val="20"/>
                <w:szCs w:val="20"/>
                <w:color w:val="auto"/>
              </w:rPr>
            </w:pPr>
            <w:r>
              <w:rPr>
                <w:rFonts w:ascii="Arial" w:cs="Arial" w:eastAsia="Arial" w:hAnsi="Arial"/>
                <w:sz w:val="18"/>
                <w:szCs w:val="18"/>
                <w:b w:val="1"/>
                <w:bCs w:val="1"/>
                <w:color w:val="auto"/>
              </w:rPr>
              <w:t>Use</w:t>
            </w:r>
          </w:p>
        </w:tc>
        <w:tc>
          <w:tcPr>
            <w:tcW w:w="2980" w:type="dxa"/>
            <w:vAlign w:val="bottom"/>
          </w:tcPr>
          <w:p>
            <w:pPr>
              <w:jc w:val="right"/>
              <w:spacing w:after="0" w:line="182" w:lineRule="exact"/>
              <w:rPr>
                <w:sz w:val="20"/>
                <w:szCs w:val="20"/>
                <w:color w:val="auto"/>
              </w:rPr>
            </w:pPr>
            <w:r>
              <w:rPr>
                <w:rFonts w:ascii="Arial" w:cs="Arial" w:eastAsia="Arial" w:hAnsi="Arial"/>
                <w:sz w:val="18"/>
                <w:szCs w:val="18"/>
                <w:b w:val="1"/>
                <w:bCs w:val="1"/>
                <w:color w:val="auto"/>
              </w:rPr>
              <w:t>Approximate Square</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auto"/>
            </w:tcBorders>
            <w:vMerge w:val="continue"/>
          </w:tcPr>
          <w:p>
            <w:pPr>
              <w:spacing w:after="0"/>
              <w:rPr>
                <w:sz w:val="19"/>
                <w:szCs w:val="19"/>
                <w:color w:val="auto"/>
              </w:rPr>
            </w:pPr>
          </w:p>
        </w:tc>
        <w:tc>
          <w:tcPr>
            <w:tcW w:w="4480" w:type="dxa"/>
            <w:vAlign w:val="bottom"/>
            <w:tcBorders>
              <w:bottom w:val="single" w:sz="8" w:color="auto"/>
            </w:tcBorders>
            <w:vMerge w:val="continue"/>
          </w:tcPr>
          <w:p>
            <w:pPr>
              <w:spacing w:after="0"/>
              <w:rPr>
                <w:sz w:val="19"/>
                <w:szCs w:val="19"/>
                <w:color w:val="auto"/>
              </w:rPr>
            </w:pPr>
          </w:p>
        </w:tc>
        <w:tc>
          <w:tcPr>
            <w:tcW w:w="29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Footage</w:t>
            </w:r>
          </w:p>
        </w:tc>
        <w:tc>
          <w:tcPr>
            <w:tcW w:w="0" w:type="dxa"/>
            <w:vAlign w:val="bottom"/>
          </w:tcPr>
          <w:p>
            <w:pPr>
              <w:spacing w:after="0"/>
              <w:rPr>
                <w:sz w:val="1"/>
                <w:szCs w:val="1"/>
                <w:color w:val="auto"/>
              </w:rPr>
            </w:pPr>
          </w:p>
        </w:tc>
      </w:tr>
      <w:tr>
        <w:trPr>
          <w:trHeight w:val="222"/>
        </w:trPr>
        <w:tc>
          <w:tcPr>
            <w:tcW w:w="3260" w:type="dxa"/>
            <w:vAlign w:val="bottom"/>
          </w:tcPr>
          <w:p>
            <w:pPr>
              <w:ind w:left="360"/>
              <w:spacing w:after="0"/>
              <w:rPr>
                <w:sz w:val="20"/>
                <w:szCs w:val="20"/>
                <w:color w:val="auto"/>
              </w:rPr>
            </w:pPr>
            <w:r>
              <w:rPr>
                <w:rFonts w:ascii="Arial" w:cs="Arial" w:eastAsia="Arial" w:hAnsi="Arial"/>
                <w:sz w:val="18"/>
                <w:szCs w:val="18"/>
                <w:color w:val="auto"/>
              </w:rPr>
              <w:t>Katy, Texas</w:t>
            </w:r>
          </w:p>
        </w:tc>
        <w:tc>
          <w:tcPr>
            <w:tcW w:w="4480" w:type="dxa"/>
            <w:vAlign w:val="bottom"/>
          </w:tcPr>
          <w:p>
            <w:pPr>
              <w:ind w:left="1140"/>
              <w:spacing w:after="0"/>
              <w:rPr>
                <w:sz w:val="20"/>
                <w:szCs w:val="20"/>
                <w:color w:val="auto"/>
              </w:rPr>
            </w:pPr>
            <w:r>
              <w:rPr>
                <w:rFonts w:ascii="Arial" w:cs="Arial" w:eastAsia="Arial" w:hAnsi="Arial"/>
                <w:sz w:val="18"/>
                <w:szCs w:val="18"/>
                <w:color w:val="auto"/>
              </w:rPr>
              <w:t>Corporate Office Building 1</w:t>
            </w:r>
          </w:p>
        </w:tc>
        <w:tc>
          <w:tcPr>
            <w:tcW w:w="298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Katy, Texas</w:t>
            </w:r>
          </w:p>
        </w:tc>
        <w:tc>
          <w:tcPr>
            <w:tcW w:w="4480" w:type="dxa"/>
            <w:vAlign w:val="bottom"/>
          </w:tcPr>
          <w:p>
            <w:pPr>
              <w:ind w:left="1140"/>
              <w:spacing w:after="0"/>
              <w:rPr>
                <w:sz w:val="20"/>
                <w:szCs w:val="20"/>
                <w:color w:val="auto"/>
              </w:rPr>
            </w:pPr>
            <w:r>
              <w:rPr>
                <w:rFonts w:ascii="Arial" w:cs="Arial" w:eastAsia="Arial" w:hAnsi="Arial"/>
                <w:sz w:val="18"/>
                <w:szCs w:val="18"/>
                <w:color w:val="auto"/>
              </w:rPr>
              <w:t>Corporate Office Building 2</w:t>
            </w:r>
          </w:p>
        </w:tc>
        <w:tc>
          <w:tcPr>
            <w:tcW w:w="29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9"/>
        </w:trPr>
        <w:tc>
          <w:tcPr>
            <w:tcW w:w="3260" w:type="dxa"/>
            <w:vAlign w:val="bottom"/>
          </w:tcPr>
          <w:p>
            <w:pPr>
              <w:ind w:left="360"/>
              <w:spacing w:after="0"/>
              <w:rPr>
                <w:sz w:val="20"/>
                <w:szCs w:val="20"/>
                <w:color w:val="auto"/>
              </w:rPr>
            </w:pPr>
            <w:r>
              <w:rPr>
                <w:rFonts w:ascii="Arial" w:cs="Arial" w:eastAsia="Arial" w:hAnsi="Arial"/>
                <w:sz w:val="18"/>
                <w:szCs w:val="18"/>
                <w:color w:val="auto"/>
              </w:rPr>
              <w:t>Katy, Texas</w:t>
            </w:r>
          </w:p>
        </w:tc>
        <w:tc>
          <w:tcPr>
            <w:tcW w:w="4480" w:type="dxa"/>
            <w:vAlign w:val="bottom"/>
          </w:tcPr>
          <w:p>
            <w:pPr>
              <w:ind w:left="1140"/>
              <w:spacing w:after="0"/>
              <w:rPr>
                <w:sz w:val="20"/>
                <w:szCs w:val="20"/>
                <w:color w:val="auto"/>
              </w:rPr>
            </w:pPr>
            <w:r>
              <w:rPr>
                <w:rFonts w:ascii="Arial" w:cs="Arial" w:eastAsia="Arial" w:hAnsi="Arial"/>
                <w:sz w:val="18"/>
                <w:szCs w:val="18"/>
                <w:color w:val="auto"/>
              </w:rPr>
              <w:t>Bulk Warehouse</w:t>
            </w:r>
          </w:p>
        </w:tc>
        <w:tc>
          <w:tcPr>
            <w:tcW w:w="2980" w:type="dxa"/>
            <w:vAlign w:val="bottom"/>
          </w:tcPr>
          <w:p>
            <w:pPr>
              <w:jc w:val="right"/>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29"/>
        </w:trPr>
        <w:tc>
          <w:tcPr>
            <w:tcW w:w="3260" w:type="dxa"/>
            <w:vAlign w:val="bottom"/>
          </w:tcPr>
          <w:p>
            <w:pPr>
              <w:ind w:left="360"/>
              <w:spacing w:after="0"/>
              <w:rPr>
                <w:sz w:val="20"/>
                <w:szCs w:val="20"/>
                <w:color w:val="auto"/>
              </w:rPr>
            </w:pPr>
            <w:r>
              <w:rPr>
                <w:rFonts w:ascii="Arial" w:cs="Arial" w:eastAsia="Arial" w:hAnsi="Arial"/>
                <w:sz w:val="18"/>
                <w:szCs w:val="18"/>
                <w:color w:val="auto"/>
              </w:rPr>
              <w:t>Katy, Texas</w:t>
            </w:r>
          </w:p>
        </w:tc>
        <w:tc>
          <w:tcPr>
            <w:tcW w:w="4480" w:type="dxa"/>
            <w:vAlign w:val="bottom"/>
          </w:tcPr>
          <w:p>
            <w:pPr>
              <w:ind w:left="1140"/>
              <w:spacing w:after="0"/>
              <w:rPr>
                <w:sz w:val="20"/>
                <w:szCs w:val="20"/>
                <w:color w:val="auto"/>
              </w:rPr>
            </w:pPr>
            <w:r>
              <w:rPr>
                <w:rFonts w:ascii="Arial" w:cs="Arial" w:eastAsia="Arial" w:hAnsi="Arial"/>
                <w:sz w:val="18"/>
                <w:szCs w:val="18"/>
                <w:color w:val="auto"/>
              </w:rPr>
              <w:t>Distribution Center</w:t>
            </w:r>
          </w:p>
        </w:tc>
        <w:tc>
          <w:tcPr>
            <w:tcW w:w="2980" w:type="dxa"/>
            <w:vAlign w:val="bottom"/>
          </w:tcPr>
          <w:p>
            <w:pPr>
              <w:jc w:val="right"/>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Twiggs County, Georgia</w:t>
            </w:r>
          </w:p>
        </w:tc>
        <w:tc>
          <w:tcPr>
            <w:tcW w:w="4480" w:type="dxa"/>
            <w:vAlign w:val="bottom"/>
          </w:tcPr>
          <w:p>
            <w:pPr>
              <w:ind w:left="1140"/>
              <w:spacing w:after="0"/>
              <w:rPr>
                <w:sz w:val="20"/>
                <w:szCs w:val="20"/>
                <w:color w:val="auto"/>
              </w:rPr>
            </w:pPr>
            <w:r>
              <w:rPr>
                <w:rFonts w:ascii="Arial" w:cs="Arial" w:eastAsia="Arial" w:hAnsi="Arial"/>
                <w:sz w:val="18"/>
                <w:szCs w:val="18"/>
                <w:color w:val="auto"/>
              </w:rPr>
              <w:t>Distribution Center</w:t>
            </w:r>
          </w:p>
        </w:tc>
        <w:tc>
          <w:tcPr>
            <w:tcW w:w="2980" w:type="dxa"/>
            <w:vAlign w:val="bottom"/>
          </w:tcPr>
          <w:p>
            <w:pPr>
              <w:jc w:val="right"/>
              <w:spacing w:after="0"/>
              <w:rPr>
                <w:sz w:val="20"/>
                <w:szCs w:val="20"/>
                <w:color w:val="auto"/>
              </w:rPr>
            </w:pPr>
            <w:r>
              <w:rPr>
                <w:rFonts w:ascii="Arial" w:cs="Arial" w:eastAsia="Arial" w:hAnsi="Arial"/>
                <w:sz w:val="18"/>
                <w:szCs w:val="18"/>
                <w:color w:val="auto"/>
              </w:rPr>
              <w:t>1,600,000</w:t>
            </w:r>
          </w:p>
        </w:tc>
        <w:tc>
          <w:tcPr>
            <w:tcW w:w="0" w:type="dxa"/>
            <w:vAlign w:val="bottom"/>
          </w:tcPr>
          <w:p>
            <w:pPr>
              <w:spacing w:after="0"/>
              <w:rPr>
                <w:sz w:val="1"/>
                <w:szCs w:val="1"/>
                <w:color w:val="auto"/>
              </w:rPr>
            </w:pPr>
          </w:p>
        </w:tc>
      </w:tr>
      <w:tr>
        <w:trPr>
          <w:trHeight w:val="229"/>
        </w:trPr>
        <w:tc>
          <w:tcPr>
            <w:tcW w:w="3260" w:type="dxa"/>
            <w:vAlign w:val="bottom"/>
          </w:tcPr>
          <w:p>
            <w:pPr>
              <w:ind w:left="360"/>
              <w:spacing w:after="0"/>
              <w:rPr>
                <w:sz w:val="20"/>
                <w:szCs w:val="20"/>
                <w:color w:val="auto"/>
              </w:rPr>
            </w:pPr>
            <w:r>
              <w:rPr>
                <w:rFonts w:ascii="Arial" w:cs="Arial" w:eastAsia="Arial" w:hAnsi="Arial"/>
                <w:sz w:val="18"/>
                <w:szCs w:val="18"/>
                <w:color w:val="auto"/>
              </w:rPr>
              <w:t>Cookeville, Tennessee</w:t>
            </w:r>
          </w:p>
        </w:tc>
        <w:tc>
          <w:tcPr>
            <w:tcW w:w="4480" w:type="dxa"/>
            <w:vAlign w:val="bottom"/>
          </w:tcPr>
          <w:p>
            <w:pPr>
              <w:ind w:left="1140"/>
              <w:spacing w:after="0"/>
              <w:rPr>
                <w:sz w:val="20"/>
                <w:szCs w:val="20"/>
                <w:color w:val="auto"/>
              </w:rPr>
            </w:pPr>
            <w:r>
              <w:rPr>
                <w:rFonts w:ascii="Arial" w:cs="Arial" w:eastAsia="Arial" w:hAnsi="Arial"/>
                <w:sz w:val="18"/>
                <w:szCs w:val="18"/>
                <w:color w:val="auto"/>
              </w:rPr>
              <w:t>Distribution Center</w:t>
            </w:r>
          </w:p>
        </w:tc>
        <w:tc>
          <w:tcPr>
            <w:tcW w:w="2980" w:type="dxa"/>
            <w:vAlign w:val="bottom"/>
          </w:tcPr>
          <w:p>
            <w:pPr>
              <w:jc w:val="right"/>
              <w:spacing w:after="0"/>
              <w:rPr>
                <w:sz w:val="20"/>
                <w:szCs w:val="20"/>
                <w:color w:val="auto"/>
              </w:rPr>
            </w:pPr>
            <w:r>
              <w:rPr>
                <w:rFonts w:ascii="Arial" w:cs="Arial" w:eastAsia="Arial" w:hAnsi="Arial"/>
                <w:sz w:val="18"/>
                <w:szCs w:val="18"/>
                <w:color w:val="auto"/>
              </w:rPr>
              <w:t>1,600,000</w:t>
            </w:r>
          </w:p>
        </w:tc>
        <w:tc>
          <w:tcPr>
            <w:tcW w:w="0" w:type="dxa"/>
            <w:vAlign w:val="bottom"/>
          </w:tcPr>
          <w:p>
            <w:pPr>
              <w:spacing w:after="0"/>
              <w:rPr>
                <w:sz w:val="1"/>
                <w:szCs w:val="1"/>
                <w:color w:val="auto"/>
              </w:rPr>
            </w:pPr>
          </w:p>
        </w:tc>
      </w:tr>
      <w:tr>
        <w:trPr>
          <w:trHeight w:val="230"/>
        </w:trPr>
        <w:tc>
          <w:tcPr>
            <w:tcW w:w="3260" w:type="dxa"/>
            <w:vAlign w:val="bottom"/>
          </w:tcPr>
          <w:p>
            <w:pPr>
              <w:ind w:left="360"/>
              <w:spacing w:after="0"/>
              <w:rPr>
                <w:sz w:val="20"/>
                <w:szCs w:val="20"/>
                <w:color w:val="auto"/>
              </w:rPr>
            </w:pPr>
            <w:r>
              <w:rPr>
                <w:rFonts w:ascii="Arial" w:cs="Arial" w:eastAsia="Arial" w:hAnsi="Arial"/>
                <w:sz w:val="18"/>
                <w:szCs w:val="18"/>
                <w:color w:val="auto"/>
              </w:rPr>
              <w:t>Kowloon, Hong Kong</w:t>
            </w:r>
          </w:p>
        </w:tc>
        <w:tc>
          <w:tcPr>
            <w:tcW w:w="4480" w:type="dxa"/>
            <w:vAlign w:val="bottom"/>
          </w:tcPr>
          <w:p>
            <w:pPr>
              <w:ind w:left="1140"/>
              <w:spacing w:after="0"/>
              <w:rPr>
                <w:sz w:val="20"/>
                <w:szCs w:val="20"/>
                <w:color w:val="auto"/>
              </w:rPr>
            </w:pPr>
            <w:r>
              <w:rPr>
                <w:rFonts w:ascii="Arial" w:cs="Arial" w:eastAsia="Arial" w:hAnsi="Arial"/>
                <w:sz w:val="18"/>
                <w:szCs w:val="18"/>
                <w:color w:val="auto"/>
              </w:rPr>
              <w:t>Global Sourcing Office</w:t>
            </w:r>
          </w:p>
        </w:tc>
        <w:tc>
          <w:tcPr>
            <w:tcW w:w="298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0"/>
          <w:szCs w:val="10"/>
          <w:color w:val="auto"/>
        </w:rPr>
        <w:t>(1)</w:t>
      </w:r>
    </w:p>
    <w:p>
      <w:pPr>
        <w:spacing w:after="0" w:line="128" w:lineRule="exact"/>
        <w:rPr>
          <w:sz w:val="20"/>
          <w:szCs w:val="20"/>
          <w:color w:val="auto"/>
        </w:rPr>
      </w:pPr>
    </w:p>
    <w:p>
      <w:pPr>
        <w:spacing w:after="0"/>
        <w:rPr>
          <w:sz w:val="20"/>
          <w:szCs w:val="20"/>
          <w:color w:val="auto"/>
        </w:rPr>
      </w:pPr>
      <w:r>
        <w:rPr>
          <w:rFonts w:ascii="Arial" w:cs="Arial" w:eastAsia="Arial" w:hAnsi="Arial"/>
          <w:sz w:val="10"/>
          <w:szCs w:val="10"/>
          <w:color w:val="auto"/>
        </w:rPr>
        <w:t>(2)</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(3)</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(4)</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(5)</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(6)</w:t>
      </w:r>
    </w:p>
    <w:p>
      <w:pPr>
        <w:spacing w:after="0" w:line="115" w:lineRule="exact"/>
        <w:rPr>
          <w:sz w:val="20"/>
          <w:szCs w:val="20"/>
          <w:color w:val="auto"/>
        </w:rPr>
      </w:pPr>
    </w:p>
    <w:p>
      <w:pPr>
        <w:spacing w:after="0"/>
        <w:rPr>
          <w:sz w:val="20"/>
          <w:szCs w:val="20"/>
          <w:color w:val="auto"/>
        </w:rPr>
      </w:pPr>
      <w:r>
        <w:rPr>
          <w:rFonts w:ascii="Arial" w:cs="Arial" w:eastAsia="Arial" w:hAnsi="Arial"/>
          <w:sz w:val="10"/>
          <w:szCs w:val="10"/>
          <w:color w:val="auto"/>
        </w:rPr>
        <w:t>(7)</w:t>
      </w:r>
    </w:p>
    <w:p>
      <w:pPr>
        <w:spacing w:after="0" w:line="184" w:lineRule="exact"/>
        <w:rPr>
          <w:sz w:val="20"/>
          <w:szCs w:val="20"/>
          <w:color w:val="auto"/>
        </w:rPr>
      </w:pPr>
    </w:p>
    <w:p>
      <w:pPr>
        <w:sectPr>
          <w:pgSz w:w="11900" w:h="16838" w:orient="portrait"/>
          <w:cols w:equalWidth="0" w:num="2">
            <w:col w:w="10960" w:space="100"/>
            <w:col w:w="180"/>
          </w:cols>
          <w:pgMar w:left="320" w:top="1003" w:right="339" w:bottom="1440" w:gutter="0" w:footer="0" w:header="0"/>
          <w:type w:val="continuous"/>
        </w:sect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2007.</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2015.</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15 year lease entered in 2012.</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2007. Five year extension to original term entered in 2020.</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2012. Five year lease extension to original term entered in 2020.</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20 year lease entered in 2016. Three year lease extension to original term entered in 2020.</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6"/>
          <w:szCs w:val="16"/>
          <w:color w:val="auto"/>
        </w:rPr>
        <w:t>Two year lease entered in 2020. Three year lease extension to original term entered in 2022.</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lease all of our stores. Our initial store lease terms are typically 15 to 20 years with various renewal options and lease escalation structures. We believe that all of our leases are entered into at then-prevailing market lease rates. As of January 29, 2022, our total leased store square footage was approximately 18.3 million square feet.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defenses, insurance and reserves, the ultimate resolution of these matters will not have a material impact on our financial position, results of operations or cash flows.</w:t>
      </w:r>
    </w:p>
    <w:p>
      <w:pPr>
        <w:sectPr>
          <w:pgSz w:w="11900" w:h="16838" w:orient="portrait"/>
          <w:cols w:equalWidth="0" w:num="1">
            <w:col w:w="11240"/>
          </w:cols>
          <w:pgMar w:left="320" w:top="100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41" w:name="page42"/>
    <w:bookmarkEnd w:id="41"/>
    <w:p>
      <w:pPr>
        <w:jc w:val="both"/>
        <w:ind w:firstLine="324"/>
        <w:spacing w:after="0" w:line="287" w:lineRule="auto"/>
        <w:rPr>
          <w:sz w:val="20"/>
          <w:szCs w:val="20"/>
          <w:color w:val="auto"/>
        </w:rPr>
      </w:pPr>
      <w:r>
        <w:rPr>
          <w:rFonts w:ascii="Arial" w:cs="Arial" w:eastAsia="Arial" w:hAnsi="Arial"/>
          <w:sz w:val="16"/>
          <w:szCs w:val="16"/>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 substantially similar issues of law and fact, relate to the April 2016 sale by one of our stores of a firearm and 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The Supreme Court of Texas heard oral arguments relating to our motions for summary judgment to dismiss certain of the cases in October 2020 (the “Texas Supreme Court Cases”), with the remainder of these cases stayed pending the Supreme Court of Texas’ decision. On June 25, 2021, the Supreme Court of Texas issued an opinion directing the trial court to grant our motion for summary judgment and held that the Texas Supreme Court Cases are statutorily barred and we are protected from continued participation in the Texas Supreme Court cases. Given the Supreme Court of Texas’s opinion and the substantial similarity of all these cases, we expect that any remaining claims and/or cases not included in the Texas Supreme Court Cases should also be dismissed by the trial court. However, the ultimate outcome of those claims and/or cases cannot be determined at this time.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Academy's common stock began trading on the Nasdaq Stock Market LLC, or Nasdaq, under the symbol "ASO" on October 2, 2020. Prior to that date, there was no public market for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Graph</w:t>
      </w:r>
    </w:p>
    <w:p>
      <w:pPr>
        <w:spacing w:after="0" w:line="11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This performance graph shall not be deemed “soliciting material” or “filed” with the SEC for purposes of Section 18 of the Exchange Act, or otherwise subject to the liabilities under that Section, and shall not be deemed to be incorporated by reference into any of our filings under the Securities Act or the Exchange Act. The graph below presents the Company’s cumulative total stockholder returns relative to the performance of the Nasdaq US Benchmark Retail Index and the Russell 3000 Index commencing October 2, 2020 (the Company’s initial day of trading) through January 28, 2022. All values assume a $100 initial investment at the opening price of the Company’s common stock on the Nasdaq and data for the Nasdaq US Benchmark Retail Index and the Russell 3000 Index assumes all dividends were reinvested on the date paid. The points on the graph represent fiscal quarter-end values based on the last trading day of each fiscal quarter.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5829300" cy="32486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0"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Issuer Purchases of Equity Securities</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0" w:type="dxa"/>
            <w:vAlign w:val="bottom"/>
            <w:gridSpan w:val="9"/>
          </w:tcPr>
          <w:p>
            <w:pPr>
              <w:ind w:left="260"/>
              <w:spacing w:after="0"/>
              <w:rPr>
                <w:sz w:val="20"/>
                <w:szCs w:val="20"/>
                <w:color w:val="auto"/>
              </w:rPr>
            </w:pPr>
            <w:r>
              <w:rPr>
                <w:rFonts w:ascii="Arial" w:cs="Arial" w:eastAsia="Arial" w:hAnsi="Arial"/>
                <w:sz w:val="18"/>
                <w:szCs w:val="18"/>
                <w:color w:val="auto"/>
                <w:w w:val="96"/>
              </w:rPr>
              <w:t>The following table summarizes the repurchases and cancellations of our common stock during the fourth quarter of 2021:</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2"/>
              </w:rPr>
              <w:t>Total Number of</w:t>
            </w:r>
          </w:p>
        </w:tc>
        <w:tc>
          <w:tcPr>
            <w:tcW w:w="180" w:type="dxa"/>
            <w:vAlign w:val="bottom"/>
          </w:tcPr>
          <w:p>
            <w:pPr>
              <w:spacing w:after="0"/>
              <w:rPr>
                <w:sz w:val="17"/>
                <w:szCs w:val="17"/>
                <w:color w:val="auto"/>
              </w:rPr>
            </w:pPr>
          </w:p>
        </w:tc>
        <w:tc>
          <w:tcPr>
            <w:tcW w:w="146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1"/>
              </w:rPr>
              <w:t>Dollar Value of</w:t>
            </w:r>
          </w:p>
        </w:tc>
        <w:tc>
          <w:tcPr>
            <w:tcW w:w="0" w:type="dxa"/>
            <w:vAlign w:val="bottom"/>
          </w:tcPr>
          <w:p>
            <w:pPr>
              <w:spacing w:after="0"/>
              <w:rPr>
                <w:sz w:val="1"/>
                <w:szCs w:val="1"/>
                <w:color w:val="auto"/>
              </w:rPr>
            </w:pPr>
          </w:p>
        </w:tc>
      </w:tr>
      <w:tr>
        <w:trPr>
          <w:trHeight w:val="176"/>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87"/>
              </w:rPr>
              <w:t>Share Purchased as</w:t>
            </w:r>
          </w:p>
        </w:tc>
        <w:tc>
          <w:tcPr>
            <w:tcW w:w="164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92"/>
              </w:rPr>
              <w:t>Shares that May Yet</w:t>
            </w: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89"/>
              </w:rPr>
              <w:t>Average Price Paid</w:t>
            </w:r>
          </w:p>
        </w:tc>
        <w:tc>
          <w:tcPr>
            <w:tcW w:w="17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Part of Publicly</w:t>
            </w:r>
          </w:p>
        </w:tc>
        <w:tc>
          <w:tcPr>
            <w:tcW w:w="1640" w:type="dxa"/>
            <w:vAlign w:val="bottom"/>
            <w:gridSpan w:val="2"/>
          </w:tcPr>
          <w:p>
            <w:pPr>
              <w:ind w:left="40"/>
              <w:spacing w:after="0" w:line="176" w:lineRule="exact"/>
              <w:rPr>
                <w:sz w:val="20"/>
                <w:szCs w:val="20"/>
                <w:color w:val="auto"/>
              </w:rPr>
            </w:pPr>
            <w:r>
              <w:rPr>
                <w:rFonts w:ascii="Arial" w:cs="Arial" w:eastAsia="Arial" w:hAnsi="Arial"/>
                <w:sz w:val="18"/>
                <w:szCs w:val="18"/>
                <w:b w:val="1"/>
                <w:bCs w:val="1"/>
                <w:color w:val="auto"/>
                <w:w w:val="90"/>
              </w:rPr>
              <w:t>be Purchased Under</w:t>
            </w:r>
          </w:p>
        </w:tc>
        <w:tc>
          <w:tcPr>
            <w:tcW w:w="0" w:type="dxa"/>
            <w:vAlign w:val="bottom"/>
          </w:tcPr>
          <w:p>
            <w:pPr>
              <w:spacing w:after="0"/>
              <w:rPr>
                <w:sz w:val="1"/>
                <w:szCs w:val="1"/>
                <w:color w:val="auto"/>
              </w:rPr>
            </w:pPr>
          </w:p>
        </w:tc>
      </w:tr>
      <w:tr>
        <w:trPr>
          <w:trHeight w:val="176"/>
        </w:trPr>
        <w:tc>
          <w:tcPr>
            <w:tcW w:w="4460" w:type="dxa"/>
            <w:vAlign w:val="bottom"/>
            <w:gridSpan w:val="2"/>
            <w:vMerge w:val="restart"/>
          </w:tcPr>
          <w:p>
            <w:pPr>
              <w:ind w:left="1940"/>
              <w:spacing w:after="0"/>
              <w:rPr>
                <w:sz w:val="20"/>
                <w:szCs w:val="20"/>
                <w:color w:val="auto"/>
              </w:rPr>
            </w:pPr>
            <w:r>
              <w:rPr>
                <w:rFonts w:ascii="Arial" w:cs="Arial" w:eastAsia="Arial" w:hAnsi="Arial"/>
                <w:sz w:val="18"/>
                <w:szCs w:val="18"/>
                <w:b w:val="1"/>
                <w:bCs w:val="1"/>
                <w:color w:val="auto"/>
              </w:rPr>
              <w:t>Period</w:t>
            </w:r>
          </w:p>
        </w:tc>
        <w:tc>
          <w:tcPr>
            <w:tcW w:w="172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7"/>
              </w:rPr>
              <w:t>Shares Purchased</w:t>
            </w:r>
          </w:p>
        </w:tc>
        <w:tc>
          <w:tcPr>
            <w:tcW w:w="1720" w:type="dxa"/>
            <w:vAlign w:val="bottom"/>
            <w:gridSpan w:val="3"/>
            <w:vMerge w:val="continue"/>
          </w:tcPr>
          <w:p>
            <w:pPr>
              <w:spacing w:after="0"/>
              <w:rPr>
                <w:sz w:val="15"/>
                <w:szCs w:val="15"/>
                <w:color w:val="auto"/>
              </w:rPr>
            </w:pPr>
          </w:p>
        </w:tc>
        <w:tc>
          <w:tcPr>
            <w:tcW w:w="17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89"/>
              </w:rPr>
              <w:t>Announced Plans or</w:t>
            </w:r>
          </w:p>
        </w:tc>
        <w:tc>
          <w:tcPr>
            <w:tcW w:w="180" w:type="dxa"/>
            <w:vAlign w:val="bottom"/>
          </w:tcPr>
          <w:p>
            <w:pPr>
              <w:spacing w:after="0"/>
              <w:rPr>
                <w:sz w:val="15"/>
                <w:szCs w:val="15"/>
                <w:color w:val="auto"/>
              </w:rPr>
            </w:pPr>
          </w:p>
        </w:tc>
        <w:tc>
          <w:tcPr>
            <w:tcW w:w="146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9"/>
              </w:rPr>
              <w:t>the Plans or</w:t>
            </w:r>
          </w:p>
        </w:tc>
        <w:tc>
          <w:tcPr>
            <w:tcW w:w="0" w:type="dxa"/>
            <w:vAlign w:val="bottom"/>
          </w:tcPr>
          <w:p>
            <w:pPr>
              <w:spacing w:after="0"/>
              <w:rPr>
                <w:sz w:val="1"/>
                <w:szCs w:val="1"/>
                <w:color w:val="auto"/>
              </w:rPr>
            </w:pPr>
          </w:p>
        </w:tc>
      </w:tr>
      <w:tr>
        <w:trPr>
          <w:trHeight w:val="229"/>
        </w:trPr>
        <w:tc>
          <w:tcPr>
            <w:tcW w:w="4460" w:type="dxa"/>
            <w:vAlign w:val="bottom"/>
            <w:gridSpan w:val="2"/>
            <w:vMerge w:val="continue"/>
          </w:tcPr>
          <w:p>
            <w:pPr>
              <w:spacing w:after="0"/>
              <w:rPr>
                <w:sz w:val="19"/>
                <w:szCs w:val="19"/>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(a)</w:t>
            </w:r>
          </w:p>
        </w:tc>
        <w:tc>
          <w:tcPr>
            <w:tcW w:w="260" w:type="dxa"/>
            <w:vAlign w:val="bottom"/>
          </w:tcPr>
          <w:p>
            <w:pPr>
              <w:spacing w:after="0"/>
              <w:rPr>
                <w:sz w:val="19"/>
                <w:szCs w:val="19"/>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per Share</w:t>
            </w:r>
          </w:p>
        </w:tc>
        <w:tc>
          <w:tcPr>
            <w:tcW w:w="1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Programs (b)</w:t>
            </w:r>
          </w:p>
        </w:tc>
        <w:tc>
          <w:tcPr>
            <w:tcW w:w="180" w:type="dxa"/>
            <w:vAlign w:val="bottom"/>
          </w:tcPr>
          <w:p>
            <w:pPr>
              <w:spacing w:after="0"/>
              <w:rPr>
                <w:sz w:val="19"/>
                <w:szCs w:val="19"/>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Programs (b)</w:t>
            </w:r>
          </w:p>
        </w:tc>
        <w:tc>
          <w:tcPr>
            <w:tcW w:w="0" w:type="dxa"/>
            <w:vAlign w:val="bottom"/>
          </w:tcPr>
          <w:p>
            <w:pPr>
              <w:spacing w:after="0"/>
              <w:rPr>
                <w:sz w:val="1"/>
                <w:szCs w:val="1"/>
                <w:color w:val="auto"/>
              </w:rPr>
            </w:pPr>
          </w:p>
        </w:tc>
      </w:tr>
      <w:tr>
        <w:trPr>
          <w:trHeight w:val="223"/>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31, 2021 to November 27, 2021</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60" w:type="dxa"/>
            <w:vAlign w:val="bottom"/>
            <w:gridSpan w:val="2"/>
          </w:tcPr>
          <w:p>
            <w:pPr>
              <w:ind w:left="20"/>
              <w:spacing w:after="0"/>
              <w:rPr>
                <w:sz w:val="20"/>
                <w:szCs w:val="20"/>
                <w:color w:val="auto"/>
              </w:rPr>
            </w:pPr>
            <w:r>
              <w:rPr>
                <w:rFonts w:ascii="Arial" w:cs="Arial" w:eastAsia="Arial" w:hAnsi="Arial"/>
                <w:sz w:val="18"/>
                <w:szCs w:val="18"/>
                <w:color w:val="auto"/>
              </w:rPr>
              <w:t>November 28, 2021 to January 1, 2022</w:t>
            </w:r>
          </w:p>
        </w:tc>
        <w:tc>
          <w:tcPr>
            <w:tcW w:w="1620" w:type="dxa"/>
            <w:vAlign w:val="bottom"/>
          </w:tcPr>
          <w:p>
            <w:pPr>
              <w:jc w:val="right"/>
              <w:spacing w:after="0"/>
              <w:rPr>
                <w:sz w:val="20"/>
                <w:szCs w:val="20"/>
                <w:color w:val="auto"/>
              </w:rPr>
            </w:pPr>
            <w:r>
              <w:rPr>
                <w:rFonts w:ascii="Arial" w:cs="Arial" w:eastAsia="Arial" w:hAnsi="Arial"/>
                <w:sz w:val="18"/>
                <w:szCs w:val="18"/>
                <w:color w:val="auto"/>
              </w:rPr>
              <w:t>906,256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906,256</w:t>
            </w:r>
          </w:p>
        </w:tc>
        <w:tc>
          <w:tcPr>
            <w:tcW w:w="8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217,290,407</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2, 2022 to January 29,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c>
          <w:tcPr>
            <w:tcW w:w="10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707,674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188,648,157</w:t>
            </w:r>
          </w:p>
        </w:tc>
        <w:tc>
          <w:tcPr>
            <w:tcW w:w="0" w:type="dxa"/>
            <w:vAlign w:val="bottom"/>
          </w:tcPr>
          <w:p>
            <w:pPr>
              <w:spacing w:after="0"/>
              <w:rPr>
                <w:sz w:val="1"/>
                <w:szCs w:val="1"/>
                <w:color w:val="auto"/>
              </w:rPr>
            </w:pPr>
          </w:p>
        </w:tc>
      </w:tr>
      <w:tr>
        <w:trPr>
          <w:trHeight w:val="223"/>
        </w:trPr>
        <w:tc>
          <w:tcPr>
            <w:tcW w:w="44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1,613,930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10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1,613,930</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188,648,157</w:t>
            </w:r>
          </w:p>
        </w:tc>
        <w:tc>
          <w:tcPr>
            <w:tcW w:w="0" w:type="dxa"/>
            <w:vAlign w:val="bottom"/>
          </w:tcPr>
          <w:p>
            <w:pPr>
              <w:spacing w:after="0"/>
              <w:rPr>
                <w:sz w:val="1"/>
                <w:szCs w:val="1"/>
                <w:color w:val="auto"/>
              </w:rPr>
            </w:pPr>
          </w:p>
        </w:tc>
      </w:tr>
      <w:tr>
        <w:trPr>
          <w:trHeight w:val="21"/>
        </w:trPr>
        <w:tc>
          <w:tcPr>
            <w:tcW w:w="4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260" w:hanging="252"/>
        <w:spacing w:after="0" w:line="258" w:lineRule="auto"/>
        <w:tabs>
          <w:tab w:leader="none" w:pos="26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total number of shares purchased excludes shares which were net-settled, and therefore not issued, to cover employee tax withholding related to the vesting of certain restricted stock units.</w:t>
      </w:r>
    </w:p>
    <w:p>
      <w:pPr>
        <w:spacing w:after="0" w:line="1" w:lineRule="exact"/>
        <w:rPr>
          <w:rFonts w:ascii="Arial" w:cs="Arial" w:eastAsia="Arial" w:hAnsi="Arial"/>
          <w:sz w:val="18"/>
          <w:szCs w:val="18"/>
          <w:color w:val="auto"/>
        </w:rPr>
      </w:pPr>
    </w:p>
    <w:p>
      <w:pPr>
        <w:ind w:left="260" w:right="20" w:hanging="252"/>
        <w:spacing w:after="0" w:line="260" w:lineRule="auto"/>
        <w:tabs>
          <w:tab w:leader="none" w:pos="272"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September 2, 2021, our Board of Directors authorized a share repurchase program under which the Company may purchase up to $500 million of its outstanding shares during the three-year period ending September 2, 2024 (the "Share Repurchase Program").</w:t>
      </w:r>
    </w:p>
    <w:p>
      <w:pPr>
        <w:spacing w:after="0" w:line="2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Share Repurchase Program does not obligate the Company to acquire any particular number of common shares, and the program may be suspended, extended, modified or discontinued at any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22, 2022, there were 22 holders of record of ASO, Inc.'s common stock. The number of holders of record is based upon the actual number of holders registered at such date and does not include holders of shares in "street name" or persons, partnerships, associates, corporations or other entities identified in security position listing maintained by depositories.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March 3, 2022, the Company issued a press release announcing that the Board of Directors (the “Board”) approved the initiation of a quarterly cash dividend and declared a cash dividend with respect to the quarter ended January 29, 2022 of $0.075 per share of common stock, $0.01 par value per share, of the Company (the “Dividend”). The Dividend is payable on April 14, 2022, to stockholders of record as of the close of business on March 17, 2022. The Company intends to announce quarterly cash dividends, the declaration, timing, amount, and payment of which will be subject to the discretion and approval of the Board, taking into account such considerations as the Board may deem relevant at the time, including, among others, the Company’s results, financial condition and capital allocation plans.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together with our consolidated financial statements and related notes included elsewhere in this Annual Report for the fiscal year ended January 29, 2022 (this "Annual Report").</w:t>
      </w:r>
    </w:p>
    <w:p>
      <w:pPr>
        <w:spacing w:after="0" w:line="38" w:lineRule="exact"/>
        <w:rPr>
          <w:sz w:val="20"/>
          <w:szCs w:val="20"/>
          <w:color w:val="auto"/>
        </w:rPr>
      </w:pPr>
    </w:p>
    <w:p>
      <w:pPr>
        <w:jc w:val="both"/>
        <w:ind w:firstLine="292"/>
        <w:spacing w:after="0" w:line="257" w:lineRule="auto"/>
        <w:rPr>
          <w:sz w:val="20"/>
          <w:szCs w:val="20"/>
          <w:color w:val="auto"/>
        </w:rPr>
      </w:pPr>
      <w:r>
        <w:rPr>
          <w:rFonts w:ascii="Arial" w:cs="Arial" w:eastAsia="Arial" w:hAnsi="Arial"/>
          <w:sz w:val="18"/>
          <w:szCs w:val="18"/>
          <w:i w:val="1"/>
          <w:iCs w:val="1"/>
          <w:color w:val="auto"/>
        </w:rPr>
        <w:t>This discussion contains forward-looking statements that involve risks and uncertainties. See the section of this Annual Report entitled "Cautionary Statement Regarding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the "Risk Factors" section of this Annual Report.</w:t>
      </w:r>
    </w:p>
    <w:p>
      <w:pPr>
        <w:spacing w:after="0" w:line="80" w:lineRule="exact"/>
        <w:rPr>
          <w:sz w:val="20"/>
          <w:szCs w:val="20"/>
          <w:color w:val="auto"/>
        </w:rPr>
      </w:pPr>
    </w:p>
    <w:p>
      <w:pPr>
        <w:jc w:val="both"/>
        <w:ind w:right="20" w:firstLine="292"/>
        <w:spacing w:after="0" w:line="308" w:lineRule="auto"/>
        <w:rPr>
          <w:sz w:val="20"/>
          <w:szCs w:val="20"/>
          <w:color w:val="auto"/>
        </w:rPr>
      </w:pPr>
      <w:r>
        <w:rPr>
          <w:rFonts w:ascii="Arial" w:cs="Arial" w:eastAsia="Arial" w:hAnsi="Arial"/>
          <w:sz w:val="17"/>
          <w:szCs w:val="17"/>
          <w:i w:val="1"/>
          <w:iCs w:val="1"/>
          <w:color w:val="auto"/>
        </w:rPr>
        <w:t>Any reference in this Annual Report to "year" or any year in particular refers to our fiscal year, which represents the fifty-two or fifty-three week period ending on the Saturday closest to January 31. Unless otherwise specified, all comparisons or changes regarding 2021 are made to 2020.</w:t>
      </w:r>
    </w:p>
    <w:p>
      <w:pPr>
        <w:spacing w:after="0" w:line="38" w:lineRule="exact"/>
        <w:rPr>
          <w:sz w:val="20"/>
          <w:szCs w:val="20"/>
          <w:color w:val="auto"/>
        </w:rPr>
      </w:pPr>
    </w:p>
    <w:p>
      <w:pPr>
        <w:jc w:val="both"/>
        <w:ind w:firstLine="292"/>
        <w:spacing w:after="0" w:line="263" w:lineRule="auto"/>
        <w:rPr>
          <w:sz w:val="20"/>
          <w:szCs w:val="20"/>
          <w:color w:val="auto"/>
        </w:rPr>
      </w:pPr>
      <w:r>
        <w:rPr>
          <w:rFonts w:ascii="Arial" w:cs="Arial" w:eastAsia="Arial" w:hAnsi="Arial"/>
          <w:sz w:val="18"/>
          <w:szCs w:val="18"/>
          <w:i w:val="1"/>
          <w:iCs w:val="1"/>
          <w:color w:val="auto"/>
        </w:rPr>
        <w:t>All statements in this Annual Report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references in this discussion and analysis to "2021", "2020" and "2019" or like terms relate to our fiscal years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gridSpan w:val="2"/>
          </w:tcPr>
          <w:p>
            <w:pPr>
              <w:jc w:val="center"/>
              <w:ind w:left="170"/>
              <w:spacing w:after="0"/>
              <w:rPr>
                <w:sz w:val="20"/>
                <w:szCs w:val="20"/>
                <w:color w:val="auto"/>
              </w:rPr>
            </w:pPr>
            <w:r>
              <w:rPr>
                <w:rFonts w:ascii="Arial" w:cs="Arial" w:eastAsia="Arial" w:hAnsi="Arial"/>
                <w:sz w:val="18"/>
                <w:szCs w:val="18"/>
                <w:b w:val="1"/>
                <w:bCs w:val="1"/>
                <w:color w:val="auto"/>
                <w:w w:val="86"/>
              </w:rPr>
              <w:t>Fiscal</w:t>
            </w:r>
          </w:p>
        </w:tc>
        <w:tc>
          <w:tcPr>
            <w:tcW w:w="7740" w:type="dxa"/>
            <w:vAlign w:val="bottom"/>
            <w:gridSpan w:val="2"/>
            <w:vMerge w:val="restart"/>
          </w:tcPr>
          <w:p>
            <w:pPr>
              <w:jc w:val="center"/>
              <w:ind w:left="150"/>
              <w:spacing w:after="0"/>
              <w:rPr>
                <w:sz w:val="20"/>
                <w:szCs w:val="20"/>
                <w:color w:val="auto"/>
              </w:rPr>
            </w:pPr>
            <w:r>
              <w:rPr>
                <w:rFonts w:ascii="Arial" w:cs="Arial" w:eastAsia="Arial" w:hAnsi="Arial"/>
                <w:sz w:val="18"/>
                <w:szCs w:val="18"/>
                <w:b w:val="1"/>
                <w:bCs w:val="1"/>
                <w:color w:val="auto"/>
                <w:w w:val="90"/>
              </w:rPr>
              <w:t>Ended</w:t>
            </w:r>
          </w:p>
        </w:tc>
        <w:tc>
          <w:tcPr>
            <w:tcW w:w="1720" w:type="dxa"/>
            <w:vAlign w:val="bottom"/>
            <w:vMerge w:val="restart"/>
          </w:tcPr>
          <w:p>
            <w:pPr>
              <w:jc w:val="center"/>
              <w:ind w:left="250"/>
              <w:spacing w:after="0"/>
              <w:rPr>
                <w:sz w:val="20"/>
                <w:szCs w:val="20"/>
                <w:color w:val="auto"/>
              </w:rPr>
            </w:pPr>
            <w:r>
              <w:rPr>
                <w:rFonts w:ascii="Arial" w:cs="Arial" w:eastAsia="Arial" w:hAnsi="Arial"/>
                <w:sz w:val="18"/>
                <w:szCs w:val="18"/>
                <w:b w:val="1"/>
                <w:bCs w:val="1"/>
                <w:color w:val="auto"/>
                <w:w w:val="87"/>
              </w:rPr>
              <w:t>Weeks</w:t>
            </w:r>
          </w:p>
        </w:tc>
        <w:tc>
          <w:tcPr>
            <w:tcW w:w="0" w:type="dxa"/>
            <w:vAlign w:val="bottom"/>
          </w:tcPr>
          <w:p>
            <w:pPr>
              <w:spacing w:after="0"/>
              <w:rPr>
                <w:sz w:val="1"/>
                <w:szCs w:val="1"/>
                <w:color w:val="auto"/>
              </w:rPr>
            </w:pPr>
          </w:p>
        </w:tc>
      </w:tr>
      <w:tr>
        <w:trPr>
          <w:trHeight w:val="229"/>
        </w:trPr>
        <w:tc>
          <w:tcPr>
            <w:tcW w:w="1780" w:type="dxa"/>
            <w:vAlign w:val="bottom"/>
            <w:gridSpan w:val="2"/>
          </w:tcPr>
          <w:p>
            <w:pPr>
              <w:ind w:left="680"/>
              <w:spacing w:after="0"/>
              <w:rPr>
                <w:sz w:val="20"/>
                <w:szCs w:val="20"/>
                <w:color w:val="auto"/>
              </w:rPr>
            </w:pPr>
            <w:r>
              <w:rPr>
                <w:rFonts w:ascii="Arial" w:cs="Arial" w:eastAsia="Arial" w:hAnsi="Arial"/>
                <w:sz w:val="18"/>
                <w:szCs w:val="18"/>
                <w:b w:val="1"/>
                <w:bCs w:val="1"/>
                <w:color w:val="auto"/>
              </w:rPr>
              <w:t>Year</w:t>
            </w:r>
          </w:p>
        </w:tc>
        <w:tc>
          <w:tcPr>
            <w:tcW w:w="7740" w:type="dxa"/>
            <w:vAlign w:val="bottom"/>
            <w:gridSpan w:val="2"/>
            <w:vMerge w:val="continue"/>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2021</w:t>
            </w:r>
          </w:p>
        </w:tc>
        <w:tc>
          <w:tcPr>
            <w:tcW w:w="80" w:type="dxa"/>
            <w:vAlign w:val="bottom"/>
            <w:tcBorders>
              <w:top w:val="single" w:sz="8" w:color="CCEEFF"/>
            </w:tcBorders>
            <w:shd w:val="clear" w:color="auto" w:fill="CCEEFF"/>
          </w:tcPr>
          <w:p>
            <w:pPr>
              <w:spacing w:after="0"/>
              <w:rPr>
                <w:sz w:val="19"/>
                <w:szCs w:val="19"/>
                <w:color w:val="auto"/>
              </w:rPr>
            </w:pPr>
          </w:p>
        </w:tc>
        <w:tc>
          <w:tcPr>
            <w:tcW w:w="766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January 29, 2022</w:t>
            </w:r>
          </w:p>
        </w:tc>
        <w:tc>
          <w:tcPr>
            <w:tcW w:w="8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center"/>
              <w:ind w:left="250"/>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29"/>
        </w:trPr>
        <w:tc>
          <w:tcPr>
            <w:tcW w:w="1700" w:type="dxa"/>
            <w:vAlign w:val="bottom"/>
          </w:tcPr>
          <w:p>
            <w:pPr>
              <w:jc w:val="center"/>
              <w:ind w:left="250"/>
              <w:spacing w:after="0"/>
              <w:rPr>
                <w:sz w:val="20"/>
                <w:szCs w:val="20"/>
                <w:color w:val="auto"/>
              </w:rPr>
            </w:pPr>
            <w:r>
              <w:rPr>
                <w:rFonts w:ascii="Arial" w:cs="Arial" w:eastAsia="Arial" w:hAnsi="Arial"/>
                <w:sz w:val="18"/>
                <w:szCs w:val="18"/>
                <w:color w:val="auto"/>
                <w:w w:val="89"/>
              </w:rPr>
              <w:t>2020</w:t>
            </w:r>
          </w:p>
        </w:tc>
        <w:tc>
          <w:tcPr>
            <w:tcW w:w="80" w:type="dxa"/>
            <w:vAlign w:val="bottom"/>
          </w:tcPr>
          <w:p>
            <w:pPr>
              <w:spacing w:after="0"/>
              <w:rPr>
                <w:sz w:val="19"/>
                <w:szCs w:val="19"/>
                <w:color w:val="auto"/>
              </w:rPr>
            </w:pPr>
          </w:p>
        </w:tc>
        <w:tc>
          <w:tcPr>
            <w:tcW w:w="774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January 30, 2021</w:t>
            </w:r>
          </w:p>
        </w:tc>
        <w:tc>
          <w:tcPr>
            <w:tcW w:w="1720" w:type="dxa"/>
            <w:vAlign w:val="bottom"/>
          </w:tcPr>
          <w:p>
            <w:pPr>
              <w:jc w:val="center"/>
              <w:ind w:left="250"/>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2019</w:t>
            </w:r>
          </w:p>
        </w:tc>
        <w:tc>
          <w:tcPr>
            <w:tcW w:w="80" w:type="dxa"/>
            <w:vAlign w:val="bottom"/>
            <w:shd w:val="clear" w:color="auto" w:fill="CCEEFF"/>
          </w:tcPr>
          <w:p>
            <w:pPr>
              <w:spacing w:after="0"/>
              <w:rPr>
                <w:sz w:val="19"/>
                <w:szCs w:val="19"/>
                <w:color w:val="auto"/>
              </w:rPr>
            </w:pPr>
          </w:p>
        </w:tc>
        <w:tc>
          <w:tcPr>
            <w:tcW w:w="77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0"/>
              </w:rPr>
              <w:t>February 1, 2020</w:t>
            </w:r>
          </w:p>
        </w:tc>
        <w:tc>
          <w:tcPr>
            <w:tcW w:w="172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one of the leading full-line sporting goods and outdoor recreation retailers in the United States. Our mission is to provide “Fun for All” and we fulfill this mission with a localized merchandising strategy and value proposition that deeply connect with a broad range of consumers. Our product assortment focuses on key categories of outdoor, apparel, sports &amp; recreation and footwear (representing 32%, 27%, 22% and 19% of our 2021 net sales, respectively) through both leading national brands and a portfolio of 20 owned brands, which go well beyond traditional sporting goods and apparel offerings.</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3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of January 29, 2022, we operated 259 stores that range in size from approximately 40,000 to 130,000 gross square feet, with an average size of approximately 70,000 gross square feet, throughout 16 contiguous states located primarily in the southern United States. Our stores are supported by approximately 22,000 team members, three distribution centers, and our rapidly growing e-commerce platform, which includes our website at www.academy.com and our mobile app, newly introduced in the 2021 second quarter. Additionally, we are deepening our customer relationships, further integrating our e-commerce platform with our stores and driving operating efficiencies by developing our omnichannel capabilities, such as our curbside pickup and ship-to-store programs, which we launched in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5" w:name="page46"/>
    <w:bookmarkEnd w:id="45"/>
    <w:p>
      <w:pPr>
        <w:ind w:left="340"/>
        <w:spacing w:after="0"/>
        <w:rPr>
          <w:sz w:val="20"/>
          <w:szCs w:val="20"/>
          <w:color w:val="auto"/>
        </w:rPr>
      </w:pPr>
      <w:r>
        <w:rPr>
          <w:rFonts w:ascii="Arial" w:cs="Arial" w:eastAsia="Arial" w:hAnsi="Arial"/>
          <w:sz w:val="18"/>
          <w:szCs w:val="18"/>
          <w:color w:val="auto"/>
        </w:rPr>
        <w:t>The following table summarizes store activity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90"/>
              </w:rPr>
              <w:t>Fiscal Year Ended</w:t>
            </w:r>
          </w:p>
        </w:tc>
        <w:tc>
          <w:tcPr>
            <w:tcW w:w="2060" w:type="dxa"/>
            <w:vAlign w:val="bottom"/>
            <w:tcBorders>
              <w:bottom w:val="single" w:sz="8" w:color="auto"/>
            </w:tcBorders>
          </w:tcPr>
          <w:p>
            <w:pPr>
              <w:spacing w:after="0"/>
              <w:rPr>
                <w:sz w:val="20"/>
                <w:szCs w:val="20"/>
                <w:color w:val="auto"/>
              </w:rPr>
            </w:pPr>
          </w:p>
        </w:tc>
      </w:tr>
      <w:tr>
        <w:trPr>
          <w:trHeight w:val="223"/>
        </w:trPr>
        <w:tc>
          <w:tcPr>
            <w:tcW w:w="4900" w:type="dxa"/>
            <w:vAlign w:val="bottom"/>
          </w:tcPr>
          <w:p>
            <w:pPr>
              <w:spacing w:after="0"/>
              <w:rPr>
                <w:sz w:val="19"/>
                <w:szCs w:val="19"/>
                <w:color w:val="auto"/>
              </w:rPr>
            </w:pPr>
          </w:p>
        </w:tc>
        <w:tc>
          <w:tcPr>
            <w:tcW w:w="1700" w:type="dxa"/>
            <w:vAlign w:val="bottom"/>
          </w:tcPr>
          <w:p>
            <w:pPr>
              <w:ind w:left="360"/>
              <w:spacing w:after="0"/>
              <w:rPr>
                <w:sz w:val="20"/>
                <w:szCs w:val="20"/>
                <w:color w:val="auto"/>
              </w:rPr>
            </w:pPr>
            <w:r>
              <w:rPr>
                <w:rFonts w:ascii="Arial" w:cs="Arial" w:eastAsia="Arial" w:hAnsi="Arial"/>
                <w:sz w:val="18"/>
                <w:szCs w:val="18"/>
                <w:b w:val="1"/>
                <w:bCs w:val="1"/>
                <w:color w:val="auto"/>
                <w:w w:val="91"/>
              </w:rPr>
              <w:t>January 29, 2022</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January 30, 2021</w:t>
            </w:r>
          </w:p>
        </w:tc>
        <w:tc>
          <w:tcPr>
            <w:tcW w:w="2060" w:type="dxa"/>
            <w:vAlign w:val="bottom"/>
          </w:tcPr>
          <w:p>
            <w:pPr>
              <w:jc w:val="right"/>
              <w:ind w:right="650"/>
              <w:spacing w:after="0"/>
              <w:rPr>
                <w:sz w:val="20"/>
                <w:szCs w:val="20"/>
                <w:color w:val="auto"/>
              </w:rPr>
            </w:pPr>
            <w:r>
              <w:rPr>
                <w:rFonts w:ascii="Arial" w:cs="Arial" w:eastAsia="Arial" w:hAnsi="Arial"/>
                <w:sz w:val="18"/>
                <w:szCs w:val="18"/>
                <w:b w:val="1"/>
                <w:bCs w:val="1"/>
                <w:color w:val="auto"/>
                <w:w w:val="91"/>
              </w:rPr>
              <w:t>February 1, 2020</w:t>
            </w: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stores</w:t>
            </w:r>
          </w:p>
        </w:tc>
        <w:tc>
          <w:tcPr>
            <w:tcW w:w="170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259</w:t>
            </w:r>
          </w:p>
        </w:tc>
        <w:tc>
          <w:tcPr>
            <w:tcW w:w="8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Q1 new stores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Q2 new stores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Q3 new stores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Q4 new stores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Closed</w:t>
            </w:r>
          </w:p>
        </w:tc>
        <w:tc>
          <w:tcPr>
            <w:tcW w:w="1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Ending stores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259</w:t>
            </w: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Relocated stores</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How We Assess the Performance of Our Business and Recent Trends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3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b w:val="1"/>
          <w:bCs w:val="1"/>
          <w:i w:val="1"/>
          <w:iCs w:val="1"/>
          <w:color w:val="auto"/>
        </w:rPr>
        <w:t xml:space="preserve">Comparable Sales. </w:t>
      </w:r>
      <w:r>
        <w:rPr>
          <w:rFonts w:ascii="Arial" w:cs="Arial" w:eastAsia="Arial" w:hAnsi="Arial"/>
          <w:sz w:val="17"/>
          <w:szCs w:val="17"/>
          <w:color w:val="auto"/>
        </w:rPr>
        <w:t>We define comparable sales as the percentage of period-over-period net sales increase or decrease, in the aggregate, for stores open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after thirteen full fiscal months, as well as for all e-commerce sales. There may be variations in the way in which some of our competitors and other retailers calculate comparable sales. As a result, data in this Annual Report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or mobile app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Various factors affect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 We have seen a significant comparable store sales increase in recent years from (0.7%) in 2019 to 16.1% and 18.9% in 2020 and 2021, respectively. See the discussion on Net Sales below for some contributing factors to these increases.</w:t>
      </w:r>
    </w:p>
    <w:p>
      <w:pPr>
        <w:spacing w:after="0" w:line="1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Adjusted EBITDA, Adjusted EBIT, Adjusted Net Income, Pro Forma Adjusted Net Income, Pro Forma Adjusted Earnings per Share and Adjusted Free Cash Flow. </w:t>
      </w:r>
      <w:r>
        <w:rPr>
          <w:rFonts w:ascii="Arial" w:cs="Arial" w:eastAsia="Arial" w:hAnsi="Arial"/>
          <w:sz w:val="18"/>
          <w:szCs w:val="18"/>
          <w:color w:val="auto"/>
        </w:rPr>
        <w:t>Management uses Adjusted EBITDA, Adjusted EBIT, Adjusted Net Income, Pro Forma Adjusted Net Income, Pro Forma Adjusted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 See "Non-GAAP Financial Measures" below.</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Components of Our Results of Operations. </w:t>
      </w:r>
      <w:r>
        <w:rPr>
          <w:rFonts w:ascii="Arial" w:cs="Arial" w:eastAsia="Arial" w:hAnsi="Arial"/>
          <w:sz w:val="18"/>
          <w:szCs w:val="18"/>
          <w:color w:val="auto"/>
        </w:rPr>
        <w:t>Our profitability is primarily influenced by fluctuations in net sales, gross margin and our ability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6" w:name="page47"/>
    <w:bookmarkEnd w:id="46"/>
    <w:p>
      <w:pPr>
        <w:ind w:left="340"/>
        <w:spacing w:after="0"/>
        <w:rPr>
          <w:sz w:val="20"/>
          <w:szCs w:val="20"/>
          <w:color w:val="auto"/>
        </w:rPr>
      </w:pPr>
      <w:r>
        <w:rPr>
          <w:rFonts w:ascii="Arial" w:cs="Arial" w:eastAsia="Arial" w:hAnsi="Arial"/>
          <w:sz w:val="17"/>
          <w:szCs w:val="17"/>
          <w:b w:val="1"/>
          <w:bCs w:val="1"/>
          <w:i w:val="1"/>
          <w:iCs w:val="1"/>
          <w:color w:val="auto"/>
        </w:rPr>
        <w:t>Net Sales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sales are derived from in-store and e-commerce merchandise sales, net of sales tax and an allowance for merchandise returns.</w:t>
      </w:r>
    </w:p>
    <w:p>
      <w:pPr>
        <w:spacing w:after="0" w:line="183"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our management of vendor relations and meeting customer demand, allowances and logistics, seasonality, unseasonal or extreme weather, changes in consumer shopping preferences, consumer discretionary spending, and market and sales promotions.</w:t>
      </w:r>
    </w:p>
    <w:p>
      <w:pPr>
        <w:spacing w:after="0" w:line="9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must maintain sufficient inventory levels of merchandise that our customers desire to successfully operate our business. A shortage of popular merchandise could reduce our net sales. Conversely, we also must seek to avoid accumulating excess inventory to avoid markdowns and clearance which negatively impact sales and gross margin.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increasing our average inventory turns from 2.84x in 2019 to 3.89x in 2020 and 2021.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w:t>
      </w:r>
    </w:p>
    <w:p>
      <w:pPr>
        <w:spacing w:after="0" w:line="1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anticipate that the increased popularity of isolated recreation, outdoor and leisure activity products brought on by customer demand during the COVID-19 pandemic will continue and will result in a long-term increase to our customer base. Additionally, we have benefited from recent shifting of customer spend towards in-home health and wellness and dedicating more time to memory-making experiences.</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1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expect that the expansion and enhancement of our omnichannel capabilities has resulted in increased sales in recent years and will be a key driver of growth in our net sales and gross margin. We continue to invest in initiatives that will increase traffic to our e-commerce platform, which includes our website and mobile app, and drive increased online sales conversion. Our improved e-commerce platform supports our stores with digital marketing and our BOPIS and ship-to-store programs. Additionally, our e-commerce platform allows us to reach customers outside of our current store footprint and introduces new customers to the Academy brand. It also allows for us to connect further with our customers for marketing and product education.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2020. During 2021, stores facilitated approximately 95% of our total sales, including ship-from-store, BOPIS and in-store retail sales. We expect to continue to invest in expanding and enhancing our omnichannel capabilities, including support of our mobile app, optimizing the web site experience and upgrading our fulfillment capabilities, which will continue to require significant investments by us.</w:t>
      </w:r>
    </w:p>
    <w:p>
      <w:pPr>
        <w:spacing w:after="0" w:line="11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expect that new stores will be a key driver of growth in our net sales and gross margin in the future. Our results of operations have been and will continue to be materially affected by the timing and number of new store openings. We are continually assessing the number of locations available that could accommodate our preferred size of stores in markets we would consider and we expect to open at least eight new stores in 2022. Most of our stores achieve profitability within the first twelve months of opening a store. We believe our real estate strategy has positioned us well for further expansion.</w:t>
      </w:r>
    </w:p>
    <w:p>
      <w:pPr>
        <w:spacing w:after="0" w:line="1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is our net sales less cost of goods sold. Our cost of goods sold includes the direct cost of merchandise and costs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procurement, warehousing and distribution. These costs consist primarily of payroll and benefits, distribution center occupancy costs and freight and are generally variable in nature relative to our sales volume.</w:t>
      </w:r>
    </w:p>
    <w:p>
      <w:pPr>
        <w:spacing w:after="0" w:line="13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200" w:lineRule="exact"/>
        <w:rPr>
          <w:sz w:val="20"/>
          <w:szCs w:val="20"/>
          <w:color w:val="auto"/>
        </w:rPr>
      </w:pPr>
    </w:p>
    <w:p>
      <w:pPr>
        <w:spacing w:after="0" w:line="2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7" w:name="page48"/>
    <w:bookmarkEnd w:id="47"/>
    <w:p>
      <w:pPr>
        <w:jc w:val="both"/>
        <w:ind w:firstLine="324"/>
        <w:spacing w:after="0" w:line="289" w:lineRule="auto"/>
        <w:rPr>
          <w:sz w:val="20"/>
          <w:szCs w:val="20"/>
          <w:color w:val="auto"/>
        </w:rPr>
      </w:pPr>
      <w:r>
        <w:rPr>
          <w:rFonts w:ascii="Arial" w:cs="Arial" w:eastAsia="Arial" w:hAnsi="Arial"/>
          <w:sz w:val="16"/>
          <w:szCs w:val="16"/>
          <w:color w:val="auto"/>
        </w:rPr>
        <w:t>For the past several quarters, we have seen increased competition across the industry for resources throughout the supply chain, which has resulted in disruptions to the flow of products from our vendors, labor shortages, reduced shipping container availability, and longer delays at the port. As a result, we have begun to experience a period of decreased supply and high inflationary costs. These factors have negatively impacted transportation and inventory costs, as we continue to pay higher rates to maintain our inventory levels. To help mitigate these constraints and potential disruptions to our supply chain, we continue to work with our partners by ordering merchandise earlier, securing transportation capacity, and utilizing different ports of entry. General trade tensions between the United States and China began escalating in 2018 with the Trump Administration ultimately imposing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In certain cases these factors have resulted in higher inventory costs and higher sales prices and/or lower margins, thus resulting in a negative impact to net sales and/or gross margin.</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early 2020, due to changing demand as a result of the initial stages of the COVID-19 pandemic, customer preferences rapidly changed throughout certain categories (see below, “Impact of COVID-19 on Our Business”) and initially sales increased in categories such as fitness equipment, camping gear and hunting. These items generally have a lower margin than some of our other categories such as apparel. A demand shift in our sales mix in which we sell more units of our lower margin products can negatively impact our overall gross margin as a percent of sales.</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Selling, general and administrative ("SG&amp;A") expenses include store and corporate administrative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payroll and payroll benefits, store and corporate headquarters occupancy costs, advertising, credit card processing, information technology, pre-opening costs and other store and administrative expenses. These expenses are both variable and fixed in nature. As sales increase at a higher rate than our SG&amp;A, this results in sales leverage and a higher sales flow through to net income, which we have experienced in recent years with SG&amp;A expenses as a percentage of sales declining from 25.9% to 23.1% to 21.3% in 2019, 2020 and 2021, respectively.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includes regular interest payable related to our Term Loan, Notes and ABL Facility (see Note 4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accompanying consolidated financial statements) and the amortization of our deferred loan costs and original issuance discounts associated with the acquisition of the debt. In November of 2020, we refinanced our debt resulting in an approximate $630 million reduction in our overall debt outstanding. Subsequently, in May of 2021 we entered into an amendment to our Term Loan which reduced the applicable margin on our LIBOR rate by 1.25% and paid down $99 million (see Note 4 to the accompanying consolidated financial statements). These actions have resulted in interest expense reductions in 2020 and 2021.</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Prior to October 1, 2020, New Academy Holding Company, LLC, our prior ultimate parent company, was treated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flow through entity for U.S. federal income tax purposes and thus no federal income tax expense was recorded in our consolidated statements of income for periods prior to October 1, 2020. Our tax rate prior to October 1, 2020 was almost entirely the result of state income taxes. In connection with our initial public offering ("IPO"), as a result of the Reorganization Transactions (see Note 1 to the accompanying consolidated financial statements) completed on October 1, 2020, Academy Sports and Outdoors, Inc. ("ASO, Inc.")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COVID-19 pandemic continues to affect our business, as well as our customers, team members and suppliers, and has resulted in federal, state and local governmental authority safety recommendations and requirements aimed at mitigating the spread of the virus, such as stay-at-home orders, prohibitions of large group gatherings, travel restrictions and closures of certain businesses, including in response to resurgence of COVID-19 cases. The scope and nature of these impacts continue to evolve.</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response to COVID-19 related recommendations and requirements, and in order to serve our customers while also providing for the safety of our customers, team members and service providers, we have taken many actions, including cleaning each store professionally on a more frequent basis, equipping each store with hand sanitizer stations and signage illustrating how to socially distance within the store, requiring or suggesting that customers, team members and service providers wear face coverings, at certain times limiting the number of customers admitted at one time, and having protective shields installed at cash registers and other countertops. We have incurred increased costs related to the implementation of these measures as well as additional sick time for our active store and distribution center team members.</w:t>
      </w:r>
    </w:p>
    <w:p>
      <w:pPr>
        <w:spacing w:after="0" w:line="200" w:lineRule="exact"/>
        <w:rPr>
          <w:sz w:val="20"/>
          <w:szCs w:val="20"/>
          <w:color w:val="auto"/>
        </w:rPr>
      </w:pPr>
    </w:p>
    <w:p>
      <w:pPr>
        <w:spacing w:after="0" w:line="2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8" w:name="page49"/>
    <w:bookmarkEnd w:id="48"/>
    <w:p>
      <w:pPr>
        <w:jc w:val="both"/>
        <w:ind w:firstLine="324"/>
        <w:spacing w:after="0" w:line="291" w:lineRule="auto"/>
        <w:rPr>
          <w:sz w:val="20"/>
          <w:szCs w:val="20"/>
          <w:color w:val="auto"/>
        </w:rPr>
      </w:pPr>
      <w:r>
        <w:rPr>
          <w:rFonts w:ascii="Arial" w:cs="Arial" w:eastAsia="Arial" w:hAnsi="Arial"/>
          <w:sz w:val="16"/>
          <w:szCs w:val="16"/>
          <w:color w:val="auto"/>
        </w:rPr>
        <w:t>Towards the beginning of the pandemic during the thirteen weeks ended May 2, 2020, to mitigate the cost of these measures,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in March 2020 as a precautionary measure to ensure financial flexibility and maximize liquidity. All three of our distribution centers remained open during 2020 and through 2021, all of our 259 stores have been fully operational since May 20, 2020, and our corporate office has been fully open since June 8, 2020. We continue to monitor the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1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impact of the pandemic and actions taken in response to it had varying effects on our results of operations, as further discussed below, and our business has been especially unpredictable. However, as an essential retailer, we have been able to serve our customers as their needs evolved during the pandemic. Early in the pandemic, we saw the acceleration of sales in specific categories, such as outdoor cooking, camping, shooting sports and hunting. Later in the 2020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during 2020 we experienced decreased sales of certain of our offerings, primarily for apparel and footwear, and had to occasionally cancel certain of our purchase orders for these products. Despite the initial challenges in 2020 with sales declines in our footwear and apparel merchandise divisions, these categories ultimately experienced positive comparable sales growth for 2020. The outdoors and sports and recreation divisions had consistent positive store sales growth throughout 2020 and ultimately experienced significant positive comparable sales growth in 2020.</w:t>
      </w:r>
    </w:p>
    <w:p>
      <w:pPr>
        <w:spacing w:after="0" w:line="11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During 2020, we believe that our consumers felt more comfortable visiting our stores relative to other retailers due to our big-box stores and curbside pick-up availability for online orders, making it easier to socially distance, and that we are not in, or tethered to, malls, as customers seek to avoid crowded spaces. We also saw a significant increase during 2020 of customers purchasing our products through omnichannel platforms, specifically as customers increasingly take advantage of our curbside pick-up service, which we launched during the 2020 first quarter and ship-to-store, which launched in the 2020 third quarter, which gives our customers more options on how to shop Academy.</w:t>
      </w:r>
    </w:p>
    <w:p>
      <w:pPr>
        <w:spacing w:after="0" w:line="1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2021, we experienced double digit comparable sales growth in all of our merchandise divisions. In-store traffic has increased recently and relative to the prior year. We believe the in-store traffic increase is attributable to the easing of COVID-19 restrictions and increased availability of vaccinations throughout our footprint, which has contributed to increased customer comfort with shopping in our stores. Additionally, we have seen recent demand increases from various factors, such as the U.S. government stimulus payments, enhanced unemployment benefits and the gradual return of team sports and in-person education.</w:t>
      </w:r>
    </w:p>
    <w:p>
      <w:pPr>
        <w:spacing w:after="0" w:line="13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extent to which our operations and business trends will be impacted by, and any unforeseen costs will result from, the pandemic will depend largely on future developments, including whether there are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We continue to monitor the evolving situation. See the section of this Annual Report entitled "Risk Factors—Risks Related to Our Business—The impact of COVID-19 may adversely affect our business and financial results."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discussion regarding Results of Operations and Analysis of Financial Condition for the fiscal year ended January 30, 2021, as compared to the fiscal year ended February 1, 2020, is included in “Part II – Item 7. Management’s Discussion and Analysis of Financial Condition and Results of Operations” to our Annual Report on Form 10-K for the fiscal year ended January 30, 2021.</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2021 (52 weeks) Compared to 2020 (52 weeks)</w:t>
      </w:r>
    </w:p>
    <w:p>
      <w:pPr>
        <w:spacing w:after="0" w:line="252" w:lineRule="exact"/>
        <w:rPr>
          <w:sz w:val="20"/>
          <w:szCs w:val="20"/>
          <w:color w:val="auto"/>
        </w:rPr>
      </w:pPr>
    </w:p>
    <w:p>
      <w:pPr>
        <w:ind w:right="20" w:firstLine="324"/>
        <w:spacing w:after="0" w:line="271" w:lineRule="auto"/>
        <w:rPr>
          <w:sz w:val="20"/>
          <w:szCs w:val="20"/>
          <w:color w:val="auto"/>
        </w:rPr>
      </w:pPr>
      <w:r>
        <w:rPr>
          <w:rFonts w:ascii="Arial" w:cs="Arial" w:eastAsia="Arial" w:hAnsi="Arial"/>
          <w:sz w:val="18"/>
          <w:szCs w:val="18"/>
          <w:color w:val="auto"/>
        </w:rPr>
        <w:t>The following table sets forth amounts and information derived from our consolidated statements of income for the periods indicated as follows (dollar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Fiscal Year Ended</w:t>
            </w:r>
          </w:p>
        </w:tc>
        <w:tc>
          <w:tcPr>
            <w:tcW w:w="10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ind w:left="820"/>
              <w:spacing w:after="0"/>
              <w:rPr>
                <w:sz w:val="20"/>
                <w:szCs w:val="20"/>
                <w:color w:val="auto"/>
              </w:rPr>
            </w:pPr>
            <w:r>
              <w:rPr>
                <w:rFonts w:ascii="Arial" w:cs="Arial" w:eastAsia="Arial" w:hAnsi="Arial"/>
                <w:sz w:val="18"/>
                <w:szCs w:val="18"/>
                <w:b w:val="1"/>
                <w:bCs w:val="1"/>
                <w:color w:val="auto"/>
                <w:w w:val="96"/>
              </w:rPr>
              <w:t>Change</w:t>
            </w:r>
          </w:p>
        </w:tc>
        <w:tc>
          <w:tcPr>
            <w:tcW w:w="6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January 29, 2022</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rPr>
              <w:t>January 30, 2021</w:t>
            </w: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Dollars</w:t>
            </w:r>
          </w:p>
        </w:tc>
        <w:tc>
          <w:tcPr>
            <w:tcW w:w="100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6,773,128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5,689,233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1,083,895</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goods sold</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4,422,033</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3,955,188</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69.5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466,845</w:t>
            </w:r>
          </w:p>
        </w:tc>
        <w:tc>
          <w:tcPr>
            <w:tcW w:w="4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11.8</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2,351,095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1,734,045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617,050</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1920" w:type="dxa"/>
            <w:vAlign w:val="bottom"/>
          </w:tcPr>
          <w:p>
            <w:pPr>
              <w:ind w:left="360"/>
              <w:spacing w:after="0" w:line="176" w:lineRule="exact"/>
              <w:rPr>
                <w:sz w:val="20"/>
                <w:szCs w:val="20"/>
                <w:color w:val="auto"/>
              </w:rPr>
            </w:pPr>
            <w:r>
              <w:rPr>
                <w:rFonts w:ascii="Arial" w:cs="Arial" w:eastAsia="Arial" w:hAnsi="Arial"/>
                <w:sz w:val="18"/>
                <w:szCs w:val="18"/>
                <w:color w:val="auto"/>
                <w:w w:val="96"/>
              </w:rPr>
              <w:t>Selling, general and</w:t>
            </w:r>
          </w:p>
        </w:tc>
        <w:tc>
          <w:tcPr>
            <w:tcW w:w="6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1,443,148</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21.3</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1,313,647</w:t>
            </w:r>
          </w:p>
        </w:tc>
        <w:tc>
          <w:tcPr>
            <w:tcW w:w="100" w:type="dxa"/>
            <w:vAlign w:val="bottom"/>
          </w:tcPr>
          <w:p>
            <w:pPr>
              <w:spacing w:after="0"/>
              <w:rPr>
                <w:sz w:val="15"/>
                <w:szCs w:val="15"/>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rPr>
              <w:t>23.1</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129,501</w:t>
            </w:r>
          </w:p>
        </w:tc>
        <w:tc>
          <w:tcPr>
            <w:tcW w:w="480" w:type="dxa"/>
            <w:vAlign w:val="bottom"/>
          </w:tcPr>
          <w:p>
            <w:pPr>
              <w:spacing w:after="0"/>
              <w:rPr>
                <w:sz w:val="15"/>
                <w:szCs w:val="15"/>
                <w:color w:val="auto"/>
              </w:rPr>
            </w:pPr>
          </w:p>
        </w:tc>
        <w:tc>
          <w:tcPr>
            <w:tcW w:w="600" w:type="dxa"/>
            <w:vAlign w:val="bottom"/>
            <w:vMerge w:val="restart"/>
          </w:tcPr>
          <w:p>
            <w:pPr>
              <w:jc w:val="right"/>
              <w:ind w:right="50"/>
              <w:spacing w:after="0"/>
              <w:rPr>
                <w:sz w:val="20"/>
                <w:szCs w:val="20"/>
                <w:color w:val="auto"/>
              </w:rPr>
            </w:pPr>
            <w:r>
              <w:rPr>
                <w:rFonts w:ascii="Arial" w:cs="Arial" w:eastAsia="Arial" w:hAnsi="Arial"/>
                <w:sz w:val="18"/>
                <w:szCs w:val="18"/>
                <w:color w:val="auto"/>
              </w:rPr>
              <w:t>9.9</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administrative expenses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5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vMerge w:val="continue"/>
          </w:tcPr>
          <w:p>
            <w:pPr>
              <w:spacing w:after="0"/>
              <w:rPr>
                <w:sz w:val="19"/>
                <w:szCs w:val="19"/>
                <w:color w:val="auto"/>
              </w:rPr>
            </w:pPr>
          </w:p>
        </w:tc>
        <w:tc>
          <w:tcPr>
            <w:tcW w:w="40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Operating income</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907,947</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420,398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487,549</w:t>
            </w: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7"/>
              </w:rPr>
              <w:t>116.0</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1920" w:type="dxa"/>
            <w:vAlign w:val="bottom"/>
          </w:tcPr>
          <w:p>
            <w:pPr>
              <w:ind w:left="360"/>
              <w:spacing w:after="0" w:line="176" w:lineRule="exact"/>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48,989</w:t>
            </w:r>
          </w:p>
        </w:tc>
        <w:tc>
          <w:tcPr>
            <w:tcW w:w="1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0.7</w:t>
            </w:r>
          </w:p>
        </w:tc>
        <w:tc>
          <w:tcPr>
            <w:tcW w:w="5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86,514</w:t>
            </w:r>
          </w:p>
        </w:tc>
        <w:tc>
          <w:tcPr>
            <w:tcW w:w="100" w:type="dxa"/>
            <w:vAlign w:val="bottom"/>
          </w:tcPr>
          <w:p>
            <w:pPr>
              <w:spacing w:after="0"/>
              <w:rPr>
                <w:sz w:val="15"/>
                <w:szCs w:val="15"/>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8"/>
                <w:szCs w:val="18"/>
                <w:color w:val="auto"/>
              </w:rPr>
              <w:t>1.5</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(37,525)</w:t>
            </w:r>
          </w:p>
        </w:tc>
        <w:tc>
          <w:tcPr>
            <w:tcW w:w="480" w:type="dxa"/>
            <w:vAlign w:val="bottom"/>
          </w:tcPr>
          <w:p>
            <w:pPr>
              <w:spacing w:after="0"/>
              <w:rPr>
                <w:sz w:val="15"/>
                <w:szCs w:val="15"/>
                <w:color w:val="auto"/>
              </w:rPr>
            </w:pPr>
          </w:p>
        </w:tc>
        <w:tc>
          <w:tcPr>
            <w:tcW w:w="600" w:type="dxa"/>
            <w:vAlign w:val="bottom"/>
            <w:vMerge w:val="restart"/>
          </w:tcPr>
          <w:p>
            <w:pPr>
              <w:jc w:val="right"/>
              <w:ind w:right="10"/>
              <w:spacing w:after="0"/>
              <w:rPr>
                <w:sz w:val="20"/>
                <w:szCs w:val="20"/>
                <w:color w:val="auto"/>
              </w:rPr>
            </w:pPr>
            <w:r>
              <w:rPr>
                <w:rFonts w:ascii="Arial" w:cs="Arial" w:eastAsia="Arial" w:hAnsi="Arial"/>
                <w:sz w:val="18"/>
                <w:szCs w:val="18"/>
                <w:color w:val="auto"/>
              </w:rPr>
              <w:t>(43.4)</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8"/>
                <w:szCs w:val="18"/>
                <w:color w:val="auto"/>
              </w:rPr>
              <w:t>net</w:t>
            </w:r>
          </w:p>
        </w:tc>
        <w:tc>
          <w:tcPr>
            <w:tcW w:w="6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8"/>
              </w:rPr>
              <w:t>(Gain) loss on early</w:t>
            </w: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5,821</w:t>
            </w:r>
          </w:p>
        </w:tc>
        <w:tc>
          <w:tcPr>
            <w:tcW w:w="4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retirement of debt, net</w:t>
            </w:r>
          </w:p>
        </w:tc>
        <w:tc>
          <w:tcPr>
            <w:tcW w:w="6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9"/>
              </w:rPr>
              <w:t>Other (income), net</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(2,821)</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4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rPr>
              <w:t>70.6</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6"/>
        </w:trPr>
        <w:tc>
          <w:tcPr>
            <w:tcW w:w="1920" w:type="dxa"/>
            <w:vAlign w:val="bottom"/>
            <w:shd w:val="clear" w:color="auto" w:fill="CCEEFF"/>
          </w:tcPr>
          <w:p>
            <w:pPr>
              <w:ind w:left="480"/>
              <w:spacing w:after="0" w:line="156" w:lineRule="exact"/>
              <w:rPr>
                <w:sz w:val="20"/>
                <w:szCs w:val="20"/>
                <w:color w:val="auto"/>
              </w:rPr>
            </w:pPr>
            <w:r>
              <w:rPr>
                <w:rFonts w:ascii="Arial" w:cs="Arial" w:eastAsia="Arial" w:hAnsi="Arial"/>
                <w:sz w:val="18"/>
                <w:szCs w:val="18"/>
                <w:color w:val="auto"/>
              </w:rPr>
              <w:t>Income before</w:t>
            </w:r>
          </w:p>
        </w:tc>
        <w:tc>
          <w:tcPr>
            <w:tcW w:w="6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859,540</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339,120</w:t>
            </w:r>
          </w:p>
        </w:tc>
        <w:tc>
          <w:tcPr>
            <w:tcW w:w="1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520,420</w:t>
            </w:r>
          </w:p>
        </w:tc>
        <w:tc>
          <w:tcPr>
            <w:tcW w:w="48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7"/>
              </w:rPr>
              <w:t>153.5</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w:t>
            </w:r>
          </w:p>
        </w:tc>
        <w:tc>
          <w:tcPr>
            <w:tcW w:w="6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w w:val="95"/>
              </w:rPr>
              <w:t>Income tax expense</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188,159</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30,356</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157,803</w:t>
            </w:r>
          </w:p>
        </w:tc>
        <w:tc>
          <w:tcPr>
            <w:tcW w:w="48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jc w:val="right"/>
              <w:ind w:right="50"/>
              <w:spacing w:after="0"/>
              <w:rPr>
                <w:sz w:val="20"/>
                <w:szCs w:val="20"/>
                <w:color w:val="auto"/>
              </w:rPr>
            </w:pPr>
            <w:r>
              <w:rPr>
                <w:rFonts w:ascii="Arial" w:cs="Arial" w:eastAsia="Arial" w:hAnsi="Arial"/>
                <w:sz w:val="18"/>
                <w:szCs w:val="18"/>
                <w:color w:val="auto"/>
                <w:w w:val="97"/>
              </w:rPr>
              <w:t>519.8</w:t>
            </w: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19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w:t>
            </w: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671,381</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308,764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362,617</w:t>
            </w:r>
          </w:p>
        </w:tc>
        <w:tc>
          <w:tcPr>
            <w:tcW w:w="4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7"/>
              </w:rPr>
              <w:t>117.4</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right="6800" w:firstLine="8"/>
        <w:spacing w:after="0" w:line="277" w:lineRule="auto"/>
        <w:tabs>
          <w:tab w:leader="none" w:pos="1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Percentages in table may not sum properly due to rounding. **NM - Not meaningful</w:t>
      </w:r>
    </w:p>
    <w:p>
      <w:pPr>
        <w:spacing w:after="0" w:line="193"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i w:val="1"/>
          <w:iCs w:val="1"/>
          <w:color w:val="auto"/>
        </w:rPr>
        <w:t>Net Sales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 increased $1,083.9 million, or 19.1%, in 2021 over the prior year as a result of increased comparable sales of 18.9% and strong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sales performances across all of our merchandise divisions. The increase in sales, which included no new stores, was driven by an increase in both transactions and average ticket.</w:t>
      </w:r>
    </w:p>
    <w:p>
      <w:pPr>
        <w:spacing w:after="0" w:line="12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18.9% increase in comparable sales was a result of increased sales across all merchandise divisions and almost every product category, which was led by strong performances in the apparel and footwear merchandise divisions. The apparel merchandise division experienced strong sales across all product categories, with the highest sales increases in outdoor and seasonal apparel and athletic apparel. The footwear merchandise division also increased due to higher sales across every category, especially in athletic footwear and casual and seasonal footwear. The sports and recreation merchandise division comparable sales increase was led by increased sales in team sports such as baseball, football, basketball and other sports and recreation activities, which were all adversely impacted by the pandemic during 2020. The outdoor merchandise division increase was attributable to an increase in the shooting sports category, driven by increased ammunition sales and an increase in the camping category, partially offset by a decrease in the fishing category, which had a significant increase in the prior year due to the heightened popularity of isolated recreation.</w:t>
      </w:r>
    </w:p>
    <w:p>
      <w:pPr>
        <w:spacing w:after="0" w:line="20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E-commerce sales increased $36.7 million, or 6.2%, in 2021 when compared to the prior year and represented 9.3% and 10.4% of merchandise sales for 2021 and 2020, respectively. We believe the decline in e-commerce penetration was generated by a change in customer shopping preferences, especially evident in the first quarter of 2021 as compared to the first quarter of 2020, from e-commerce to in-store sales caused by the easing of the COVID-19 restrictions, as well as a greater comfort level amongst our customers for visiting our stores in person.</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for 2021 increased $617.1 million, or 35.6%, when compared to 2020. Our gross margin, as a percentage of net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34.7% in 2021 compared to 30.5% in 2020, an increase of 420 basis points. This increase is primarily due to:</w:t>
      </w:r>
    </w:p>
    <w:p>
      <w:pPr>
        <w:spacing w:after="0" w:line="197" w:lineRule="exact"/>
        <w:rPr>
          <w:sz w:val="20"/>
          <w:szCs w:val="20"/>
          <w:color w:val="auto"/>
        </w:rPr>
      </w:pPr>
    </w:p>
    <w:p>
      <w:pPr>
        <w:ind w:left="660" w:hanging="328"/>
        <w:spacing w:after="0" w:line="258"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357 basis points of favorability in merchandise margins due to a shift in higher margin goods driving the increased sales, higher average unit retails, and less promotional activity from the prior year;</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92 basis points of favorability in inventory overhead expenditures as a result of lower expense absorption rates from higher inventory flow through on increased sales; partially offset by</w:t>
      </w: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89 basis points of unfavorability in import freight as a result of increased costs of ocean freight.</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50" w:name="page51"/>
    <w:bookmarkEnd w:id="50"/>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SG&amp;A expenses increased $129.5 million, or 9.9%, to $1,443.1 million in 2021 from $1,313.6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2020. As a percentage of net sales, SG&amp;A expenses were down 1.8% to 21.3% in 2021 compared to 23.1% in 2020. The decrease of 180 basis points in SG&amp;A is primarily attributable to:</w:t>
      </w:r>
    </w:p>
    <w:p>
      <w:pPr>
        <w:spacing w:after="0" w:line="13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100 basis point decrease in property and facility fees as a result of leveraging costs on increased sales;</w:t>
      </w:r>
    </w:p>
    <w:p>
      <w:pPr>
        <w:spacing w:after="0" w:line="23"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70 basis point decrease in employee costs from leveraging costs on increased sales, partially offset by increased wages in our stores and distribution centers and increased payroll tax expense resulting from the 2021 Vesting Event (see Note 1 to the accompanying consolidated financial statements); and</w:t>
      </w:r>
    </w:p>
    <w:p>
      <w:pPr>
        <w:spacing w:after="0" w:line="1"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21 basis point decrease related to a 2020 third quarter expense for the termination of our Monitoring Agreement (see Note 13 to the accompanying consolidated financial statements), which occurred upon the completion of our IPO.</w:t>
      </w:r>
    </w:p>
    <w:p>
      <w:pPr>
        <w:spacing w:after="0" w:line="17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b w:val="1"/>
          <w:bCs w:val="1"/>
          <w:i w:val="1"/>
          <w:iCs w:val="1"/>
          <w:color w:val="auto"/>
        </w:rPr>
        <w:t xml:space="preserve">(Gain) loss on early retirement of debt, net. </w:t>
      </w:r>
      <w:r>
        <w:rPr>
          <w:rFonts w:ascii="Arial" w:cs="Arial" w:eastAsia="Arial" w:hAnsi="Arial"/>
          <w:sz w:val="17"/>
          <w:szCs w:val="17"/>
          <w:color w:val="auto"/>
        </w:rPr>
        <w:t>(Gain) loss on early retirement of debt, net decreased $5.8 million to a loss of $2.2 million from a gain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$3.6 million in 2020. During the 2021 second quarter, we refinanced our Term Loan, which resulted in a loss on early retirement of debt of $2.2 million. During the second quarter of 2020, we repurchased $23.9 million in principal on the Term Loan, which was trading at a discount, in open market transactions for $16.0 million and recognized a net gain of $7.8 million. Additionally, during the fourth quarter of 2020, the Refinancing Transactions (see Note 4 to the accompanying consolidated financial statements) resulted in a loss on early retirement of debt of $4.2 million.</w:t>
      </w:r>
    </w:p>
    <w:p>
      <w:pPr>
        <w:spacing w:after="0" w:line="20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$37.5 million, or 43.4%, to $49.0 million in 2021 from $86.5 million in 2020 resulting primarily from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lower outstanding balance on our long-term debt as a result of the Refinancing Transactions and principal repurchases during the current year.</w:t>
      </w:r>
    </w:p>
    <w:p>
      <w:pPr>
        <w:spacing w:after="0" w:line="15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Other (Income), net. </w:t>
      </w:r>
      <w:r>
        <w:rPr>
          <w:rFonts w:ascii="Arial" w:cs="Arial" w:eastAsia="Arial" w:hAnsi="Arial"/>
          <w:sz w:val="18"/>
          <w:szCs w:val="18"/>
          <w:color w:val="auto"/>
        </w:rPr>
        <w:t>Other income increased $1.2 million in 2021 when compared with 2020 caused by a portion of the underlying cash flows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$100.0 million of swap notional principal amount which were no longer probable of occurring due to the Refinancing Transactions and resulted in the immediate recognition of $1.3 million of expense in 2020.</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increased $157.8 million to $188.2 million in 2021 as compared to $30.4 million in 2020. As a result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Reorganization Transactions, which occurred on October 1, 2020, ASO, Inc. became subject to U.S. federal income taxes and is being taxed at the prevailing corporate rates.</w:t>
      </w: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Adjusted EBITDA, Adjusted EBIT, Adjusted Net Income, Pro Forma Adjusted Net Income, Pro Forma Adjusted Earnings per Share and Adjusted Free Cash Flow, as shown below, have been presented in this Annual Report as supplemental measures of financial performance that are not required by, or presented in accordance with, accounting principles generally accepted in the United States of America ("GAAP"). We define Adjusted EBITDA as net income (loss) before interest expense, net, income tax expense and depreciation, amortization and impairment,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define Adjusted EBIT as net income (loss) before interest expense, net, and income tax expense, further adjusted to exclude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We describe these adjustments reconciling net income (loss) to Adjusted EBITDA and to Adjusted EBIT in the applicable table below. We define Adjusted Net Income as net income (loss), plus consulting fees, private equity sponsor monitoring fees, equity compensation expense, (gain) loss on early retirement of debt, net, severance and executive transition costs, costs related to the COVID-19 pandemic, payroll taxes associated with the 2021 Vesting Event and other adjustments, less the tax effect of these adjustments. We define Pro Forma Adjusted Net Income as Adjusted Net Income less the retrospective tax effect of Adjusted Net Income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by reconciling net income (loss) to Adjusted Net Income, Pro Forma Adjusted Net Income and Pro Forma Adjusted Earnings per Share in the applicable table below. We describe Adjusted Free Cash Flow as net cash provided by (used in) operating activities less net cash used in investing activities. We describe this adjustment by reconciling net cash provided by operating activities to Adjusted Free Cash Flow in the applicable table below.</w:t>
      </w:r>
    </w:p>
    <w:p>
      <w:pPr>
        <w:spacing w:after="0" w:line="13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believe Adjusted EBITDA, Adjusted EBIT, Adjusted Net Income, Pro Forma Adjusted Net Income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EBIT, Adjusted Net Income, Pro Forma Adjusted Net Income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EBIT, Adjusted Net Income, Pro Forma Adjusted Net Income,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Management also uses Adjusted EBIT as a performance target to establish and award discretionary annual incentive compensation.</w:t>
      </w:r>
    </w:p>
    <w:p>
      <w:pPr>
        <w:spacing w:after="0" w:line="11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Management supplements GAAP results with non-GAAP financial measures to provide a more complete understanding of the factors and trends affecting the business than GAAP results alone. Adjusted EBITDA, Adjusted EBIT, Adjusted Net Income, Pro Forma Adjusted Net Income,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EBIT, Adjusted Net Income, Pro Forma Adjusted Net Income and Pro Forma Adjusted Earnings per Share should not be construed to imply that our future results will be unaffected by unusual or non-recurring items. In evaluating Adjusted EBITDA, Adjusted EBIT, Adjusted Net Income, Pro Forma Adjusted Net Income, Pro Forma Adjusted Earnings per Share and Adjusted Free Cash Flow, you should be aware that in the future we may incur expenses that are the same as or similar to some of the adjustments in this presentation. Our presentation of Adjusted EBITDA, Adjusted EBIT, Adjusted Net Income, Pro Forma Adjusted Net Income, Pro Forma Adjusted Earnings per Share and Adjusted Free Cash Flow should not be construed to imply that our future results will be unaffected by any such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52" w:name="page53"/>
    <w:bookmarkEnd w:id="52"/>
    <w:p>
      <w:pPr>
        <w:jc w:val="both"/>
        <w:ind w:firstLine="324"/>
        <w:spacing w:after="0" w:line="263" w:lineRule="auto"/>
        <w:rPr>
          <w:sz w:val="20"/>
          <w:szCs w:val="20"/>
          <w:color w:val="auto"/>
        </w:rPr>
      </w:pPr>
      <w:r>
        <w:rPr>
          <w:rFonts w:ascii="Arial" w:cs="Arial" w:eastAsia="Arial" w:hAnsi="Arial"/>
          <w:sz w:val="18"/>
          <w:szCs w:val="18"/>
          <w:color w:val="auto"/>
        </w:rPr>
        <w:t>Our Adjusted EBITDA, Adjusted EBIT, Adjusted Net Income, Pro Forma Adjusted Net Income,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130" w:lineRule="exact"/>
        <w:rPr>
          <w:sz w:val="20"/>
          <w:szCs w:val="20"/>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costs or cash outlays for capital expenditures or contractual commitments;</w:t>
      </w:r>
    </w:p>
    <w:p>
      <w:pPr>
        <w:spacing w:after="0" w:line="8"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Adjusted EBIT, Adjusted Net Income, Pro Forma Adjusted Net Income and Pro Forma Adjusted Earnings per Share do not reflect changes in, or cash requirements for, our working capital needs;</w:t>
      </w:r>
    </w:p>
    <w:p>
      <w:pPr>
        <w:spacing w:after="0" w:line="8" w:lineRule="exact"/>
        <w:rPr>
          <w:rFonts w:ascii="Arial" w:cs="Arial" w:eastAsia="Arial" w:hAnsi="Arial"/>
          <w:sz w:val="18"/>
          <w:szCs w:val="18"/>
          <w:color w:val="auto"/>
        </w:rPr>
      </w:pPr>
    </w:p>
    <w:p>
      <w:pPr>
        <w:ind w:left="660" w:hanging="328"/>
        <w:spacing w:after="0" w:line="316"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EBITDA and Adjusted EBIT do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1"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Adjusted EBITDA and Adjusted EBIT do not reflect period to period changes in taxes, income tax expense or the cash necessary to pay income taxes;</w:t>
      </w:r>
    </w:p>
    <w:p>
      <w:pPr>
        <w:spacing w:after="0" w:line="8" w:lineRule="exact"/>
        <w:rPr>
          <w:rFonts w:ascii="Arial" w:cs="Arial" w:eastAsia="Arial" w:hAnsi="Arial"/>
          <w:sz w:val="18"/>
          <w:szCs w:val="18"/>
          <w:color w:val="auto"/>
        </w:rPr>
      </w:pPr>
    </w:p>
    <w:p>
      <w:pPr>
        <w:ind w:left="660" w:hanging="328"/>
        <w:spacing w:after="0" w:line="29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Adjusted EBITDA, Adjusted EBIT, Adjusted Net Income, Pro Forma Adjusted Net Income and Pro Forma Adjusted Earnings per Share do not reflect the impact of earnings or charges resulting from matters we consider not to be indicative of our ongoing operations;</w:t>
      </w:r>
    </w:p>
    <w:p>
      <w:pPr>
        <w:ind w:left="660" w:hanging="328"/>
        <w:spacing w:after="0" w:line="298" w:lineRule="auto"/>
        <w:tabs>
          <w:tab w:leader="none" w:pos="655"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other companies in our industry may calculate these measures differently than we do, limiting their usefulness as comparative measures.</w:t>
      </w:r>
    </w:p>
    <w:p>
      <w:pPr>
        <w:spacing w:after="0" w:line="1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Because of these limitations, Adjusted EBITDA, Adjusted EBIT, Adjusted Net Income, Pro Forma Adjusted Net Income, Pro Forma Adjusted Earnings per Share and Adjusted Free Cash Flow should not be considered as measures of discretionary cash available to invest in business growth or to reduce indebtedness. Management compensates for these limitations by primarily relying on our GAAP results in addition to using Adjusted EBITDA, Adjusted EBIT, Adjusted Net Income, Pro Forma Adjusted Net Income, Pro Forma Adjusted Earnings per Share and Adjusted Free Cash Flow supplementally.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Adjusted EBITDA and Adjusted EBIT</w:t>
      </w:r>
    </w:p>
    <w:p>
      <w:pPr>
        <w:spacing w:after="0" w:line="171" w:lineRule="exact"/>
        <w:rPr>
          <w:sz w:val="20"/>
          <w:szCs w:val="20"/>
          <w:color w:val="auto"/>
        </w:rPr>
      </w:pPr>
    </w:p>
    <w:p>
      <w:pPr>
        <w:ind w:right="300" w:firstLine="324"/>
        <w:spacing w:after="0" w:line="271" w:lineRule="auto"/>
        <w:rPr>
          <w:sz w:val="20"/>
          <w:szCs w:val="20"/>
          <w:color w:val="auto"/>
        </w:rPr>
      </w:pPr>
      <w:r>
        <w:rPr>
          <w:rFonts w:ascii="Arial" w:cs="Arial" w:eastAsia="Arial" w:hAnsi="Arial"/>
          <w:sz w:val="18"/>
          <w:szCs w:val="18"/>
          <w:color w:val="auto"/>
        </w:rPr>
        <w:t>The following table provides reconciliations of net income (loss) to Adjusted EBITDA and to Adjusted EBIT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b w:val="1"/>
                <w:bCs w:val="1"/>
                <w:color w:val="auto"/>
                <w:w w:val="90"/>
              </w:rPr>
              <w:t>Fiscal Year Ended</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r>
      <w:tr>
        <w:trPr>
          <w:trHeight w:val="223"/>
        </w:trPr>
        <w:tc>
          <w:tcPr>
            <w:tcW w:w="5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29, 2022</w:t>
            </w:r>
          </w:p>
        </w:tc>
        <w:tc>
          <w:tcPr>
            <w:tcW w:w="44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January 30, 2021</w:t>
            </w:r>
          </w:p>
        </w:tc>
        <w:tc>
          <w:tcPr>
            <w:tcW w:w="460" w:type="dxa"/>
            <w:vAlign w:val="bottom"/>
          </w:tcPr>
          <w:p>
            <w:pPr>
              <w:spacing w:after="0"/>
              <w:rPr>
                <w:sz w:val="19"/>
                <w:szCs w:val="19"/>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February 1, 2020</w:t>
            </w:r>
          </w:p>
        </w:tc>
      </w:tr>
      <w:tr>
        <w:trPr>
          <w:trHeight w:val="223"/>
        </w:trPr>
        <w:tc>
          <w:tcPr>
            <w:tcW w:w="52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671,381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308,764</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120,043</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48,989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86,514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101,307</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188,159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105,274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105,481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117,254</w:t>
            </w:r>
          </w:p>
        </w:tc>
      </w:tr>
      <w:tr>
        <w:trPr>
          <w:trHeight w:val="230"/>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Consulting fees (a)</w:t>
            </w: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r>
      <w:tr>
        <w:trPr>
          <w:trHeight w:val="229"/>
        </w:trPr>
        <w:tc>
          <w:tcPr>
            <w:tcW w:w="5220" w:type="dxa"/>
            <w:vAlign w:val="bottom"/>
          </w:tcPr>
          <w:p>
            <w:pPr>
              <w:ind w:left="360"/>
              <w:spacing w:after="0"/>
              <w:rPr>
                <w:sz w:val="20"/>
                <w:szCs w:val="20"/>
                <w:color w:val="auto"/>
              </w:rPr>
            </w:pPr>
            <w:r>
              <w:rPr>
                <w:rFonts w:ascii="Arial" w:cs="Arial" w:eastAsia="Arial" w:hAnsi="Arial"/>
                <w:sz w:val="18"/>
                <w:szCs w:val="18"/>
                <w:color w:val="auto"/>
              </w:rPr>
              <w:t>Private equity sponsor monitoring fee (b)</w:t>
            </w:r>
          </w:p>
        </w:tc>
        <w:tc>
          <w:tcPr>
            <w:tcW w:w="4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14,793</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3,636</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compensation (c)</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39,264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(Gain) loss on early retirement of debt, net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(3,582)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(42,265)</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Severance and executive transition costs (d)</w:t>
            </w:r>
          </w:p>
        </w:tc>
        <w:tc>
          <w:tcPr>
            <w:tcW w:w="4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Costs related to the COVID-19 pandemic (e)</w:t>
            </w:r>
          </w:p>
        </w:tc>
        <w:tc>
          <w:tcPr>
            <w:tcW w:w="4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17,632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taxes associated with the 2021 Vesting Event (f)</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(g)</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7,111</w:t>
            </w:r>
          </w:p>
        </w:tc>
      </w:tr>
      <w:tr>
        <w:trPr>
          <w:trHeight w:val="223"/>
        </w:trPr>
        <w:tc>
          <w:tcPr>
            <w:tcW w:w="5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Adjusted EBITDA</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1,073,842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607,023</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322,814</w:t>
            </w:r>
          </w:p>
        </w:tc>
      </w:tr>
      <w:tr>
        <w:trPr>
          <w:trHeight w:val="223"/>
        </w:trPr>
        <w:tc>
          <w:tcPr>
            <w:tcW w:w="52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Depreciation and amortization</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(105,481)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(117,254)</w:t>
            </w:r>
          </w:p>
        </w:tc>
      </w:tr>
      <w:tr>
        <w:trPr>
          <w:trHeight w:val="221"/>
        </w:trPr>
        <w:tc>
          <w:tcPr>
            <w:tcW w:w="5220" w:type="dxa"/>
            <w:vAlign w:val="bottom"/>
            <w:tcBorders>
              <w:bottom w:val="single" w:sz="8" w:color="CCEEFF"/>
            </w:tcBorders>
            <w:shd w:val="clear" w:color="auto" w:fill="CCEEFF"/>
          </w:tcPr>
          <w:p>
            <w:pPr>
              <w:ind w:left="560"/>
              <w:spacing w:after="0" w:line="196" w:lineRule="exact"/>
              <w:rPr>
                <w:sz w:val="20"/>
                <w:szCs w:val="20"/>
                <w:color w:val="auto"/>
              </w:rPr>
            </w:pPr>
            <w:r>
              <w:rPr>
                <w:rFonts w:ascii="Arial" w:cs="Arial" w:eastAsia="Arial" w:hAnsi="Arial"/>
                <w:sz w:val="18"/>
                <w:szCs w:val="18"/>
                <w:color w:val="auto"/>
              </w:rPr>
              <w:t>Adjusted EBIT</w:t>
            </w: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968,568</w:t>
            </w: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501,542</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205,560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940" w:hanging="590"/>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63" w:lineRule="exact"/>
        <w:rPr>
          <w:rFonts w:ascii="Arial" w:cs="Arial" w:eastAsia="Arial" w:hAnsi="Arial"/>
          <w:sz w:val="18"/>
          <w:szCs w:val="18"/>
          <w:color w:val="auto"/>
        </w:rPr>
      </w:pPr>
    </w:p>
    <w:p>
      <w:pPr>
        <w:ind w:left="940" w:hanging="590"/>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our contractual payments under the Monitoring Agreement.</w:t>
      </w:r>
    </w:p>
    <w:p>
      <w:pPr>
        <w:spacing w:after="0" w:line="63" w:lineRule="exact"/>
        <w:rPr>
          <w:rFonts w:ascii="Arial" w:cs="Arial" w:eastAsia="Arial" w:hAnsi="Arial"/>
          <w:sz w:val="18"/>
          <w:szCs w:val="18"/>
          <w:color w:val="auto"/>
        </w:rPr>
      </w:pPr>
    </w:p>
    <w:p>
      <w:pPr>
        <w:jc w:val="both"/>
        <w:ind w:left="600" w:right="20" w:hanging="250"/>
        <w:spacing w:after="0" w:line="263" w:lineRule="auto"/>
        <w:tabs>
          <w:tab w:leader="none" w:pos="9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the 2021 Vesting Event (see Note 1 to the accompanying consolidated financial statements), timing and valuation of awards, achievement of performance targets and equity award forfeitures.</w:t>
      </w:r>
    </w:p>
    <w:p>
      <w:pPr>
        <w:spacing w:after="0" w:line="21" w:lineRule="exact"/>
        <w:rPr>
          <w:rFonts w:ascii="Arial" w:cs="Arial" w:eastAsia="Arial" w:hAnsi="Arial"/>
          <w:sz w:val="18"/>
          <w:szCs w:val="18"/>
          <w:color w:val="auto"/>
        </w:rPr>
      </w:pPr>
    </w:p>
    <w:p>
      <w:pPr>
        <w:ind w:left="940" w:hanging="590"/>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63" w:lineRule="exact"/>
        <w:rPr>
          <w:rFonts w:ascii="Arial" w:cs="Arial" w:eastAsia="Arial" w:hAnsi="Arial"/>
          <w:sz w:val="18"/>
          <w:szCs w:val="18"/>
          <w:color w:val="auto"/>
        </w:rPr>
      </w:pPr>
    </w:p>
    <w:p>
      <w:pPr>
        <w:jc w:val="both"/>
        <w:ind w:left="600" w:right="20" w:hanging="250"/>
        <w:spacing w:after="0" w:line="277" w:lineRule="auto"/>
        <w:tabs>
          <w:tab w:leader="none" w:pos="9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purchases earlier in the year to maintain stock, and legal fees associated with consulting in local jurisdictions. These costs were no longer added back beginning in the third quarter of 2020.</w:t>
      </w:r>
    </w:p>
    <w:p>
      <w:pPr>
        <w:ind w:left="360"/>
        <w:spacing w:after="0" w:line="224" w:lineRule="auto"/>
        <w:rPr>
          <w:sz w:val="20"/>
          <w:szCs w:val="20"/>
          <w:color w:val="auto"/>
        </w:rPr>
      </w:pPr>
      <w:r>
        <w:rPr>
          <w:rFonts w:ascii="Arial" w:cs="Arial" w:eastAsia="Arial" w:hAnsi="Arial"/>
          <w:sz w:val="18"/>
          <w:szCs w:val="18"/>
          <w:color w:val="auto"/>
        </w:rPr>
        <w:t>(f)</w:t>
      </w:r>
    </w:p>
    <w:p>
      <w:pPr>
        <w:ind w:left="940"/>
        <w:spacing w:after="0"/>
        <w:rPr>
          <w:sz w:val="20"/>
          <w:szCs w:val="20"/>
          <w:color w:val="auto"/>
        </w:rPr>
      </w:pPr>
      <w:r>
        <w:rPr>
          <w:rFonts w:ascii="Arial" w:cs="Arial" w:eastAsia="Arial" w:hAnsi="Arial"/>
          <w:sz w:val="18"/>
          <w:szCs w:val="18"/>
          <w:color w:val="auto"/>
        </w:rPr>
        <w:t>Represents cash expenses related to taxes on equity-based compensation resulting from the 2021 Vesting Event.</w:t>
      </w:r>
    </w:p>
    <w:p>
      <w:pPr>
        <w:spacing w:after="0" w:line="47" w:lineRule="exact"/>
        <w:rPr>
          <w:sz w:val="20"/>
          <w:szCs w:val="20"/>
          <w:color w:val="auto"/>
        </w:rPr>
      </w:pPr>
    </w:p>
    <w:p>
      <w:pPr>
        <w:jc w:val="both"/>
        <w:ind w:left="600" w:right="20" w:hanging="250"/>
        <w:spacing w:after="0" w:line="257" w:lineRule="auto"/>
        <w:tabs>
          <w:tab w:leader="none" w:pos="9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and Adjusted EBIT) amounts that management believes are not representative of our operating performance, including investment income, installation costs for energy savings associated with our profitability initiatives, legal fees associated with a distribution to NAHC's (see Note 1 to the accompanying consolidated financial statements) members and our omnibus incentive plan, store exit costs and other costs associated with strategic cost savings and business optimization initiatives.</w:t>
      </w:r>
    </w:p>
    <w:p>
      <w:pPr>
        <w:sectPr>
          <w:pgSz w:w="11900" w:h="16838" w:orient="portrait"/>
          <w:cols w:equalWidth="0" w:num="1">
            <w:col w:w="11240"/>
          </w:cols>
          <w:pgMar w:left="320" w:top="12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Adjusted Net Income, Pro Forma Adjusted Net Income and Pro Forma Adjusted Earnings per Share</w:t>
      </w:r>
    </w:p>
    <w:p>
      <w:pPr>
        <w:spacing w:after="0" w:line="171" w:lineRule="exact"/>
        <w:rPr>
          <w:sz w:val="20"/>
          <w:szCs w:val="20"/>
          <w:color w:val="auto"/>
        </w:rPr>
      </w:pPr>
    </w:p>
    <w:p>
      <w:pPr>
        <w:ind w:right="620" w:firstLine="324"/>
        <w:spacing w:after="0" w:line="271" w:lineRule="auto"/>
        <w:rPr>
          <w:sz w:val="20"/>
          <w:szCs w:val="20"/>
          <w:color w:val="auto"/>
        </w:rPr>
      </w:pPr>
      <w:r>
        <w:rPr>
          <w:rFonts w:ascii="Arial" w:cs="Arial" w:eastAsia="Arial" w:hAnsi="Arial"/>
          <w:sz w:val="18"/>
          <w:szCs w:val="18"/>
          <w:color w:val="auto"/>
        </w:rPr>
        <w:t>The following table provides a reconciliation of net income to Adjusted Net Income, Pro Forma Adjusted Net Income and Pro Forma Adjusted Earnings per Share for the periods presented (amounts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Fiscal Year Ended</w:t>
            </w: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3"/>
        </w:trPr>
        <w:tc>
          <w:tcPr>
            <w:tcW w:w="5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29, 2022</w:t>
            </w:r>
          </w:p>
        </w:tc>
        <w:tc>
          <w:tcPr>
            <w:tcW w:w="440" w:type="dxa"/>
            <w:vAlign w:val="bottom"/>
          </w:tcPr>
          <w:p>
            <w:pPr>
              <w:spacing w:after="0"/>
              <w:rPr>
                <w:sz w:val="19"/>
                <w:szCs w:val="19"/>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January 30, 2021</w:t>
            </w:r>
          </w:p>
        </w:tc>
        <w:tc>
          <w:tcPr>
            <w:tcW w:w="46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February 1, 2020</w:t>
            </w:r>
          </w:p>
        </w:tc>
      </w:tr>
      <w:tr>
        <w:trPr>
          <w:trHeight w:val="223"/>
        </w:trPr>
        <w:tc>
          <w:tcPr>
            <w:tcW w:w="5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671,381</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308,764</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120,043</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Consulting fees (a)</w:t>
            </w:r>
          </w:p>
        </w:tc>
        <w:tc>
          <w:tcPr>
            <w:tcW w:w="46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3,601</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equity sponsor monitoring fee (b)</w:t>
            </w:r>
          </w:p>
        </w:tc>
        <w:tc>
          <w:tcPr>
            <w:tcW w:w="4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Equity compensation (c)</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39,264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31,617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7,881</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loss on early retirement of debt, net</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(42,265)</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Severance and executive transition costs (d)</w:t>
            </w:r>
          </w:p>
        </w:tc>
        <w:tc>
          <w:tcPr>
            <w:tcW w:w="46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6,571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1,429</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related to the COVID-19 pandemic (e)</w:t>
            </w:r>
          </w:p>
        </w:tc>
        <w:tc>
          <w:tcPr>
            <w:tcW w:w="4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Payroll taxes associated with the 2021 Vesting Event (f)</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15,418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(g)</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r>
      <w:tr>
        <w:trPr>
          <w:trHeight w:val="229"/>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Tax effects of these adjustments (h)</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(14,884)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Adjusted Net Income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716,536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384,536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101,469</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Estimated tax effect of change to C-Corporation status (i)</w:t>
            </w:r>
          </w:p>
        </w:tc>
        <w:tc>
          <w:tcPr>
            <w:tcW w:w="46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(72,844)</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(25,542)</w:t>
            </w:r>
          </w:p>
        </w:tc>
      </w:tr>
      <w:tr>
        <w:trPr>
          <w:trHeight w:val="248"/>
        </w:trPr>
        <w:tc>
          <w:tcPr>
            <w:tcW w:w="520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Pro Forma Adjusted Net Income</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716,536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311,692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Forma Adjusted Earnings per Share</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5200" w:type="dxa"/>
            <w:vAlign w:val="bottom"/>
          </w:tcPr>
          <w:p>
            <w:pPr>
              <w:ind w:left="560"/>
              <w:spacing w:after="0"/>
              <w:rPr>
                <w:sz w:val="20"/>
                <w:szCs w:val="20"/>
                <w:color w:val="auto"/>
              </w:rPr>
            </w:pPr>
            <w:r>
              <w:rPr>
                <w:rFonts w:ascii="Arial" w:cs="Arial" w:eastAsia="Arial" w:hAnsi="Arial"/>
                <w:sz w:val="18"/>
                <w:szCs w:val="18"/>
                <w:color w:val="auto"/>
              </w:rPr>
              <w:t>Basic</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7.88</w:t>
            </w: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Weighted average common shares outstanding</w:t>
            </w: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52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90,956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72,477</w:t>
            </w:r>
          </w:p>
        </w:tc>
      </w:tr>
      <w:tr>
        <w:trPr>
          <w:trHeight w:val="234"/>
        </w:trPr>
        <w:tc>
          <w:tcPr>
            <w:tcW w:w="5200" w:type="dxa"/>
            <w:vAlign w:val="bottom"/>
          </w:tcPr>
          <w:p>
            <w:pPr>
              <w:ind w:left="56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94,284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81,431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74,795</w:t>
            </w:r>
          </w:p>
        </w:tc>
      </w:tr>
    </w:tbl>
    <w:p>
      <w:pPr>
        <w:spacing w:after="0" w:line="234" w:lineRule="exact"/>
        <w:rPr>
          <w:sz w:val="20"/>
          <w:szCs w:val="20"/>
          <w:color w:val="auto"/>
        </w:rPr>
      </w:pPr>
    </w:p>
    <w:p>
      <w:pPr>
        <w:ind w:left="900" w:hanging="550"/>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outside consulting fees associated with our strategic cost savings and business optimization initiatives.</w:t>
      </w:r>
    </w:p>
    <w:p>
      <w:pPr>
        <w:spacing w:after="0" w:line="34" w:lineRule="exact"/>
        <w:rPr>
          <w:rFonts w:ascii="Arial" w:cs="Arial" w:eastAsia="Arial" w:hAnsi="Arial"/>
          <w:sz w:val="17"/>
          <w:szCs w:val="17"/>
          <w:color w:val="auto"/>
        </w:rPr>
      </w:pPr>
    </w:p>
    <w:p>
      <w:pPr>
        <w:ind w:left="900" w:hanging="550"/>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our contractual payments under the Monitoring Agreement.</w:t>
      </w:r>
    </w:p>
    <w:p>
      <w:pPr>
        <w:spacing w:after="0" w:line="61" w:lineRule="exact"/>
        <w:rPr>
          <w:rFonts w:ascii="Arial" w:cs="Arial" w:eastAsia="Arial" w:hAnsi="Arial"/>
          <w:sz w:val="17"/>
          <w:szCs w:val="17"/>
          <w:color w:val="auto"/>
        </w:rPr>
      </w:pPr>
    </w:p>
    <w:p>
      <w:pPr>
        <w:ind w:left="580" w:right="20" w:hanging="230"/>
        <w:spacing w:after="0" w:line="273" w:lineRule="auto"/>
        <w:tabs>
          <w:tab w:leader="none" w:pos="904"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non-cash charges related to equity based compensation, which vary from period to period depending on certain factors such as the 2021 Vesting Event, timing and valuation of awards, achievement of performance targets and equity award forfeitures.</w:t>
      </w:r>
    </w:p>
    <w:p>
      <w:pPr>
        <w:ind w:left="900" w:hanging="550"/>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severance costs associated with executive leadership changes and enterprise-wide organizational changes.</w:t>
      </w:r>
    </w:p>
    <w:p>
      <w:pPr>
        <w:spacing w:after="0" w:line="34" w:lineRule="exact"/>
        <w:rPr>
          <w:rFonts w:ascii="Arial" w:cs="Arial" w:eastAsia="Arial" w:hAnsi="Arial"/>
          <w:sz w:val="17"/>
          <w:szCs w:val="17"/>
          <w:color w:val="auto"/>
        </w:rPr>
      </w:pPr>
    </w:p>
    <w:p>
      <w:pPr>
        <w:jc w:val="both"/>
        <w:ind w:left="580" w:right="20" w:hanging="230"/>
        <w:spacing w:after="0" w:line="257" w:lineRule="auto"/>
        <w:tabs>
          <w:tab w:leader="none" w:pos="904"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costs incurred during the first half of 2020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purchases earlier in the year to maintain stock, and legal fees associated with consulting in local jurisdictions. These costs were no longer added back beginning in the third quarter of 2020.</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(f)</w:t>
      </w:r>
    </w:p>
    <w:p>
      <w:pPr>
        <w:ind w:left="900"/>
        <w:spacing w:after="0"/>
        <w:rPr>
          <w:sz w:val="20"/>
          <w:szCs w:val="20"/>
          <w:color w:val="auto"/>
        </w:rPr>
      </w:pPr>
      <w:r>
        <w:rPr>
          <w:rFonts w:ascii="Arial" w:cs="Arial" w:eastAsia="Arial" w:hAnsi="Arial"/>
          <w:sz w:val="17"/>
          <w:szCs w:val="17"/>
          <w:color w:val="auto"/>
        </w:rPr>
        <w:t>Represents cash expenses related to taxes on equity-based compensation resulting from the 2021 Vesting Event.</w:t>
      </w:r>
    </w:p>
    <w:p>
      <w:pPr>
        <w:spacing w:after="0" w:line="47" w:lineRule="exact"/>
        <w:rPr>
          <w:sz w:val="20"/>
          <w:szCs w:val="20"/>
          <w:color w:val="auto"/>
        </w:rPr>
      </w:pPr>
    </w:p>
    <w:p>
      <w:pPr>
        <w:jc w:val="both"/>
        <w:ind w:left="580" w:right="20" w:hanging="230"/>
        <w:spacing w:after="0" w:line="257" w:lineRule="auto"/>
        <w:tabs>
          <w:tab w:leader="none" w:pos="9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Other adjustments include (representing deductions or additions to Adjusted Net Income) amounts that management believes are not representative of our operating performance, including investment income, installation costs for energy savings associated with our profitability initiatives, legal fees associated with a distribution to NAHC's members and our omnibus incentive plan, store exit costs and other costs associated with strategic cost savings and business optimization initiatives.</w:t>
      </w:r>
    </w:p>
    <w:p>
      <w:pPr>
        <w:spacing w:after="0" w:line="26" w:lineRule="exact"/>
        <w:rPr>
          <w:rFonts w:ascii="Arial" w:cs="Arial" w:eastAsia="Arial" w:hAnsi="Arial"/>
          <w:sz w:val="17"/>
          <w:szCs w:val="17"/>
          <w:color w:val="auto"/>
        </w:rPr>
      </w:pPr>
    </w:p>
    <w:p>
      <w:pPr>
        <w:ind w:left="900" w:hanging="550"/>
        <w:spacing w:after="0"/>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the tax effect of the total adjustments made to arrive at Adjusted Net Income at our historical tax rate.</w:t>
      </w:r>
    </w:p>
    <w:p>
      <w:pPr>
        <w:spacing w:after="0" w:line="61" w:lineRule="exact"/>
        <w:rPr>
          <w:rFonts w:ascii="Arial" w:cs="Arial" w:eastAsia="Arial" w:hAnsi="Arial"/>
          <w:sz w:val="17"/>
          <w:szCs w:val="17"/>
          <w:color w:val="auto"/>
        </w:rPr>
      </w:pPr>
    </w:p>
    <w:p>
      <w:pPr>
        <w:ind w:left="580" w:right="20" w:hanging="230"/>
        <w:spacing w:after="0" w:line="274" w:lineRule="auto"/>
        <w:tabs>
          <w:tab w:leader="none" w:pos="9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the retrospective tax effect of Adjusted Net Income at our estimated effective tax rate of approximately 25% for periods prior to October 1, 2020, the effective date of our conversion to a C-Corporation, upon which we became subject to federal income taxes.</w:t>
      </w:r>
    </w:p>
    <w:p>
      <w:pPr>
        <w:spacing w:after="0" w:line="200" w:lineRule="exact"/>
        <w:rPr>
          <w:sz w:val="20"/>
          <w:szCs w:val="20"/>
          <w:color w:val="auto"/>
        </w:rPr>
      </w:pPr>
    </w:p>
    <w:p>
      <w:pPr>
        <w:spacing w:after="0" w:line="3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Adjusted Free Cash Flow</w:t>
      </w:r>
    </w:p>
    <w:p>
      <w:pPr>
        <w:spacing w:after="0" w:line="171" w:lineRule="exact"/>
        <w:rPr>
          <w:sz w:val="20"/>
          <w:szCs w:val="20"/>
          <w:color w:val="auto"/>
        </w:rPr>
      </w:pPr>
    </w:p>
    <w:p>
      <w:pPr>
        <w:ind w:right="620" w:firstLine="324"/>
        <w:spacing w:after="0" w:line="271"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 (amounts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0"/>
              </w:rPr>
              <w:t>Fiscal Year Ended</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29, 2022</w:t>
            </w:r>
          </w:p>
        </w:tc>
        <w:tc>
          <w:tcPr>
            <w:tcW w:w="460" w:type="dxa"/>
            <w:vAlign w:val="bottom"/>
          </w:tcPr>
          <w:p>
            <w:pPr>
              <w:spacing w:after="0"/>
              <w:rPr>
                <w:sz w:val="19"/>
                <w:szCs w:val="19"/>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January 30, 2021</w:t>
            </w:r>
          </w:p>
        </w:tc>
        <w:tc>
          <w:tcPr>
            <w:tcW w:w="480" w:type="dxa"/>
            <w:vAlign w:val="bottom"/>
          </w:tcPr>
          <w:p>
            <w:pPr>
              <w:spacing w:after="0"/>
              <w:rPr>
                <w:sz w:val="19"/>
                <w:szCs w:val="19"/>
                <w:color w:val="auto"/>
              </w:rPr>
            </w:pPr>
          </w:p>
        </w:tc>
        <w:tc>
          <w:tcPr>
            <w:tcW w:w="1500" w:type="dxa"/>
            <w:vAlign w:val="bottom"/>
          </w:tcPr>
          <w:p>
            <w:pPr>
              <w:ind w:left="20"/>
              <w:spacing w:after="0"/>
              <w:rPr>
                <w:sz w:val="20"/>
                <w:szCs w:val="20"/>
                <w:color w:val="auto"/>
              </w:rPr>
            </w:pPr>
            <w:r>
              <w:rPr>
                <w:rFonts w:ascii="Arial" w:cs="Arial" w:eastAsia="Arial" w:hAnsi="Arial"/>
                <w:sz w:val="18"/>
                <w:szCs w:val="18"/>
                <w:b w:val="1"/>
                <w:bCs w:val="1"/>
                <w:color w:val="auto"/>
              </w:rPr>
              <w:t>February 1, 2020</w:t>
            </w:r>
          </w:p>
        </w:tc>
      </w:tr>
      <w:tr>
        <w:trPr>
          <w:trHeight w:val="223"/>
        </w:trPr>
        <w:tc>
          <w:tcPr>
            <w:tcW w:w="51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w w:val="95"/>
              </w:rPr>
              <w:t>673,265</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1,011,597</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263,669</w:t>
            </w:r>
          </w:p>
        </w:tc>
      </w:tr>
      <w:tr>
        <w:trPr>
          <w:trHeight w:val="229"/>
        </w:trPr>
        <w:tc>
          <w:tcPr>
            <w:tcW w:w="5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w w:val="92"/>
              </w:rPr>
              <w:t>(76,017)</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w w:val="92"/>
              </w:rPr>
              <w:t>(66,783)</w:t>
            </w:r>
          </w:p>
        </w:tc>
      </w:tr>
      <w:tr>
        <w:trPr>
          <w:trHeight w:val="248"/>
        </w:trPr>
        <w:tc>
          <w:tcPr>
            <w:tcW w:w="5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Adjusted Free Cash Flow</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b w:val="1"/>
                <w:bCs w:val="1"/>
                <w:color w:val="auto"/>
                <w:w w:val="95"/>
              </w:rPr>
              <w:t>597,248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978,453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w w:val="98"/>
              </w:rPr>
              <w:t>196,886</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Historically, our principal sources of cash have included:</w:t>
      </w:r>
    </w:p>
    <w:p>
      <w:pPr>
        <w:spacing w:after="0" w:line="23"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cash generated from operating activities;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issuances of debt securities, including the Notes;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borrowings under our Term Loan and ABL Facility.</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historical uses of cash have been associated primarily with:</w:t>
      </w:r>
    </w:p>
    <w:p>
      <w:pPr>
        <w:spacing w:after="0" w:line="23"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used for operating activities such as the purchase and growth of inventory, labor costs and other working capital needs;</w:t>
      </w:r>
    </w:p>
    <w:p>
      <w:pPr>
        <w:spacing w:after="0" w:line="9"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used for capital improvements and support of expansion plans, as well as various investments in store renovations, store fixtures and on-going infrastructure improvements;</w:t>
      </w: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used to pay our debt obligations and related interest expense;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used to pay partnership distributions to our members;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cash used to pay for the repurchase of common stock;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fluctuations in working capital due to timing differences of cash receipts and cash disbursements.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29, 2022, our cash and cash equivalents totaled $486.0 million.</w:t>
      </w:r>
    </w:p>
    <w:p>
      <w:pPr>
        <w:spacing w:after="0" w:line="15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early 2020, we focused on navigating the challenges presented by COVID-19 through the preservation of our long-term liquidity and management of cash flow through preemptive actions to enhance our ability to meet our short-term liquidity needs. We took various cost cutting measures to maximize operational cash flows (see "Impact of COVID-19 on Our Business" in the section of this Annual Report entitled Management's Discussion &amp; Analysis). Such actions included, but were not limited to, reduction of discretionary spending, deferring or cancelling our planned expenses, revisiting and reprioritizing our strategic investments, and reducing our payroll costs, including temporary team member furloughs, workforce reductions and pay cuts. As 2020 progressed, we transitioned our focus from preservation of long-term liquidity to strengthening our balance sheet through a reduction of debt.</w:t>
      </w:r>
    </w:p>
    <w:p>
      <w:pPr>
        <w:spacing w:after="0" w:line="11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28, 2020, we paid a $257.0 million one-time special distribution to our members of record as of August 25, 2020, $248.0 million of which was paid with cash on hand and the remainder of which was distributed through an offset of outstanding loans receivable from a member as well as state income tax withholdings made on behalf of NAHC's members. Related cash payments of $32.2 million to vested share-based award holders were paid in-full as of July 31, 2021 and no further payments are required relative to this distribution.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6, 2020, we completed our IPO in which we issued and sold 15,625,000 shares of common stock, $0.01 par value, to the IPO underwriters</w:t>
      </w:r>
    </w:p>
    <w:p>
      <w:pPr>
        <w:spacing w:after="0" w:line="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cash consideration of $12.22 per share (representing an initial public offering price of $13.00 per share, net of underwriting discounts) that resulted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such as legal and accounting fees (see "Initial Public Offering and Reorganization Transactions" in Note 1 to the accompanying consolidated financial statements). The shares sold in the offering were registered under the Securities Act of 1933, as amended, pursuant to our registration statement on Form S-1 (File No. 333-248683, which was declared effective by the Securities and Exchange Commission on October 1, 2020).</w:t>
      </w:r>
    </w:p>
    <w:p>
      <w:pPr>
        <w:spacing w:after="0" w:line="200" w:lineRule="exact"/>
        <w:rPr>
          <w:sz w:val="20"/>
          <w:szCs w:val="20"/>
          <w:color w:val="auto"/>
        </w:rPr>
      </w:pP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56" w:name="page57"/>
    <w:bookmarkEnd w:id="56"/>
    <w:p>
      <w:pPr>
        <w:jc w:val="both"/>
        <w:ind w:firstLine="324"/>
        <w:spacing w:after="0" w:line="255" w:lineRule="auto"/>
        <w:rPr>
          <w:sz w:val="20"/>
          <w:szCs w:val="20"/>
          <w:color w:val="auto"/>
        </w:rPr>
      </w:pPr>
      <w:r>
        <w:rPr>
          <w:rFonts w:ascii="Arial" w:cs="Arial" w:eastAsia="Arial" w:hAnsi="Arial"/>
          <w:sz w:val="18"/>
          <w:szCs w:val="18"/>
          <w:color w:val="auto"/>
        </w:rPr>
        <w:t>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(see "IPO Over-Allotment Exercise" in Note 1 to the accompanying consolidated financial statements included in this Annual Report), which included $0.3 million paid to KCM, for underwriting services, pursuant to the partial exercise by the underwriters of their option to purchase up to 2,343,750 additional shares to cover over-allotments in connection with our IPO. The option has expired with respect to the remaining shares.</w:t>
      </w:r>
    </w:p>
    <w:p>
      <w:pPr>
        <w:spacing w:after="0" w:line="13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November 6, 2020, the Company (1) issued $400.0 million of 6.00% senior secured notes (the "Notes"), which are due November 15, 2027, (2) entered into a $400.0 million first lien term loan (the "2020 Term Loan" and, together with the 2015 Term Loan (as defined in the notes to the accompanying consolidated financial statements), the "Term Loan"), which is due November 6, 2027 and (3) extended the maturity of Academy, Ltd.’s asset-based revolving credit facility thereunder to November 6, 2025 (as extended, the "2020 ABL Facility" and, together with the 2015 ABL Facility (as defined in the notes to the accompanying consolidated financial statements), the "ABL Facility"). We used the net proceeds from the Notes and the net proceeds from the 2020 Term Loan, together with cash on hand, to repay in full the 2015 Term Loan, in the amount of $1,431.4 million (see Note 4 to the accompanying consolidated financial statements).</w:t>
      </w:r>
    </w:p>
    <w:p>
      <w:pPr>
        <w:spacing w:after="0" w:line="14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May 10, 2021, the Company completed a repurchase and simultaneous retirement of 3,229,974 shares from the May 2021 Underwriters for cash consideration of $30.96 per share, resulting in a payment of approximately $100.0 million to the May 2021 Underwriters (see "May 2021 Secondary Offering and Stock Repurchase" in Note 1 to the accompanying consolidated financial statements). The May 2021 Secondary Offering reduced KKR's ownership interest in the Company and resulted in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w:t>
      </w:r>
    </w:p>
    <w:p>
      <w:pPr>
        <w:spacing w:after="0" w:line="11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May 25, 2021, the Company entered into an Amendment No. 4 (the "Amendment") to the Second Amended and Restated Credit Agreement (as previously amended, the "Existing Credit Agreement" and as amended by the "Amended Credit Agreement") which (i) reduced the applicable margin on LIBOR borrowings under the Term Loan from 5.00% to 3.75% and (ii) utilized cash on hand to repay $99.0 million of outstanding borrowings under the Term Loan, leaving an outstanding principal balance of $300.0 million under the Amended Credit Agreement. Borrowings under the Amended Credit Agreement will continue to mature on November 6, 2027, and all other material terms and provisions of the Existing Credit Agreement remain substantially the same as the terms and provisions in place immediately prior to the effectiveness of the Amendment (see Note 4 to the accompanying consolidated financial statements).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current debt obligations by fiscal year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After 2026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2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Term Loan and related interest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17,309</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19,538</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19,684</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296,186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391,403</w:t>
            </w:r>
          </w:p>
        </w:tc>
      </w:tr>
      <w:tr>
        <w:trPr>
          <w:trHeight w:val="229"/>
        </w:trPr>
        <w:tc>
          <w:tcPr>
            <w:tcW w:w="3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Notes and related interest </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9"/>
                <w:szCs w:val="19"/>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424,000</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544,000</w:t>
            </w:r>
          </w:p>
        </w:tc>
      </w:tr>
      <w:tr>
        <w:trPr>
          <w:trHeight w:val="230"/>
        </w:trPr>
        <w:tc>
          <w:tcPr>
            <w:tcW w:w="3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ABL Facility and related interest </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1,909</w:t>
            </w:r>
          </w:p>
        </w:tc>
        <w:tc>
          <w:tcPr>
            <w:tcW w:w="160" w:type="dxa"/>
            <w:vAlign w:val="bottom"/>
            <w:shd w:val="clear" w:color="auto" w:fill="CCEEFF"/>
          </w:tcPr>
          <w:p>
            <w:pPr>
              <w:spacing w:after="0"/>
              <w:rPr>
                <w:sz w:val="19"/>
                <w:szCs w:val="19"/>
                <w:color w:val="auto"/>
              </w:rPr>
            </w:pP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11,909</w:t>
            </w:r>
          </w:p>
        </w:tc>
      </w:tr>
    </w:tbl>
    <w:p>
      <w:pPr>
        <w:spacing w:after="0" w:line="80" w:lineRule="exact"/>
        <w:rPr>
          <w:sz w:val="20"/>
          <w:szCs w:val="20"/>
          <w:color w:val="auto"/>
        </w:rPr>
      </w:pPr>
    </w:p>
    <w:p>
      <w:pPr>
        <w:ind w:firstLine="8"/>
        <w:spacing w:after="0" w:line="258" w:lineRule="auto"/>
        <w:tabs>
          <w:tab w:leader="none" w:pos="179" w:val="left"/>
        </w:tabs>
        <w:numPr>
          <w:ilvl w:val="0"/>
          <w:numId w:val="40"/>
        </w:numPr>
        <w:rPr>
          <w:rFonts w:ascii="Arial" w:cs="Arial" w:eastAsia="Arial" w:hAnsi="Arial"/>
          <w:sz w:val="20"/>
          <w:szCs w:val="20"/>
          <w:color w:val="auto"/>
          <w:vertAlign w:val="superscript"/>
        </w:rPr>
      </w:pPr>
      <w:r>
        <w:rPr>
          <w:rFonts w:ascii="Arial" w:cs="Arial" w:eastAsia="Arial" w:hAnsi="Arial"/>
          <w:sz w:val="16"/>
          <w:szCs w:val="16"/>
          <w:color w:val="auto"/>
        </w:rPr>
        <w:t>Interest payments are future cash payments which do not include amortization of discount and debt issuance costs and are approximated based on projected interest rates and assumes no unscheduled principal payments until maturity.</w:t>
      </w:r>
    </w:p>
    <w:p>
      <w:pPr>
        <w:spacing w:after="0" w:line="1" w:lineRule="exact"/>
        <w:rPr>
          <w:rFonts w:ascii="Arial" w:cs="Arial" w:eastAsia="Arial" w:hAnsi="Arial"/>
          <w:sz w:val="20"/>
          <w:szCs w:val="20"/>
          <w:color w:val="auto"/>
          <w:vertAlign w:val="superscript"/>
        </w:rPr>
      </w:pPr>
    </w:p>
    <w:p>
      <w:pPr>
        <w:ind w:left="180" w:hanging="172"/>
        <w:spacing w:after="0" w:line="214" w:lineRule="auto"/>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Assumes Notes are paid in full at maturity date.</w:t>
      </w:r>
    </w:p>
    <w:p>
      <w:pPr>
        <w:spacing w:after="0" w:line="2"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40"/>
        </w:numPr>
        <w:rPr>
          <w:rFonts w:ascii="Arial" w:cs="Arial" w:eastAsia="Arial" w:hAnsi="Arial"/>
          <w:sz w:val="21"/>
          <w:szCs w:val="21"/>
          <w:color w:val="auto"/>
          <w:vertAlign w:val="superscript"/>
        </w:rPr>
      </w:pPr>
      <w:r>
        <w:rPr>
          <w:rFonts w:ascii="Arial" w:cs="Arial" w:eastAsia="Arial" w:hAnsi="Arial"/>
          <w:sz w:val="16"/>
          <w:szCs w:val="16"/>
          <w:color w:val="auto"/>
        </w:rPr>
        <w:t>Assumes a minimum revolving credit commitment of $1.0 billion and assumes no balances drawn on our ABL Facility.</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September 2, 2021, the Board of Directors of the Company authorized a share repurchase program (the "Share Repurchase Program") under which the Company may purchase up to $500 million of its outstanding shares during the three-year period ending September 2, 2024. Under the Share Repurchase Program, repurchases can be made using a variety of methods, which may include open market purchases, block trades, privately negotiated transactions and/or a non-discretionary trading plan, all in compliance with the rules of the SEC and other applicable legal requirements. The timing, manner, price and amount of any common share repurchases are determined by the Company in its discretion and depend on a variety of factors, including legal requirements, price and economic and market conditions. The Share Repurchase Program does not obligate the Company to acquire any particular number of common shares, and the program may be suspended, extended, modified or discontinued at any time. As of January 29, 2022, $188.6 million remained available for share repurchases pursuant to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57" w:name="page58"/>
    <w:bookmarkEnd w:id="57"/>
    <w:p>
      <w:pPr>
        <w:ind w:left="340"/>
        <w:spacing w:after="0"/>
        <w:rPr>
          <w:sz w:val="20"/>
          <w:szCs w:val="20"/>
          <w:color w:val="auto"/>
        </w:rPr>
      </w:pPr>
      <w:r>
        <w:rPr>
          <w:rFonts w:ascii="Arial" w:cs="Arial" w:eastAsia="Arial" w:hAnsi="Arial"/>
          <w:sz w:val="18"/>
          <w:szCs w:val="18"/>
          <w:color w:val="auto"/>
        </w:rPr>
        <w:t>The following table summarizes our share repurchases for the fiscal year ended January 30, 2022:</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17"/>
                <w:szCs w:val="17"/>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 Number of</w:t>
            </w:r>
          </w:p>
        </w:tc>
        <w:tc>
          <w:tcPr>
            <w:tcW w:w="120" w:type="dxa"/>
            <w:vAlign w:val="bottom"/>
          </w:tcPr>
          <w:p>
            <w:pPr>
              <w:spacing w:after="0"/>
              <w:rPr>
                <w:sz w:val="17"/>
                <w:szCs w:val="17"/>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Average Price Paid</w:t>
            </w:r>
          </w:p>
        </w:tc>
        <w:tc>
          <w:tcPr>
            <w:tcW w:w="220" w:type="dxa"/>
            <w:vAlign w:val="bottom"/>
          </w:tcPr>
          <w:p>
            <w:pPr>
              <w:spacing w:after="0"/>
              <w:rPr>
                <w:sz w:val="17"/>
                <w:szCs w:val="17"/>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Total Amount</w:t>
            </w:r>
          </w:p>
        </w:tc>
      </w:tr>
      <w:tr>
        <w:trPr>
          <w:trHeight w:val="229"/>
        </w:trPr>
        <w:tc>
          <w:tcPr>
            <w:tcW w:w="5820" w:type="dxa"/>
            <w:vAlign w:val="bottom"/>
          </w:tcPr>
          <w:p>
            <w:pPr>
              <w:spacing w:after="0"/>
              <w:rPr>
                <w:sz w:val="19"/>
                <w:szCs w:val="19"/>
                <w:color w:val="auto"/>
              </w:rPr>
            </w:pPr>
          </w:p>
        </w:tc>
        <w:tc>
          <w:tcPr>
            <w:tcW w:w="1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Shares Purchased</w:t>
            </w:r>
          </w:p>
        </w:tc>
        <w:tc>
          <w:tcPr>
            <w:tcW w:w="120" w:type="dxa"/>
            <w:vAlign w:val="bottom"/>
          </w:tcPr>
          <w:p>
            <w:pPr>
              <w:spacing w:after="0"/>
              <w:rPr>
                <w:sz w:val="19"/>
                <w:szCs w:val="19"/>
                <w:color w:val="auto"/>
              </w:rPr>
            </w:pPr>
          </w:p>
        </w:tc>
        <w:tc>
          <w:tcPr>
            <w:tcW w:w="16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per Share</w:t>
            </w:r>
          </w:p>
        </w:tc>
        <w:tc>
          <w:tcPr>
            <w:tcW w:w="220" w:type="dxa"/>
            <w:vAlign w:val="bottom"/>
          </w:tcPr>
          <w:p>
            <w:pPr>
              <w:spacing w:after="0"/>
              <w:rPr>
                <w:sz w:val="19"/>
                <w:szCs w:val="19"/>
                <w:color w:val="auto"/>
              </w:rPr>
            </w:pPr>
          </w:p>
        </w:tc>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Repurchased</w:t>
            </w:r>
          </w:p>
        </w:tc>
      </w:tr>
      <w:tr>
        <w:trPr>
          <w:trHeight w:val="223"/>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Quarter (January 30, 2021 to May 1, 2021)</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Second Quarter (May 2, 2021 to July 31, 2021)</w:t>
            </w:r>
          </w:p>
        </w:tc>
        <w:tc>
          <w:tcPr>
            <w:tcW w:w="1800" w:type="dxa"/>
            <w:vAlign w:val="bottom"/>
          </w:tcPr>
          <w:p>
            <w:pPr>
              <w:jc w:val="right"/>
              <w:spacing w:after="0"/>
              <w:rPr>
                <w:sz w:val="20"/>
                <w:szCs w:val="20"/>
                <w:color w:val="auto"/>
              </w:rPr>
            </w:pPr>
            <w:r>
              <w:rPr>
                <w:rFonts w:ascii="Arial" w:cs="Arial" w:eastAsia="Arial" w:hAnsi="Arial"/>
                <w:sz w:val="18"/>
                <w:szCs w:val="18"/>
                <w:color w:val="auto"/>
              </w:rPr>
              <w:t>3,229,974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99,999,995</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Third Quarter (August 1, 2021 to October 30, 2021)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5,722,892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245,837,186</w:t>
            </w:r>
          </w:p>
        </w:tc>
      </w:tr>
      <w:tr>
        <w:trPr>
          <w:trHeight w:val="23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Fourth Quarter (October 31, 2021 to January 30, 2022)</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1,613,930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65,571,394</w:t>
            </w:r>
          </w:p>
        </w:tc>
      </w:tr>
      <w:tr>
        <w:trPr>
          <w:trHeight w:val="248"/>
        </w:trPr>
        <w:tc>
          <w:tcPr>
            <w:tcW w:w="5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Shares Repurchased</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10,566,796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411,408,575</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3, 2022, the Company's Board of Directors declared a quarterly cash dividend in the amount of $0.075 per share on the Company's common stock, payable on April 14, 2022 to stockholders of record as of the close of business on March 17, 2022.</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lease store locations, distribution centers, office space and certain equipment under operating leases expiring between fiscal years 2022 and 2043. Operating lease obligations include future minimum lease payments under all of our non-cancelable operating leases at January 29, 2022. The following table summarizes our operating lease obligations by fiscal year:</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After 2026</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23"/>
        </w:trPr>
        <w:tc>
          <w:tcPr>
            <w:tcW w:w="32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Operating lease payments </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198,725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192,775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184,030</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177,496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right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902,083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1,824,672</w:t>
            </w:r>
          </w:p>
        </w:tc>
      </w:tr>
    </w:tbl>
    <w:p>
      <w:pPr>
        <w:spacing w:after="0" w:line="56"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21"/>
          <w:szCs w:val="21"/>
          <w:color w:val="auto"/>
          <w:vertAlign w:val="superscript"/>
        </w:rPr>
      </w:pPr>
      <w:r>
        <w:rPr>
          <w:rFonts w:ascii="Arial" w:cs="Arial" w:eastAsia="Arial" w:hAnsi="Arial"/>
          <w:sz w:val="16"/>
          <w:szCs w:val="16"/>
          <w:color w:val="auto"/>
        </w:rPr>
        <w:t>Minimum lease payments have not been reduced by sublease rentals of $1.1 million due in the future under non-cancelable subleases.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expect to use existing cash balances, internally generated cash flows, and available borrowings under the ABL Facility to fund anticipated capital expenditures, dividends, stock repurchases, working capital needs and scheduled debt service costs and maturities over at least the next twelve months. The ABL Facility provides for these financing needs and other general corporate purposes, as well as to support certain letter of credit requirements. We may continue to use the ABL Facility to repay debt under the Term Loan.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historical availability under the ABL Facility has been ample to support our operations and our debt service requirements. We had no borrowings under the ABL Facility in 2021.</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20" w:type="dxa"/>
            <w:vAlign w:val="bottom"/>
            <w:gridSpan w:val="10"/>
          </w:tcPr>
          <w:p>
            <w:pPr>
              <w:ind w:left="340"/>
              <w:spacing w:after="0"/>
              <w:rPr>
                <w:sz w:val="20"/>
                <w:szCs w:val="20"/>
                <w:color w:val="auto"/>
              </w:rPr>
            </w:pPr>
            <w:r>
              <w:rPr>
                <w:rFonts w:ascii="Arial" w:cs="Arial" w:eastAsia="Arial" w:hAnsi="Arial"/>
                <w:sz w:val="18"/>
                <w:szCs w:val="18"/>
                <w:color w:val="auto"/>
                <w:w w:val="98"/>
              </w:rPr>
              <w:t>Liquidity information related to the ABL Facility is as follows for the periods shown (dollar amounts in thousands):</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56"/>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4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r>
      <w:tr>
        <w:trPr>
          <w:trHeight w:val="223"/>
        </w:trPr>
        <w:tc>
          <w:tcPr>
            <w:tcW w:w="5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gridSpan w:val="3"/>
          </w:tcPr>
          <w:p>
            <w:pPr>
              <w:ind w:left="20"/>
              <w:spacing w:after="0"/>
              <w:rPr>
                <w:sz w:val="20"/>
                <w:szCs w:val="20"/>
                <w:color w:val="auto"/>
              </w:rPr>
            </w:pPr>
            <w:r>
              <w:rPr>
                <w:rFonts w:ascii="Arial" w:cs="Arial" w:eastAsia="Arial" w:hAnsi="Arial"/>
                <w:sz w:val="18"/>
                <w:szCs w:val="18"/>
                <w:b w:val="1"/>
                <w:bCs w:val="1"/>
                <w:color w:val="auto"/>
              </w:rPr>
              <w:t>January 29, 2022</w:t>
            </w:r>
          </w:p>
        </w:tc>
        <w:tc>
          <w:tcPr>
            <w:tcW w:w="460" w:type="dxa"/>
            <w:vAlign w:val="bottom"/>
          </w:tcPr>
          <w:p>
            <w:pPr>
              <w:spacing w:after="0"/>
              <w:rPr>
                <w:sz w:val="19"/>
                <w:szCs w:val="19"/>
                <w:color w:val="auto"/>
              </w:rPr>
            </w:pPr>
          </w:p>
        </w:tc>
        <w:tc>
          <w:tcPr>
            <w:tcW w:w="16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January 30, 2021</w:t>
            </w:r>
          </w:p>
        </w:tc>
        <w:tc>
          <w:tcPr>
            <w:tcW w:w="460" w:type="dxa"/>
            <w:vAlign w:val="bottom"/>
          </w:tcPr>
          <w:p>
            <w:pPr>
              <w:spacing w:after="0"/>
              <w:rPr>
                <w:sz w:val="19"/>
                <w:szCs w:val="19"/>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February 1, 2020</w:t>
            </w:r>
          </w:p>
        </w:tc>
      </w:tr>
      <w:tr>
        <w:trPr>
          <w:trHeight w:val="223"/>
        </w:trPr>
        <w:tc>
          <w:tcPr>
            <w:tcW w:w="5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Average funds drawn</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126,648</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29,593</w:t>
            </w: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Number of days with outstanding balance</w:t>
            </w:r>
          </w:p>
        </w:tc>
        <w:tc>
          <w:tcPr>
            <w:tcW w:w="480" w:type="dxa"/>
            <w:vAlign w:val="bottom"/>
          </w:tcPr>
          <w:p>
            <w:pPr>
              <w:spacing w:after="0"/>
              <w:rPr>
                <w:sz w:val="19"/>
                <w:szCs w:val="19"/>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Maximum daily amount outstanding</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147,100</w:t>
            </w:r>
          </w:p>
        </w:tc>
      </w:tr>
      <w:tr>
        <w:trPr>
          <w:trHeight w:val="234"/>
        </w:trPr>
        <w:tc>
          <w:tcPr>
            <w:tcW w:w="5040" w:type="dxa"/>
            <w:vAlign w:val="bottom"/>
          </w:tcPr>
          <w:p>
            <w:pPr>
              <w:ind w:left="360"/>
              <w:spacing w:after="0"/>
              <w:rPr>
                <w:sz w:val="20"/>
                <w:szCs w:val="20"/>
                <w:color w:val="auto"/>
              </w:rPr>
            </w:pPr>
            <w:r>
              <w:rPr>
                <w:rFonts w:ascii="Arial" w:cs="Arial" w:eastAsia="Arial" w:hAnsi="Arial"/>
                <w:sz w:val="18"/>
                <w:szCs w:val="18"/>
                <w:color w:val="auto"/>
              </w:rPr>
              <w:t>Minimum available borrowing capacity</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780,945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161,089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771,750</w:t>
            </w:r>
          </w:p>
        </w:tc>
      </w:tr>
      <w:tr>
        <w:trPr>
          <w:trHeight w:val="549"/>
        </w:trPr>
        <w:tc>
          <w:tcPr>
            <w:tcW w:w="7140" w:type="dxa"/>
            <w:vAlign w:val="bottom"/>
            <w:gridSpan w:val="5"/>
          </w:tcPr>
          <w:p>
            <w:pPr>
              <w:ind w:left="340"/>
              <w:spacing w:after="0"/>
              <w:rPr>
                <w:sz w:val="20"/>
                <w:szCs w:val="20"/>
                <w:color w:val="auto"/>
              </w:rPr>
            </w:pPr>
            <w:r>
              <w:rPr>
                <w:rFonts w:ascii="Arial" w:cs="Arial" w:eastAsia="Arial" w:hAnsi="Arial"/>
                <w:sz w:val="18"/>
                <w:szCs w:val="18"/>
                <w:color w:val="auto"/>
              </w:rPr>
              <w:t>Liquidity information related to the ABL Facility (amounts in thousands) as of:</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56"/>
        </w:trPr>
        <w:tc>
          <w:tcPr>
            <w:tcW w:w="50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80" w:type="dxa"/>
            <w:vAlign w:val="bottom"/>
            <w:gridSpan w:val="5"/>
          </w:tcPr>
          <w:p>
            <w:pPr>
              <w:ind w:left="420"/>
              <w:spacing w:after="0"/>
              <w:rPr>
                <w:sz w:val="20"/>
                <w:szCs w:val="20"/>
                <w:color w:val="auto"/>
              </w:rPr>
            </w:pPr>
            <w:r>
              <w:rPr>
                <w:rFonts w:ascii="Arial" w:cs="Arial" w:eastAsia="Arial" w:hAnsi="Arial"/>
                <w:sz w:val="18"/>
                <w:szCs w:val="18"/>
                <w:b w:val="1"/>
                <w:bCs w:val="1"/>
                <w:color w:val="auto"/>
              </w:rPr>
              <w:t>January 29, 2022</w:t>
            </w:r>
          </w:p>
        </w:tc>
        <w:tc>
          <w:tcPr>
            <w:tcW w:w="460" w:type="dxa"/>
            <w:vAlign w:val="bottom"/>
          </w:tcPr>
          <w:p>
            <w:pPr>
              <w:spacing w:after="0"/>
              <w:rPr>
                <w:sz w:val="22"/>
                <w:szCs w:val="22"/>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January 30, 2021</w:t>
            </w:r>
          </w:p>
        </w:tc>
      </w:tr>
      <w:tr>
        <w:trPr>
          <w:trHeight w:val="223"/>
        </w:trPr>
        <w:tc>
          <w:tcPr>
            <w:tcW w:w="50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Outstanding borrowings</w:t>
            </w:r>
          </w:p>
        </w:tc>
        <w:tc>
          <w:tcPr>
            <w:tcW w:w="4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040" w:type="dxa"/>
            <w:vAlign w:val="bottom"/>
          </w:tcPr>
          <w:p>
            <w:pPr>
              <w:ind w:left="360"/>
              <w:spacing w:after="0"/>
              <w:rPr>
                <w:sz w:val="20"/>
                <w:szCs w:val="20"/>
                <w:color w:val="auto"/>
              </w:rPr>
            </w:pPr>
            <w:r>
              <w:rPr>
                <w:rFonts w:ascii="Arial" w:cs="Arial" w:eastAsia="Arial" w:hAnsi="Arial"/>
                <w:sz w:val="18"/>
                <w:szCs w:val="18"/>
                <w:color w:val="auto"/>
              </w:rPr>
              <w:t>Outstanding letters of credit</w:t>
            </w: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17,828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20,112</w:t>
            </w:r>
          </w:p>
        </w:tc>
      </w:tr>
      <w:tr>
        <w:trPr>
          <w:trHeight w:val="230"/>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 borrowing capacity</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874,831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718,763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8" w:name="page59"/>
    <w:bookmarkEnd w:id="58"/>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Capital Expenditures. </w:t>
      </w:r>
      <w:r>
        <w:rPr>
          <w:rFonts w:ascii="Arial" w:cs="Arial" w:eastAsia="Arial" w:hAnsi="Arial"/>
          <w:sz w:val="18"/>
          <w:szCs w:val="18"/>
          <w:color w:val="auto"/>
        </w:rPr>
        <w:t>We expect capital expenditures for fiscal year 2022 to be approximately $140.0 million. Approximately 50% of our planned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outflow relate to investments in our corporate, e-commerce and information technology programs. Investments in new stores and store relocations is expected to account for approximately 30% of the planned cash outflow and the remaining 20% is expected to be utilized through investments in existing stores and distribution centers. We review forecasted capital expenditures throughout the year and will adjust or modify projects based on business conditions at that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consolidated statements of cash flows are summarized as follows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2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29, 2022</w:t>
            </w:r>
          </w:p>
        </w:tc>
        <w:tc>
          <w:tcPr>
            <w:tcW w:w="46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30, 2021</w:t>
            </w:r>
          </w:p>
        </w:tc>
        <w:tc>
          <w:tcPr>
            <w:tcW w:w="48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February 1, 2020</w:t>
            </w:r>
          </w:p>
        </w:tc>
      </w:tr>
      <w:tr>
        <w:trPr>
          <w:trHeight w:val="223"/>
        </w:trPr>
        <w:tc>
          <w:tcPr>
            <w:tcW w:w="50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673,265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1,011,597</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263,669</w:t>
            </w:r>
          </w:p>
        </w:tc>
      </w:tr>
      <w:tr>
        <w:trPr>
          <w:trHeight w:val="230"/>
        </w:trPr>
        <w:tc>
          <w:tcPr>
            <w:tcW w:w="500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(76,017)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(33,144)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(66,783)</w:t>
            </w:r>
          </w:p>
        </w:tc>
      </w:tr>
      <w:tr>
        <w:trPr>
          <w:trHeight w:val="229"/>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financing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(488,854)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(750,234)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(123,192)</w:t>
            </w:r>
          </w:p>
        </w:tc>
      </w:tr>
      <w:tr>
        <w:trPr>
          <w:trHeight w:val="223"/>
        </w:trPr>
        <w:tc>
          <w:tcPr>
            <w:tcW w:w="5000" w:type="dxa"/>
            <w:vAlign w:val="bottom"/>
          </w:tcPr>
          <w:p>
            <w:pPr>
              <w:ind w:left="560"/>
              <w:spacing w:after="0"/>
              <w:rPr>
                <w:sz w:val="20"/>
                <w:szCs w:val="20"/>
                <w:color w:val="auto"/>
              </w:rPr>
            </w:pPr>
            <w:r>
              <w:rPr>
                <w:rFonts w:ascii="Arial" w:cs="Arial" w:eastAsia="Arial" w:hAnsi="Arial"/>
                <w:sz w:val="18"/>
                <w:szCs w:val="18"/>
                <w:color w:val="auto"/>
              </w:rPr>
              <w:t>Net increase in cash and cash equivalents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108,394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228,219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73,694</w:t>
            </w:r>
          </w:p>
        </w:tc>
      </w:tr>
      <w:tr>
        <w:trPr>
          <w:trHeight w:val="20"/>
        </w:trPr>
        <w:tc>
          <w:tcPr>
            <w:tcW w:w="5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are seasonal in our business. Typically, cash flows from operations are used to build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in advance of peak selling seasons, with the fourth quarter pre-holiday inventory increase being the most significant.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provided by operating activities in 2021 decreased $338.3 million compared to 2020. This decrease is attributable to:</w:t>
      </w:r>
    </w:p>
    <w:p>
      <w:pPr>
        <w:spacing w:after="0" w:line="252"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$772.1 million net decrease in cash flows provided by operating assets and liabilities; partially offset by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$362.6 million increase in net income;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$71.1 million net increase in non-cash charges.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cash flows from operating assets and liabilities was primarily attributable to:</w:t>
      </w:r>
    </w:p>
    <w:p>
      <w:pPr>
        <w:spacing w:after="0" w:line="252" w:lineRule="exact"/>
        <w:rPr>
          <w:sz w:val="20"/>
          <w:szCs w:val="20"/>
          <w:color w:val="auto"/>
        </w:rPr>
      </w:pPr>
    </w:p>
    <w:p>
      <w:pPr>
        <w:ind w:left="660" w:hanging="328"/>
        <w:spacing w:after="0" w:line="258"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$412.1 million decrease in cash flows from accounts payable related to the prior year extension of vendor payment terms intended to help mitigate the impact of COVID-19 on our business; and</w:t>
      </w:r>
    </w:p>
    <w:p>
      <w:pPr>
        <w:spacing w:after="0" w:line="1" w:lineRule="exact"/>
        <w:rPr>
          <w:rFonts w:ascii="Arial" w:cs="Arial" w:eastAsia="Arial" w:hAnsi="Arial"/>
          <w:sz w:val="18"/>
          <w:szCs w:val="18"/>
          <w:color w:val="auto"/>
        </w:rPr>
      </w:pPr>
    </w:p>
    <w:p>
      <w:pPr>
        <w:ind w:left="660" w:hanging="328"/>
        <w:spacing w:after="0" w:line="290" w:lineRule="auto"/>
        <w:tabs>
          <w:tab w:leader="none" w:pos="655" w:val="left"/>
        </w:tabs>
        <w:numPr>
          <w:ilvl w:val="0"/>
          <w:numId w:val="43"/>
        </w:numPr>
        <w:rPr>
          <w:rFonts w:ascii="Arial" w:cs="Arial" w:eastAsia="Arial" w:hAnsi="Arial"/>
          <w:sz w:val="17"/>
          <w:szCs w:val="17"/>
          <w:color w:val="auto"/>
        </w:rPr>
      </w:pPr>
      <w:r>
        <w:rPr>
          <w:rFonts w:ascii="Arial" w:cs="Arial" w:eastAsia="Arial" w:hAnsi="Arial"/>
          <w:sz w:val="17"/>
          <w:szCs w:val="17"/>
          <w:color w:val="auto"/>
        </w:rPr>
        <w:t>$291.3 million decrease in cash flows from merchandise inventories, net related to an increase in inventory receipts during 2021 coupled with a prior year reduction of inventory from higher inventory turnover and supply chain constraints resulting from the COVID-19 pandemic.</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from non-cash charges was primarily caused by:</w:t>
      </w:r>
    </w:p>
    <w:p>
      <w:pPr>
        <w:spacing w:after="0" w:line="25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$78.8 million increase in deferred income taxes.</w:t>
      </w:r>
    </w:p>
    <w:p>
      <w:pPr>
        <w:spacing w:after="0" w:line="248"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investing activities increased $42.9 million in 2021 compared to 2020. The increase in cash used in investing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activities is primarily related to:</w:t>
      </w:r>
    </w:p>
    <w:p>
      <w:pPr>
        <w:spacing w:after="0" w:line="193" w:lineRule="exact"/>
        <w:rPr>
          <w:sz w:val="20"/>
          <w:szCs w:val="20"/>
          <w:color w:val="auto"/>
        </w:rPr>
      </w:pPr>
    </w:p>
    <w:p>
      <w:pPr>
        <w:ind w:left="660" w:right="20" w:hanging="328"/>
        <w:spacing w:after="0" w:line="298" w:lineRule="auto"/>
        <w:tabs>
          <w:tab w:leader="none" w:pos="655" w:val="left"/>
        </w:tabs>
        <w:numPr>
          <w:ilvl w:val="0"/>
          <w:numId w:val="45"/>
        </w:numPr>
        <w:rPr>
          <w:rFonts w:ascii="Arial" w:cs="Arial" w:eastAsia="Arial" w:hAnsi="Arial"/>
          <w:sz w:val="17"/>
          <w:szCs w:val="17"/>
          <w:color w:val="auto"/>
        </w:rPr>
      </w:pPr>
      <w:r>
        <w:rPr>
          <w:rFonts w:ascii="Arial" w:cs="Arial" w:eastAsia="Arial" w:hAnsi="Arial"/>
          <w:sz w:val="17"/>
          <w:szCs w:val="17"/>
          <w:color w:val="auto"/>
        </w:rPr>
        <w:t>$34.5 million higher capital expenditures on updates in the stores and distribution centers, various digital projects, and other improvements coupled with the strategic reduction of capital expenditures in the prior year in response to the COVID-19 pandemic; and</w:t>
      </w: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$8.1 million decrease from cash proceeds for repayment of notes receivable from one NAHC member which occurred during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9" w:name="page60"/>
    <w:bookmarkEnd w:id="59"/>
    <w:p>
      <w:pPr>
        <w:ind w:firstLine="324"/>
        <w:spacing w:after="0" w:line="282" w:lineRule="auto"/>
        <w:rPr>
          <w:sz w:val="20"/>
          <w:szCs w:val="20"/>
          <w:color w:val="auto"/>
        </w:rPr>
      </w:pPr>
      <w:r>
        <w:rPr>
          <w:rFonts w:ascii="Arial" w:cs="Arial" w:eastAsia="Arial" w:hAnsi="Arial"/>
          <w:sz w:val="18"/>
          <w:szCs w:val="18"/>
          <w:b w:val="1"/>
          <w:bCs w:val="1"/>
          <w:i w:val="1"/>
          <w:iCs w:val="1"/>
          <w:color w:val="auto"/>
        </w:rPr>
        <w:t>Financing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financing activities decreased $261.4 million in the 2021, compared to 2020. The primary drivers of the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w:t>
      </w:r>
    </w:p>
    <w:p>
      <w:pPr>
        <w:spacing w:after="0" w:line="193"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$562.8 million decrease in cash outflows primarily due to the prior year long-term debt reduction associated with the Refinancing Transactions;</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$257.0 million decrease in cash outflows from a distribution to NAHC's members in the prior year;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$411.4 million increase in cash outflows related to Company's repurchase and simultaneous retirement of common stock in the current year;</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$207.0 million decrease in cash inflows related to net proceeds from the issuance of common stock during 2020, net of offering costs.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Liquidity</w:t>
      </w:r>
    </w:p>
    <w:p>
      <w:pPr>
        <w:spacing w:after="0" w:line="252"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We expect to use existing cash balances, internally generated cash flows and borrowings under our ABL Facility to fulfill anticipated obligations such as capital expenditures, dividends, stock repurchases, working capital needs and scheduled debt maturities over at least the next twelve months. As of January 29, 2022, we had $874.8 million of available capacity under our ABL Facility and $486.0 million of cash and cash equivalents.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discussion and analysis of financial condition and results of operations is based upon the Company's consolidated financial statements, which have been prepared in accordance with U.S. generally accepted accounting principles (U.S. GAAP). The preparation of these financial statements requires the Company to make estimates, judgments, and assumptions that can have a meaningful effect on the reporting of consolidated financial statements. See Note 2 to the consolidated financial statements for additional information.</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Critical accounting estimates are defined as those reflective of significant judgments, estimates and uncertainties, which may result in materially different results under different assumptions and conditions. As conditions resulting from the COVID-19 pandemic continue to evolve, the Company expects these judgments and estimates may be subject to change, which could materially impact future periods. The Company believes the following are its critical accounting estimates: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Merchandise inventories are valued at the lower of weighted average cost or net realizable value using the last-in first-out ("LIFO")</w:t>
      </w:r>
      <w:r>
        <w:rPr>
          <w:rFonts w:ascii="Arial" w:cs="Arial" w:eastAsia="Arial" w:hAnsi="Arial"/>
          <w:sz w:val="18"/>
          <w:szCs w:val="18"/>
          <w:i w:val="1"/>
          <w:iCs w:val="1"/>
          <w:color w:val="auto"/>
        </w:rPr>
        <w:t xml:space="preserve"> </w:t>
      </w:r>
      <w:r>
        <w:rPr>
          <w:rFonts w:ascii="Arial" w:cs="Arial" w:eastAsia="Arial" w:hAnsi="Arial"/>
          <w:sz w:val="18"/>
          <w:szCs w:val="18"/>
          <w:color w:val="auto"/>
        </w:rPr>
        <w:t>method. Merchandise inventories include the direct cost of merchandise and capitalized costs related to procurement, warehousing and distribution and are reflected net of shrinkage, vendor allowances and other valuation accounts.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We record an inventory reserve for the estimated shrinkage between physical inventories on a store-by-store basis. We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perform a full physical inventory count for each store at least once a year, throughout the year, after which our shrinkage accrual rate to sales for each store is updated based on historical results. For vendor allowances based on contractual provisions, we develop accrual rates for reserves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w:t>
      </w:r>
    </w:p>
    <w:p>
      <w:pPr>
        <w:spacing w:after="0" w:line="21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Impact of Assumptions: </w:t>
      </w:r>
      <w:r>
        <w:rPr>
          <w:rFonts w:ascii="Arial" w:cs="Arial" w:eastAsia="Arial" w:hAnsi="Arial"/>
          <w:sz w:val="17"/>
          <w:szCs w:val="17"/>
          <w:color w:val="auto"/>
        </w:rPr>
        <w:t>For inventory shrinkage, our reserves may be inaccurate if our historical physical inventory shrinkage rates, used in our</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differ significantly from actual rates due to consistent misses to our accrual. However, due to the frequency with which we perform full physical inventory counts, our assumptions are regularly updated, and we constantly analyze the physical inventory results to our accruals and, where necessary, adjust our store accruals to compensate for consistent patterns identified. We have not had a history of significant differences to our reserves for vendor allowances and the assumptions generally do not have a significant impact on reserves since they are typically short-term and contractual in nature. We book a reserve for inventory permanently marked down below the inventory’s historical cost. Additionally, for slow moving or obsolete inventory, we book reserves based on historical margins received for marked down inventory with similarly slow historical sell-through rates. A twenty percent decrease in assumed margins would not have a material impact to our financial statements. We believe our long history of operations has given us sufficient data to enable us to accurately predict these reserves.</w:t>
      </w:r>
    </w:p>
    <w:p>
      <w:pPr>
        <w:spacing w:after="0" w:line="200" w:lineRule="exact"/>
        <w:rPr>
          <w:sz w:val="20"/>
          <w:szCs w:val="20"/>
          <w:color w:val="auto"/>
        </w:rPr>
      </w:pP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We review the carrying value of long-lived assets, including property and equipment at our stores, for indicators of impairment regularly</w:t>
      </w:r>
      <w:r>
        <w:rPr>
          <w:rFonts w:ascii="Arial" w:cs="Arial" w:eastAsia="Arial" w:hAnsi="Arial"/>
          <w:sz w:val="18"/>
          <w:szCs w:val="18"/>
          <w:i w:val="1"/>
          <w:iCs w:val="1"/>
          <w:color w:val="auto"/>
        </w:rPr>
        <w:t xml:space="preserve"> </w:t>
      </w:r>
      <w:r>
        <w:rPr>
          <w:rFonts w:ascii="Arial" w:cs="Arial" w:eastAsia="Arial" w:hAnsi="Arial"/>
          <w:sz w:val="18"/>
          <w:szCs w:val="18"/>
          <w:color w:val="auto"/>
        </w:rPr>
        <w:t>and whenever events and circumstances indicate that the carrying value of an asset may not be recoverable.</w:t>
      </w:r>
    </w:p>
    <w:p>
      <w:pPr>
        <w:spacing w:after="0" w:line="19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We test stores operating over a long enough time span, based on our previous store history for similar locations, to allow</w:t>
      </w:r>
      <w:r>
        <w:rPr>
          <w:rFonts w:ascii="Arial" w:cs="Arial" w:eastAsia="Arial" w:hAnsi="Arial"/>
          <w:sz w:val="18"/>
          <w:szCs w:val="18"/>
          <w:i w:val="1"/>
          <w:iCs w:val="1"/>
          <w:color w:val="auto"/>
        </w:rPr>
        <w:t xml:space="preserve"> </w:t>
      </w:r>
      <w:r>
        <w:rPr>
          <w:rFonts w:ascii="Arial" w:cs="Arial" w:eastAsia="Arial" w:hAnsi="Arial"/>
          <w:sz w:val="18"/>
          <w:szCs w:val="18"/>
          <w:color w:val="auto"/>
        </w:rPr>
        <w:t>for meaningful analysis of future operating results. Recoverability of long-lived assets is measured by a comparison of the carrying amount of the assets to the estimated undiscounted future cash flows expected to be generated by the use of the assets, which is generally based on historical results. If such assets are considered to be impaired, the impairment loss recognized is the amount by which the carrying amount of the assets exceeds its estimated fair value, which is calculated using discounted expected future cash flows.</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Impact of Assumptions: </w:t>
      </w:r>
      <w:r>
        <w:rPr>
          <w:rFonts w:ascii="Arial" w:cs="Arial" w:eastAsia="Arial" w:hAnsi="Arial"/>
          <w:sz w:val="17"/>
          <w:szCs w:val="17"/>
          <w:color w:val="auto"/>
        </w:rPr>
        <w:t>The assumptions used to project store impairment loss is based on projected future store income and considers variables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as historical and current trends, macroeconomic conditions, store location and local economy and supply chain factors. Additionally, the long-term store income projections also contain a projection of future store specific costs such as store wages and advertising. Actual long-term income results could vary significantly from our projections due to a variety of reasons such as changes in the local retail environment or macroeconomic factors not used in our assumptions. In addition to variables considered in developing projected long-term store income, assumptions are made to develop the assumed discount rate based on company specific factors. There is significant judgment used in determining these assumptions used in the assessment of store impairment and variability in the assumptions could cause us to reach a materially different conclusion on impairment, however, we do not believe the net book value of any individual store assets are material to the Company’s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Goodwill represents the excess of the purchase price of an acquired business over the amounts assigned to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The annual goodwill impairment test provides for the option of first performing a qualitative assessment to evaluate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 These approaches use key input assumptions such as our projected future operating results, the discount rate, the weighting for each valuation approach and the comparable set of companies.</w:t>
      </w:r>
    </w:p>
    <w:p>
      <w:pPr>
        <w:spacing w:after="0" w:line="21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Impact of Assumptions: </w:t>
      </w:r>
      <w:r>
        <w:rPr>
          <w:rFonts w:ascii="Arial" w:cs="Arial" w:eastAsia="Arial" w:hAnsi="Arial"/>
          <w:sz w:val="16"/>
          <w:szCs w:val="16"/>
          <w:color w:val="auto"/>
        </w:rPr>
        <w:t>The assumptions used to project long-term company income consider variables such as historical and current trends,</w:t>
      </w:r>
      <w:r>
        <w:rPr>
          <w:rFonts w:ascii="Arial" w:cs="Arial" w:eastAsia="Arial" w:hAnsi="Arial"/>
          <w:sz w:val="16"/>
          <w:szCs w:val="16"/>
          <w:i w:val="1"/>
          <w:iCs w:val="1"/>
          <w:color w:val="auto"/>
        </w:rPr>
        <w:t xml:space="preserve"> </w:t>
      </w:r>
      <w:r>
        <w:rPr>
          <w:rFonts w:ascii="Arial" w:cs="Arial" w:eastAsia="Arial" w:hAnsi="Arial"/>
          <w:sz w:val="16"/>
          <w:szCs w:val="16"/>
          <w:color w:val="auto"/>
        </w:rPr>
        <w:t>macroeconomic conditions, supply chain factors, projections consistent with the Company’s operating strategy, such as the future development of e-commerce and our assumptions used on future store openings, and other variables expected to impact future sales. Additionally, the long-term company income projections also contain a projection of future company costs such as wages, freight and transportation, and advertising. Actual long-term company income results could vary significantly from our projections due to a variety of reasons such as changes in the retail environment or macroeconomic factors not used in our assumptions. In addition to variables considered in developing projected long-term company income, assumptions are made to develop the discount rate, which is based on an assumed risk-free rate, and an equity risk premium developed from general historical market data and comparable companies. The earnings multiples used in the market approach can vary dependent on which companies are selected in our comparable set. A history of declining trends in our operating results such as comparable sales, gross margin, net income and cash flow from operations could impact these assumptions and serve as indicators of future impairment. There is significant judgment used in determining these assumptions used in the assessment of goodwill impairment and variability in the assumptions could cause us to reach a different conclusion on impairment. In 2021, we performed a qualitative impairment assessment and determined a quantitative assessment was not necessary.</w:t>
      </w:r>
    </w:p>
    <w:p>
      <w:pPr>
        <w:spacing w:after="0" w:line="200" w:lineRule="exact"/>
        <w:rPr>
          <w:sz w:val="20"/>
          <w:szCs w:val="20"/>
          <w:color w:val="auto"/>
        </w:rPr>
      </w:pPr>
    </w:p>
    <w:p>
      <w:pPr>
        <w:spacing w:after="0" w:line="26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Intangible assets primarily consists of the trade name "Academy Sports + Outdoors" (the "Trade Name"). The Trade Name is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generate cash flows indefinitely and, therefore, is accounted for as an indefinite-lived asset not subject to amortization. The Trade Name is tested for impairment annually or whenever events or circumstances indicate that the carrying amount of the Trade Name may not be recoverable.</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The annual Trade Name impairment test provides for the option of first performing a qualitative assessment to evaluate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for the Trade Name. However, if the qualitative assessment leads to a determination that it is more likely than not that the fair value of a reporting unit is greater than its carrying amount, then no further assessments are required.</w:t>
      </w:r>
    </w:p>
    <w:p>
      <w:pPr>
        <w:spacing w:after="0" w:line="21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20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Impact of Assumptions: </w:t>
      </w:r>
      <w:r>
        <w:rPr>
          <w:rFonts w:ascii="Arial" w:cs="Arial" w:eastAsia="Arial" w:hAnsi="Arial"/>
          <w:sz w:val="17"/>
          <w:szCs w:val="17"/>
          <w:color w:val="auto"/>
        </w:rPr>
        <w:t>The assumptions used to project long-term company sales consider variables such as historical and current trends,</w:t>
      </w:r>
      <w:r>
        <w:rPr>
          <w:rFonts w:ascii="Arial" w:cs="Arial" w:eastAsia="Arial" w:hAnsi="Arial"/>
          <w:sz w:val="17"/>
          <w:szCs w:val="17"/>
          <w:i w:val="1"/>
          <w:iCs w:val="1"/>
          <w:color w:val="auto"/>
        </w:rPr>
        <w:t xml:space="preserve"> </w:t>
      </w:r>
      <w:r>
        <w:rPr>
          <w:rFonts w:ascii="Arial" w:cs="Arial" w:eastAsia="Arial" w:hAnsi="Arial"/>
          <w:sz w:val="17"/>
          <w:szCs w:val="17"/>
          <w:color w:val="auto"/>
        </w:rPr>
        <w:t>macroeconomic conditions, supply chain factors, projections consistent with the Company’s operating strategy, such as the future development of e-commerce and our assumptions used on future store openings, and other variables expected to impact future sales. Actual long-term income results could vary significantly from our projections due to a variety of reasons such as changes in the retail environment or macroeconomic factors not used in our assumptions. In addition to variables considered in developing projected long-term sales, assumptions are made to develop the royalty rates and discount rates. The royalty rates are based on market data where royalty rates are applicable and the discount rates are based on an assumed risk-free rate, and an equity risk premium based on general historical market data and comparable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on intangible asset impairment and variability in the assumptions could cause us to reach a different conclusion on impairment. In 2021, we performed a qualitative impairment assessment and determined a quantitative assessment was not necessary.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of recent accounting pronouncements, see Note 2 to the accompanying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discussion of related party transactions, see Note 13 to the accompanying consolidated financial statements.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exposure to changes in interest rates primarily results from our ABL Facility and Term Loan, as these borrowings have variable interest rates. When appropriate, we have historically used derivative financial instruments to mitigate the risk from such exposure. A discussion of our accounting policies for derivative financial instruments is included in Note 5. “Derivative Financial Instruments” and Note 6 “Fair Value Measurements” to our consolidated financial statements included in Part II. Item 8 of this Annual Report. The detrimental effect of a hypothetical 100 basis point increase in interest rates on current borrowings under the ABL Facility and Term Loan would increase our interest expense by approximately $3.0 million for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Interim Results and Seasonality</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54" w:lineRule="exact"/>
        <w:rPr>
          <w:sz w:val="20"/>
          <w:szCs w:val="20"/>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 xml:space="preserve">The financial statements required to be filed hereunder are set forth on pages </w:t>
      </w:r>
      <w:hyperlink w:anchor="page67">
        <w:r>
          <w:rPr>
            <w:rFonts w:ascii="Arial" w:cs="Arial" w:eastAsia="Arial" w:hAnsi="Arial"/>
            <w:sz w:val="18"/>
            <w:szCs w:val="18"/>
            <w:color w:val="auto"/>
          </w:rPr>
          <w:t xml:space="preserve">68 </w:t>
        </w:r>
      </w:hyperlink>
      <w:r>
        <w:rPr>
          <w:rFonts w:ascii="Arial" w:cs="Arial" w:eastAsia="Arial" w:hAnsi="Arial"/>
          <w:sz w:val="18"/>
          <w:szCs w:val="18"/>
          <w:color w:val="auto"/>
        </w:rPr>
        <w:t xml:space="preserve">through </w:t>
      </w:r>
      <w:hyperlink w:anchor="page105">
        <w:r>
          <w:rPr>
            <w:rFonts w:ascii="Arial" w:cs="Arial" w:eastAsia="Arial" w:hAnsi="Arial"/>
            <w:sz w:val="18"/>
            <w:szCs w:val="18"/>
            <w:color w:val="auto"/>
          </w:rPr>
          <w:t xml:space="preserve">105 </w:t>
        </w:r>
      </w:hyperlink>
      <w:r>
        <w:rPr>
          <w:rFonts w:ascii="Arial" w:cs="Arial" w:eastAsia="Arial" w:hAnsi="Arial"/>
          <w:sz w:val="18"/>
          <w:szCs w:val="18"/>
          <w:color w:val="auto"/>
        </w:rPr>
        <w:t>of this Annual Report on Form 10-K.</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maintain disclosure controls and procedures (as that term is defined in Rules 13a-15(e) and 15d-15(e) of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disclosures. Any controls and procedures, no matter how well designed and operated, can provide only reasonable assurance of achieving the desired control objectives.</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CEO and our CFO, evaluated the effectiveness of the design and operation of our disclosure controls and procedures as of the end of the period covered by this Annual Report. Based on such evaluation, our CEO and CFO have concluded that, as of the end of the period covered by this Annual Report, the design and operation of the Company's disclosure controls and procedures were effective to accomplish their objectives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defined in Rules 13a-15(f) and 15d-15(f) under the Exchange Act). Internal control over financial reporting is a process to provide reasonable assurance regarding the reliability of our financial reporting for external purposes in accordance with accounting principles generally accepted in the United States of America. The Company's internal control over financial reporting includes:</w:t>
      </w:r>
    </w:p>
    <w:p>
      <w:pPr>
        <w:spacing w:after="0" w:line="79"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maintaining records that in reasonable detail accurately and fairly reflect our transactions;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reasonable assurance that transactions are recorded as necessary for preparation of our financial statements;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providing reasonable assurance that receipts and expenditures of Company assets are made in accordance with management authorization; and</w:t>
      </w:r>
    </w:p>
    <w:p>
      <w:pPr>
        <w:spacing w:after="0" w:line="140"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providing reasonable assurance that unauthorized acquisition, use or disposition of Company assets that could have a material effect on our financial statements would be prevented or detected on a timely basis.</w:t>
      </w:r>
    </w:p>
    <w:p>
      <w:pPr>
        <w:spacing w:after="0" w:line="6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of achieving their control objectives. Also projections of any evaluation of effectiveness to future periods are subject to risk that controls may become inadequate because of change in conditions, or that the degree of compliance with the policies or procedures may deteriorate.</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The Company’s management conducted an evaluation of the effectiveness of our internal control over financial reporting based on the framework and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concluded that the Company’s internal control over financial reporting was effective as of January 29, 2022.</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Deloitte &amp; Touche LLP, an independent registered public accounting firm, has issued an attestation report on the Company’s internal control over financial reporting which is set forth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 changes in our internal control over financial reporting (as defined in Rules 13a-15(f) and 15d-15(f) under the Exchange Act) occurred during the Company's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Academy Sports and Outdoors,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Academy Sports and Outdoors, Inc. and subsidiaries (the “Company”) as of January 29,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January 29,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January 29, 2022, of the Company and our report dated March 29, 2022 expressed an unqualified opinion on those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8"/>
          <w:szCs w:val="18"/>
          <w:i w:val="1"/>
          <w:iCs w:val="1"/>
          <w:color w:val="auto"/>
        </w:rPr>
        <w:t>Management's Annual Report on Internal Control over Financial Reporting</w:t>
      </w:r>
      <w:r>
        <w:rPr>
          <w:rFonts w:ascii="Arial" w:cs="Arial" w:eastAsia="Arial" w:hAnsi="Arial"/>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2022</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concerning our executive officers is set forth under the heading “Information about our Executive Officers” in Part I of this report. Further information required by this item will be included in our definitive proxy statement for the 2022 Annual Meeting of Stockholders and is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and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following table gives information about the Company's common stock that may be issued upon the exercise of options, warrants and rights under all of the Company's equity compensation plans as of January 29, 2022. The table includes the 2011 Unit Incentive Plan, the 2020 Omnibus Incentive Plan and the 2020 Employee Stock Purchase Plan.</w:t>
      </w:r>
    </w:p>
    <w:tbl>
      <w:tblPr>
        <w:tblLayout w:type="fixed"/>
        <w:tblInd w:w="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(a)</w:t>
            </w:r>
          </w:p>
        </w:tc>
        <w:tc>
          <w:tcPr>
            <w:tcW w:w="180" w:type="dxa"/>
            <w:vAlign w:val="bottom"/>
          </w:tcPr>
          <w:p>
            <w:pPr>
              <w:spacing w:after="0"/>
              <w:rPr>
                <w:sz w:val="16"/>
                <w:szCs w:val="16"/>
                <w:color w:val="auto"/>
              </w:rPr>
            </w:pPr>
          </w:p>
        </w:tc>
        <w:tc>
          <w:tcPr>
            <w:tcW w:w="164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5"/>
              </w:rPr>
              <w:t>(b)</w:t>
            </w:r>
          </w:p>
        </w:tc>
        <w:tc>
          <w:tcPr>
            <w:tcW w:w="3240" w:type="dxa"/>
            <w:vAlign w:val="bottom"/>
            <w:vMerge w:val="restart"/>
          </w:tcPr>
          <w:p>
            <w:pPr>
              <w:jc w:val="right"/>
              <w:ind w:right="1330"/>
              <w:spacing w:after="0"/>
              <w:rPr>
                <w:sz w:val="20"/>
                <w:szCs w:val="20"/>
                <w:color w:val="auto"/>
              </w:rPr>
            </w:pPr>
            <w:r>
              <w:rPr>
                <w:rFonts w:ascii="Arial" w:cs="Arial" w:eastAsia="Arial" w:hAnsi="Arial"/>
                <w:sz w:val="18"/>
                <w:szCs w:val="18"/>
                <w:b w:val="1"/>
                <w:bCs w:val="1"/>
                <w:color w:val="auto"/>
              </w:rPr>
              <w:t>(c)</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15"/>
                <w:szCs w:val="15"/>
                <w:color w:val="auto"/>
              </w:rPr>
            </w:pPr>
          </w:p>
        </w:tc>
        <w:tc>
          <w:tcPr>
            <w:tcW w:w="1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Weighted average</w:t>
            </w:r>
          </w:p>
        </w:tc>
        <w:tc>
          <w:tcPr>
            <w:tcW w:w="3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Number of securities to</w:t>
            </w: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7"/>
              </w:rPr>
              <w:t>exercise price of</w:t>
            </w:r>
          </w:p>
        </w:tc>
        <w:tc>
          <w:tcPr>
            <w:tcW w:w="324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89"/>
              </w:rPr>
              <w:t>Number of securities remaining</w:t>
            </w: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5"/>
              </w:rPr>
              <w:t>be issued upon exercise</w:t>
            </w:r>
          </w:p>
        </w:tc>
        <w:tc>
          <w:tcPr>
            <w:tcW w:w="180" w:type="dxa"/>
            <w:vAlign w:val="bottom"/>
          </w:tcPr>
          <w:p>
            <w:pPr>
              <w:spacing w:after="0"/>
              <w:rPr>
                <w:sz w:val="15"/>
                <w:szCs w:val="15"/>
                <w:color w:val="auto"/>
              </w:rPr>
            </w:pPr>
          </w:p>
        </w:tc>
        <w:tc>
          <w:tcPr>
            <w:tcW w:w="164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9"/>
              </w:rPr>
              <w:t>outstanding</w:t>
            </w:r>
          </w:p>
        </w:tc>
        <w:tc>
          <w:tcPr>
            <w:tcW w:w="324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89"/>
              </w:rPr>
              <w:t>available for future issuance under</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Plan Category</w:t>
            </w:r>
          </w:p>
        </w:tc>
        <w:tc>
          <w:tcPr>
            <w:tcW w:w="1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of outstanding options,</w:t>
            </w:r>
          </w:p>
        </w:tc>
        <w:tc>
          <w:tcPr>
            <w:tcW w:w="18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options, warrants and</w:t>
            </w:r>
          </w:p>
        </w:tc>
        <w:tc>
          <w:tcPr>
            <w:tcW w:w="324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88"/>
              </w:rPr>
              <w:t>equity compensation plans (excluding</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auto"/>
            </w:tcBorders>
            <w:vMerge w:val="continue"/>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rights</w:t>
            </w:r>
          </w:p>
        </w:tc>
        <w:tc>
          <w:tcPr>
            <w:tcW w:w="32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8"/>
              </w:rPr>
              <w:t>securities reflected in column (a))</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Service-Based Stock Options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3,898,214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32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Performance-Based Stock Options</w:t>
            </w:r>
          </w:p>
        </w:tc>
        <w:tc>
          <w:tcPr>
            <w:tcW w:w="1980" w:type="dxa"/>
            <w:vAlign w:val="bottom"/>
          </w:tcPr>
          <w:p>
            <w:pPr>
              <w:jc w:val="right"/>
              <w:spacing w:after="0"/>
              <w:rPr>
                <w:sz w:val="20"/>
                <w:szCs w:val="20"/>
                <w:color w:val="auto"/>
              </w:rPr>
            </w:pPr>
            <w:r>
              <w:rPr>
                <w:rFonts w:ascii="Arial" w:cs="Arial" w:eastAsia="Arial" w:hAnsi="Arial"/>
                <w:sz w:val="18"/>
                <w:szCs w:val="18"/>
                <w:color w:val="auto"/>
              </w:rPr>
              <w:t>396,909</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16.48</w:t>
            </w:r>
          </w:p>
        </w:tc>
        <w:tc>
          <w:tcPr>
            <w:tcW w:w="3240" w:type="dxa"/>
            <w:vAlign w:val="bottom"/>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Service-Based Restricted Stock Units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338,879</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200" w:type="dxa"/>
            <w:vAlign w:val="bottom"/>
          </w:tcPr>
          <w:p>
            <w:pPr>
              <w:ind w:left="240"/>
              <w:spacing w:after="0"/>
              <w:rPr>
                <w:sz w:val="20"/>
                <w:szCs w:val="20"/>
                <w:color w:val="auto"/>
              </w:rPr>
            </w:pPr>
            <w:r>
              <w:rPr>
                <w:rFonts w:ascii="Arial" w:cs="Arial" w:eastAsia="Arial" w:hAnsi="Arial"/>
                <w:sz w:val="18"/>
                <w:szCs w:val="18"/>
                <w:color w:val="auto"/>
              </w:rPr>
              <w:t>Performance-Based Restricted Stock Units</w:t>
            </w:r>
          </w:p>
        </w:tc>
        <w:tc>
          <w:tcPr>
            <w:tcW w:w="1980" w:type="dxa"/>
            <w:vAlign w:val="bottom"/>
          </w:tcPr>
          <w:p>
            <w:pPr>
              <w:jc w:val="right"/>
              <w:spacing w:after="0"/>
              <w:rPr>
                <w:sz w:val="20"/>
                <w:szCs w:val="20"/>
                <w:color w:val="auto"/>
              </w:rPr>
            </w:pPr>
            <w:r>
              <w:rPr>
                <w:rFonts w:ascii="Arial" w:cs="Arial" w:eastAsia="Arial" w:hAnsi="Arial"/>
                <w:sz w:val="18"/>
                <w:szCs w:val="18"/>
                <w:color w:val="auto"/>
              </w:rPr>
              <w:t>203,918</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N/A</w:t>
            </w:r>
          </w:p>
        </w:tc>
        <w:tc>
          <w:tcPr>
            <w:tcW w:w="3240" w:type="dxa"/>
            <w:vAlign w:val="bottom"/>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2020 Employee Stock Purchase Plan</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2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4200" w:type="dxa"/>
            <w:vAlign w:val="bottom"/>
          </w:tcPr>
          <w:p>
            <w:pPr>
              <w:ind w:left="20"/>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4,837,920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w:t>
            </w:r>
          </w:p>
        </w:tc>
        <w:tc>
          <w:tcPr>
            <w:tcW w:w="3240" w:type="dxa"/>
            <w:vAlign w:val="bottom"/>
          </w:tcPr>
          <w:p>
            <w:pPr>
              <w:jc w:val="right"/>
              <w:ind w:right="2930"/>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firstLine="8"/>
        <w:spacing w:after="0"/>
        <w:tabs>
          <w:tab w:leader="none" w:pos="197" w:val="left"/>
        </w:tabs>
        <w:numPr>
          <w:ilvl w:val="0"/>
          <w:numId w:val="48"/>
        </w:numPr>
        <w:rPr>
          <w:rFonts w:ascii="Arial" w:cs="Arial" w:eastAsia="Arial" w:hAnsi="Arial"/>
          <w:sz w:val="23"/>
          <w:szCs w:val="23"/>
          <w:color w:val="auto"/>
          <w:vertAlign w:val="superscript"/>
        </w:rPr>
      </w:pPr>
      <w:r>
        <w:rPr>
          <w:rFonts w:ascii="Arial" w:cs="Arial" w:eastAsia="Arial" w:hAnsi="Arial"/>
          <w:sz w:val="18"/>
          <w:szCs w:val="18"/>
          <w:color w:val="auto"/>
        </w:rPr>
        <w:t>Of the plans listed above, only 2020 Omnibus Incentive Plan and the 2020 Employee Stock Purchase Plan allows for future grants of securities. The maximum number of shares that may be granted under the 2020 Omnibus Incentive Plan (inclusive of unissued shares that were carried over from the 2011 Unit Incentive Plan) is approximately 4,578,737. Stock options and restricted stock units are counted on a one-for-one basis. Total shares available for future issuance under the 2020 Omnibus Incentive Plan is 3,523,690. The total shares available for issuance under the 2020 Employee Stock Purchase Plan is 1,885,546.</w:t>
      </w:r>
    </w:p>
    <w:p>
      <w:pPr>
        <w:spacing w:after="0" w:line="1" w:lineRule="exact"/>
        <w:rPr>
          <w:rFonts w:ascii="Arial" w:cs="Arial" w:eastAsia="Arial" w:hAnsi="Arial"/>
          <w:sz w:val="23"/>
          <w:szCs w:val="23"/>
          <w:color w:val="auto"/>
          <w:vertAlign w:val="superscript"/>
        </w:rPr>
      </w:pPr>
    </w:p>
    <w:p>
      <w:pPr>
        <w:ind w:left="180" w:hanging="172"/>
        <w:spacing w:after="0" w:line="214" w:lineRule="auto"/>
        <w:tabs>
          <w:tab w:leader="none" w:pos="180" w:val="left"/>
        </w:tabs>
        <w:numPr>
          <w:ilvl w:val="0"/>
          <w:numId w:val="48"/>
        </w:numPr>
        <w:rPr>
          <w:rFonts w:ascii="Arial" w:cs="Arial" w:eastAsia="Arial" w:hAnsi="Arial"/>
          <w:sz w:val="21"/>
          <w:szCs w:val="21"/>
          <w:color w:val="auto"/>
          <w:vertAlign w:val="superscript"/>
        </w:rPr>
      </w:pPr>
      <w:r>
        <w:rPr>
          <w:rFonts w:ascii="Arial" w:cs="Arial" w:eastAsia="Arial" w:hAnsi="Arial"/>
          <w:sz w:val="16"/>
          <w:szCs w:val="16"/>
          <w:color w:val="auto"/>
        </w:rPr>
        <w:t>Weighted average exercise price of outstanding options only.</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 information required by this item will be included in our definitive proxy statement for the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and is incorporated herein by reference.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by this item will be included in our definitive proxy statement for the 2022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54" w:lineRule="exact"/>
        <w:rPr>
          <w:sz w:val="20"/>
          <w:szCs w:val="20"/>
          <w:color w:val="auto"/>
        </w:rPr>
      </w:pPr>
    </w:p>
    <w:p>
      <w:pPr>
        <w:ind w:left="400" w:hanging="374"/>
        <w:spacing w:after="0"/>
        <w:tabs>
          <w:tab w:leader="none" w:pos="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23" w:lineRule="exact"/>
        <w:rPr>
          <w:rFonts w:ascii="Arial" w:cs="Arial" w:eastAsia="Arial" w:hAnsi="Arial"/>
          <w:sz w:val="18"/>
          <w:szCs w:val="18"/>
          <w:color w:val="auto"/>
        </w:rPr>
      </w:pPr>
    </w:p>
    <w:p>
      <w:pPr>
        <w:ind w:left="940" w:right="220" w:hanging="550"/>
        <w:spacing w:after="0" w:line="234" w:lineRule="auto"/>
        <w:tabs>
          <w:tab w:leader="none" w:pos="9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Financial Statements. The consolidated Financial Statements required to be filed hereunder are listed in the Index to Consolidated Financial Statements on page </w:t>
      </w:r>
      <w:hyperlink w:anchor="page68">
        <w:r>
          <w:rPr>
            <w:rFonts w:ascii="Arial" w:cs="Arial" w:eastAsia="Arial" w:hAnsi="Arial"/>
            <w:sz w:val="18"/>
            <w:szCs w:val="18"/>
            <w:color w:val="auto"/>
          </w:rPr>
          <w:t xml:space="preserve">69 </w:t>
        </w:r>
      </w:hyperlink>
      <w:r>
        <w:rPr>
          <w:rFonts w:ascii="Arial" w:cs="Arial" w:eastAsia="Arial" w:hAnsi="Arial"/>
          <w:sz w:val="18"/>
          <w:szCs w:val="18"/>
          <w:color w:val="auto"/>
        </w:rPr>
        <w:t>of this Annual Report on Form 10-K.</w:t>
      </w:r>
    </w:p>
    <w:p>
      <w:pPr>
        <w:spacing w:after="0" w:line="230" w:lineRule="exact"/>
        <w:rPr>
          <w:rFonts w:ascii="Arial" w:cs="Arial" w:eastAsia="Arial" w:hAnsi="Arial"/>
          <w:sz w:val="18"/>
          <w:szCs w:val="18"/>
          <w:color w:val="auto"/>
        </w:rPr>
      </w:pPr>
    </w:p>
    <w:p>
      <w:pPr>
        <w:jc w:val="both"/>
        <w:ind w:left="940" w:hanging="550"/>
        <w:spacing w:after="0" w:line="181" w:lineRule="auto"/>
        <w:tabs>
          <w:tab w:leader="none" w:pos="9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Financial Statement Schedule. The consolidated financial statement schedule to be filed hereunder is included on page </w:t>
      </w:r>
      <w:hyperlink w:anchor="page110">
        <w:r>
          <w:rPr>
            <w:rFonts w:ascii="Arial" w:cs="Arial" w:eastAsia="Arial" w:hAnsi="Arial"/>
            <w:sz w:val="17"/>
            <w:szCs w:val="17"/>
            <w:color w:val="auto"/>
          </w:rPr>
          <w:t xml:space="preserve">111 </w:t>
        </w:r>
      </w:hyperlink>
      <w:r>
        <w:rPr>
          <w:rFonts w:ascii="Arial" w:cs="Arial" w:eastAsia="Arial" w:hAnsi="Arial"/>
          <w:sz w:val="17"/>
          <w:szCs w:val="17"/>
          <w:color w:val="auto"/>
        </w:rPr>
        <w:t>of this Annual Report on Form 10-K. Other schedules have not been included because they are not applicable or because the information is included elsewhere in this report.</w:t>
      </w:r>
    </w:p>
    <w:p>
      <w:pPr>
        <w:spacing w:after="0" w:line="93" w:lineRule="exact"/>
        <w:rPr>
          <w:rFonts w:ascii="Arial" w:cs="Arial" w:eastAsia="Arial" w:hAnsi="Arial"/>
          <w:sz w:val="17"/>
          <w:szCs w:val="17"/>
          <w:color w:val="auto"/>
        </w:rPr>
      </w:pPr>
    </w:p>
    <w:p>
      <w:pPr>
        <w:ind w:left="940" w:right="140" w:hanging="550"/>
        <w:spacing w:after="0" w:line="237" w:lineRule="auto"/>
        <w:tabs>
          <w:tab w:leader="none" w:pos="940" w:val="left"/>
        </w:tabs>
        <w:numPr>
          <w:ilvl w:val="1"/>
          <w:numId w:val="49"/>
        </w:numPr>
        <w:rPr>
          <w:rFonts w:ascii="Arial" w:cs="Arial" w:eastAsia="Arial" w:hAnsi="Arial"/>
          <w:sz w:val="17"/>
          <w:szCs w:val="17"/>
          <w:color w:val="auto"/>
        </w:rPr>
      </w:pPr>
      <w:r>
        <w:rPr>
          <w:rFonts w:ascii="Arial" w:cs="Arial" w:eastAsia="Arial" w:hAnsi="Arial"/>
          <w:sz w:val="17"/>
          <w:szCs w:val="17"/>
          <w:color w:val="auto"/>
        </w:rPr>
        <w:t xml:space="preserve">Exhibits. The Exhibits listed in the Index to Exhibits, which appears on pages </w:t>
      </w:r>
      <w:hyperlink w:anchor="page105">
        <w:r>
          <w:rPr>
            <w:rFonts w:ascii="Arial" w:cs="Arial" w:eastAsia="Arial" w:hAnsi="Arial"/>
            <w:sz w:val="17"/>
            <w:szCs w:val="17"/>
            <w:color w:val="auto"/>
          </w:rPr>
          <w:t xml:space="preserve">106 </w:t>
        </w:r>
      </w:hyperlink>
      <w:r>
        <w:rPr>
          <w:rFonts w:ascii="Arial" w:cs="Arial" w:eastAsia="Arial" w:hAnsi="Arial"/>
          <w:sz w:val="17"/>
          <w:szCs w:val="17"/>
          <w:color w:val="auto"/>
        </w:rPr>
        <w:t xml:space="preserve">to </w:t>
      </w:r>
      <w:hyperlink w:anchor="page109">
        <w:r>
          <w:rPr>
            <w:rFonts w:ascii="Arial" w:cs="Arial" w:eastAsia="Arial" w:hAnsi="Arial"/>
            <w:sz w:val="17"/>
            <w:szCs w:val="17"/>
            <w:color w:val="auto"/>
          </w:rPr>
          <w:t xml:space="preserve">109 </w:t>
        </w:r>
      </w:hyperlink>
      <w:r>
        <w:rPr>
          <w:rFonts w:ascii="Arial" w:cs="Arial" w:eastAsia="Arial" w:hAnsi="Arial"/>
          <w:sz w:val="17"/>
          <w:szCs w:val="17"/>
          <w:color w:val="auto"/>
        </w:rPr>
        <w:t>and is incorporated herein by reference, are filed as part of this Annual Report on Form 10-K. Certain Exhibits are incorporated by reference from documents previously filed by the Company with the SEC pursuant to Rule 12b-32 under the Securities Exchange Act of 1934, as amended.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46" w:lineRule="exact"/>
        <w:rPr>
          <w:rFonts w:ascii="Arial" w:cs="Arial" w:eastAsia="Arial" w:hAnsi="Arial"/>
          <w:sz w:val="17"/>
          <w:szCs w:val="17"/>
          <w:color w:val="auto"/>
        </w:rPr>
      </w:pPr>
    </w:p>
    <w:p>
      <w:pPr>
        <w:jc w:val="center"/>
        <w:ind w:right="-179"/>
        <w:spacing w:after="0"/>
        <w:rPr>
          <w:sz w:val="20"/>
          <w:szCs w:val="20"/>
          <w:color w:val="auto"/>
        </w:rPr>
      </w:pPr>
      <w:r>
        <w:rPr>
          <w:rFonts w:ascii="Arial" w:cs="Arial" w:eastAsia="Arial" w:hAnsi="Arial"/>
          <w:sz w:val="18"/>
          <w:szCs w:val="18"/>
          <w:color w:val="auto"/>
        </w:rPr>
        <w:t>68</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83"/>
        </w:trPr>
        <w:tc>
          <w:tcPr>
            <w:tcW w:w="97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Report of Independent Registered Public Accounting Firm (PCAOB ID No. 34)</w:t>
            </w:r>
          </w:p>
        </w:tc>
        <w:tc>
          <w:tcPr>
            <w:tcW w:w="6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right="660"/>
              <w:spacing w:after="0" w:line="182" w:lineRule="exact"/>
              <w:rPr>
                <w:rFonts w:ascii="Arial" w:cs="Arial" w:eastAsia="Arial" w:hAnsi="Arial"/>
                <w:sz w:val="18"/>
                <w:szCs w:val="18"/>
                <w:color w:val="0000FF"/>
                <w:w w:val="89"/>
              </w:rPr>
            </w:pPr>
            <w:hyperlink w:anchor="page69">
              <w:r>
                <w:rPr>
                  <w:rFonts w:ascii="Arial" w:cs="Arial" w:eastAsia="Arial" w:hAnsi="Arial"/>
                  <w:sz w:val="18"/>
                  <w:szCs w:val="18"/>
                  <w:color w:val="0000FF"/>
                  <w:w w:val="89"/>
                </w:rPr>
                <w:t>70</w:t>
              </w:r>
            </w:hyperlink>
          </w:p>
        </w:tc>
        <w:tc>
          <w:tcPr>
            <w:tcW w:w="0" w:type="dxa"/>
            <w:vAlign w:val="bottom"/>
          </w:tcPr>
          <w:p>
            <w:pPr>
              <w:spacing w:after="0"/>
              <w:rPr>
                <w:sz w:val="1"/>
                <w:szCs w:val="1"/>
                <w:color w:val="auto"/>
              </w:rPr>
            </w:pPr>
          </w:p>
        </w:tc>
      </w:tr>
      <w:tr>
        <w:trPr>
          <w:trHeight w:val="21"/>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rPr>
              <w:t>Consolidated Balance Sheets as of January 29, 2022 and January 30, 2021</w:t>
            </w:r>
          </w:p>
        </w:tc>
        <w:tc>
          <w:tcPr>
            <w:tcW w:w="640" w:type="dxa"/>
            <w:vAlign w:val="bottom"/>
          </w:tcPr>
          <w:p>
            <w:pPr>
              <w:spacing w:after="0"/>
              <w:rPr>
                <w:sz w:val="16"/>
                <w:szCs w:val="16"/>
                <w:color w:val="auto"/>
              </w:rPr>
            </w:pPr>
          </w:p>
        </w:tc>
        <w:tc>
          <w:tcPr>
            <w:tcW w:w="840" w:type="dxa"/>
            <w:vAlign w:val="bottom"/>
            <w:gridSpan w:val="2"/>
          </w:tcPr>
          <w:p>
            <w:pPr>
              <w:jc w:val="center"/>
              <w:ind w:right="660"/>
              <w:spacing w:after="0" w:line="189"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72</w:t>
              </w:r>
            </w:hyperlink>
          </w:p>
        </w:tc>
        <w:tc>
          <w:tcPr>
            <w:tcW w:w="0" w:type="dxa"/>
            <w:vAlign w:val="bottom"/>
          </w:tcPr>
          <w:p>
            <w:pPr>
              <w:spacing w:after="0"/>
              <w:rPr>
                <w:sz w:val="1"/>
                <w:szCs w:val="1"/>
                <w:color w:val="auto"/>
              </w:rPr>
            </w:pP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Consolidated Statements of Income for the fiscal years ended January 29, 2022, January 30, 2021 and February 1, 2020</w:t>
            </w:r>
          </w:p>
        </w:tc>
        <w:tc>
          <w:tcPr>
            <w:tcW w:w="6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center"/>
              <w:ind w:right="660"/>
              <w:spacing w:after="0" w:line="189" w:lineRule="exact"/>
              <w:rPr>
                <w:rFonts w:ascii="Arial" w:cs="Arial" w:eastAsia="Arial" w:hAnsi="Arial"/>
                <w:sz w:val="18"/>
                <w:szCs w:val="18"/>
                <w:color w:val="0000FF"/>
                <w:w w:val="89"/>
              </w:rPr>
            </w:pPr>
            <w:hyperlink w:anchor="page72">
              <w:r>
                <w:rPr>
                  <w:rFonts w:ascii="Arial" w:cs="Arial" w:eastAsia="Arial" w:hAnsi="Arial"/>
                  <w:sz w:val="18"/>
                  <w:szCs w:val="18"/>
                  <w:color w:val="0000FF"/>
                  <w:w w:val="89"/>
                </w:rPr>
                <w:t>73</w:t>
              </w:r>
            </w:hyperlink>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60" w:type="dxa"/>
            <w:vAlign w:val="bottom"/>
          </w:tcPr>
          <w:p>
            <w:pPr>
              <w:ind w:left="20"/>
              <w:spacing w:after="0" w:line="176" w:lineRule="exact"/>
              <w:rPr>
                <w:sz w:val="20"/>
                <w:szCs w:val="20"/>
                <w:color w:val="auto"/>
              </w:rPr>
            </w:pPr>
            <w:r>
              <w:rPr>
                <w:rFonts w:ascii="Arial" w:cs="Arial" w:eastAsia="Arial" w:hAnsi="Arial"/>
                <w:sz w:val="18"/>
                <w:szCs w:val="18"/>
                <w:color w:val="auto"/>
                <w:w w:val="92"/>
              </w:rPr>
              <w:t>Consolidated Statements of Comprehensive Income for the fiscal years ended January 29, 2022, January 30, 2021 and February 1,</w:t>
            </w:r>
          </w:p>
        </w:tc>
        <w:tc>
          <w:tcPr>
            <w:tcW w:w="640" w:type="dxa"/>
            <w:vAlign w:val="bottom"/>
            <w:vMerge w:val="restart"/>
          </w:tcPr>
          <w:p>
            <w:pPr>
              <w:spacing w:after="0"/>
              <w:rPr>
                <w:sz w:val="15"/>
                <w:szCs w:val="15"/>
                <w:color w:val="auto"/>
              </w:rPr>
            </w:pPr>
          </w:p>
        </w:tc>
        <w:tc>
          <w:tcPr>
            <w:tcW w:w="840" w:type="dxa"/>
            <w:vAlign w:val="bottom"/>
            <w:gridSpan w:val="2"/>
            <w:vMerge w:val="restart"/>
          </w:tcPr>
          <w:p>
            <w:pPr>
              <w:jc w:val="center"/>
              <w:ind w:right="660"/>
              <w:spacing w:after="0"/>
              <w:rPr>
                <w:rFonts w:ascii="Arial" w:cs="Arial" w:eastAsia="Arial" w:hAnsi="Arial"/>
                <w:sz w:val="18"/>
                <w:szCs w:val="18"/>
                <w:color w:val="0000FF"/>
                <w:w w:val="89"/>
              </w:rPr>
            </w:pPr>
            <w:hyperlink w:anchor="page73">
              <w:r>
                <w:rPr>
                  <w:rFonts w:ascii="Arial" w:cs="Arial" w:eastAsia="Arial" w:hAnsi="Arial"/>
                  <w:sz w:val="18"/>
                  <w:szCs w:val="18"/>
                  <w:color w:val="0000FF"/>
                  <w:w w:val="89"/>
                </w:rPr>
                <w:t>74</w:t>
              </w:r>
            </w:hyperlink>
          </w:p>
        </w:tc>
        <w:tc>
          <w:tcPr>
            <w:tcW w:w="0" w:type="dxa"/>
            <w:vAlign w:val="bottom"/>
          </w:tcPr>
          <w:p>
            <w:pPr>
              <w:spacing w:after="0"/>
              <w:rPr>
                <w:sz w:val="1"/>
                <w:szCs w:val="1"/>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rPr>
              <w:t>2020</w:t>
            </w:r>
          </w:p>
        </w:tc>
        <w:tc>
          <w:tcPr>
            <w:tcW w:w="6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Consolidated Statements of Stockholders'/Partners' Equity for the fiscal years ended January 29, 2022, January 30, 2021 and February</w:t>
            </w:r>
          </w:p>
        </w:tc>
        <w:tc>
          <w:tcPr>
            <w:tcW w:w="640" w:type="dxa"/>
            <w:vAlign w:val="bottom"/>
            <w:vMerge w:val="restart"/>
            <w:shd w:val="clear" w:color="auto" w:fill="CCEEFF"/>
          </w:tcPr>
          <w:p>
            <w:pPr>
              <w:spacing w:after="0"/>
              <w:rPr>
                <w:sz w:val="15"/>
                <w:szCs w:val="15"/>
                <w:color w:val="auto"/>
              </w:rPr>
            </w:pPr>
          </w:p>
        </w:tc>
        <w:tc>
          <w:tcPr>
            <w:tcW w:w="840" w:type="dxa"/>
            <w:vAlign w:val="bottom"/>
            <w:gridSpan w:val="2"/>
            <w:vMerge w:val="restart"/>
            <w:shd w:val="clear" w:color="auto" w:fill="CCEEFF"/>
          </w:tcPr>
          <w:p>
            <w:pPr>
              <w:jc w:val="center"/>
              <w:ind w:right="660"/>
              <w:spacing w:after="0"/>
              <w:rPr>
                <w:rFonts w:ascii="Arial" w:cs="Arial" w:eastAsia="Arial" w:hAnsi="Arial"/>
                <w:sz w:val="18"/>
                <w:szCs w:val="18"/>
                <w:color w:val="0000FF"/>
                <w:w w:val="89"/>
              </w:rPr>
            </w:pPr>
            <w:hyperlink w:anchor="page74">
              <w:r>
                <w:rPr>
                  <w:rFonts w:ascii="Arial" w:cs="Arial" w:eastAsia="Arial" w:hAnsi="Arial"/>
                  <w:sz w:val="18"/>
                  <w:szCs w:val="18"/>
                  <w:color w:val="0000FF"/>
                  <w:w w:val="89"/>
                </w:rPr>
                <w:t>75</w:t>
              </w:r>
            </w:hyperlink>
          </w:p>
        </w:tc>
        <w:tc>
          <w:tcPr>
            <w:tcW w:w="0" w:type="dxa"/>
            <w:vAlign w:val="bottom"/>
          </w:tcPr>
          <w:p>
            <w:pPr>
              <w:spacing w:after="0"/>
              <w:rPr>
                <w:sz w:val="1"/>
                <w:szCs w:val="1"/>
                <w:color w:val="auto"/>
              </w:rPr>
            </w:pPr>
          </w:p>
        </w:tc>
      </w:tr>
      <w:tr>
        <w:trPr>
          <w:trHeight w:val="189"/>
        </w:trPr>
        <w:tc>
          <w:tcPr>
            <w:tcW w:w="9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1, 2020</w:t>
            </w:r>
          </w:p>
        </w:tc>
        <w:tc>
          <w:tcPr>
            <w:tcW w:w="640" w:type="dxa"/>
            <w:vAlign w:val="bottom"/>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60" w:type="dxa"/>
            <w:vAlign w:val="bottom"/>
          </w:tcPr>
          <w:p>
            <w:pPr>
              <w:ind w:left="20"/>
              <w:spacing w:after="0" w:line="189" w:lineRule="exact"/>
              <w:rPr>
                <w:sz w:val="20"/>
                <w:szCs w:val="20"/>
                <w:color w:val="auto"/>
              </w:rPr>
            </w:pPr>
            <w:r>
              <w:rPr>
                <w:rFonts w:ascii="Arial" w:cs="Arial" w:eastAsia="Arial" w:hAnsi="Arial"/>
                <w:sz w:val="18"/>
                <w:szCs w:val="18"/>
                <w:color w:val="auto"/>
                <w:w w:val="97"/>
              </w:rPr>
              <w:t>Consolidated Statements of Cash Flows for the fiscal years ended January 29, 2022, January 30, 2021 and February 1, 2020</w:t>
            </w:r>
          </w:p>
        </w:tc>
        <w:tc>
          <w:tcPr>
            <w:tcW w:w="640" w:type="dxa"/>
            <w:vAlign w:val="bottom"/>
          </w:tcPr>
          <w:p>
            <w:pPr>
              <w:spacing w:after="0"/>
              <w:rPr>
                <w:sz w:val="16"/>
                <w:szCs w:val="16"/>
                <w:color w:val="auto"/>
              </w:rPr>
            </w:pPr>
          </w:p>
        </w:tc>
        <w:tc>
          <w:tcPr>
            <w:tcW w:w="840" w:type="dxa"/>
            <w:vAlign w:val="bottom"/>
            <w:gridSpan w:val="2"/>
          </w:tcPr>
          <w:p>
            <w:pPr>
              <w:jc w:val="center"/>
              <w:ind w:right="660"/>
              <w:spacing w:after="0" w:line="189" w:lineRule="exact"/>
              <w:rPr>
                <w:rFonts w:ascii="Arial" w:cs="Arial" w:eastAsia="Arial" w:hAnsi="Arial"/>
                <w:sz w:val="18"/>
                <w:szCs w:val="18"/>
                <w:color w:val="0000FF"/>
                <w:w w:val="89"/>
              </w:rPr>
            </w:pPr>
            <w:hyperlink w:anchor="page75">
              <w:r>
                <w:rPr>
                  <w:rFonts w:ascii="Arial" w:cs="Arial" w:eastAsia="Arial" w:hAnsi="Arial"/>
                  <w:sz w:val="18"/>
                  <w:szCs w:val="18"/>
                  <w:color w:val="0000FF"/>
                  <w:w w:val="89"/>
                </w:rPr>
                <w:t>76</w:t>
              </w:r>
            </w:hyperlink>
          </w:p>
        </w:tc>
        <w:tc>
          <w:tcPr>
            <w:tcW w:w="0" w:type="dxa"/>
            <w:vAlign w:val="bottom"/>
          </w:tcPr>
          <w:p>
            <w:pPr>
              <w:spacing w:after="0"/>
              <w:rPr>
                <w:sz w:val="1"/>
                <w:szCs w:val="1"/>
                <w:color w:val="auto"/>
              </w:rPr>
            </w:pPr>
          </w:p>
        </w:tc>
      </w:tr>
      <w:tr>
        <w:trPr>
          <w:trHeight w:val="21"/>
        </w:trPr>
        <w:tc>
          <w:tcPr>
            <w:tcW w:w="9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7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Notes to the Consolidated Financial Statements</w:t>
            </w:r>
          </w:p>
        </w:tc>
        <w:tc>
          <w:tcPr>
            <w:tcW w:w="1480" w:type="dxa"/>
            <w:vAlign w:val="bottom"/>
            <w:gridSpan w:val="3"/>
            <w:shd w:val="clear" w:color="auto" w:fill="CCEEFF"/>
          </w:tcPr>
          <w:p>
            <w:pPr>
              <w:jc w:val="center"/>
              <w:ind w:right="20"/>
              <w:spacing w:after="0" w:line="189" w:lineRule="exact"/>
              <w:rPr>
                <w:rFonts w:ascii="Arial" w:cs="Arial" w:eastAsia="Arial" w:hAnsi="Arial"/>
                <w:sz w:val="18"/>
                <w:szCs w:val="18"/>
                <w:color w:val="0000FF"/>
                <w:w w:val="89"/>
              </w:rPr>
            </w:pPr>
            <w:hyperlink w:anchor="page76">
              <w:r>
                <w:rPr>
                  <w:rFonts w:ascii="Arial" w:cs="Arial" w:eastAsia="Arial" w:hAnsi="Arial"/>
                  <w:sz w:val="18"/>
                  <w:szCs w:val="18"/>
                  <w:color w:val="0000FF"/>
                  <w:w w:val="89"/>
                </w:rPr>
                <w:t>77</w:t>
              </w:r>
            </w:hyperlink>
          </w:p>
        </w:tc>
        <w:tc>
          <w:tcPr>
            <w:tcW w:w="0" w:type="dxa"/>
            <w:vAlign w:val="bottom"/>
          </w:tcPr>
          <w:p>
            <w:pPr>
              <w:spacing w:after="0"/>
              <w:rPr>
                <w:sz w:val="1"/>
                <w:szCs w:val="1"/>
                <w:color w:val="auto"/>
              </w:rPr>
            </w:pPr>
          </w:p>
        </w:tc>
      </w:tr>
      <w:tr>
        <w:trPr>
          <w:trHeight w:val="21"/>
        </w:trPr>
        <w:tc>
          <w:tcPr>
            <w:tcW w:w="97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Academy Sports and Outdoors,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Academy Sports and Outdoors, Inc. and subsidiaries (the "Company") as of January 29, 2022 and January 30, 2021, the related consolidated statements of income, comprehensive income, stockholders'/partners’ equity, and cash flows, for each of the three years in the period ended January 29, 2022, and the related notes and schedule listed in the Index at Item 15 (collectively referred to as the "financial statements"). In our opinion, the financial statements present fairly, in all material respects, the financial position of the Company as of January 29, 2022 and January 30, 2021, and the results of its operations and its cash flows for each of the three years in the period ended January 29, 2022, in conformity with accounting principles generally accepted in the United States of America.</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January 29,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29, 2022 expressed an unqualified opinion on the Company's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January 29, 2022, the Company’s merchandise inventories balance was $1.2 billion. Merchandise inventories are valued at the lower of weighted average cost or net realizable value using the last-in first-out ("LIFO") method and include the direct cost of merchandise and capitalized costs related to procurement, warehousing and distribution and are reflected net of shrinkage, vendor allowances and other valuation accounts.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identified merchandise inventories as a critical audit matter because of the high volume of transactions and because the Company has multiple systems to process and record inventory movements which are highly automated. This required an increased extent of effort, including the need for us to involve professionals with expertise in information technology (IT), to identify, test and evaluate the Company’s systems, software applications and automated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Company’s systems to process merchandise inventory transactions included the following, among others:</w:t>
      </w:r>
    </w:p>
    <w:p>
      <w:pPr>
        <w:spacing w:after="0" w:line="23" w:lineRule="exact"/>
        <w:rPr>
          <w:sz w:val="20"/>
          <w:szCs w:val="20"/>
          <w:color w:val="auto"/>
        </w:rPr>
      </w:pPr>
    </w:p>
    <w:p>
      <w:pPr>
        <w:ind w:left="660" w:right="20" w:hanging="328"/>
        <w:spacing w:after="0" w:line="25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Identified the significant systems used to process inventory transactions and tested the general IT controls over each of these systems, including testing of user access controls, change management controls, and IT operations controls.</w:t>
      </w:r>
    </w:p>
    <w:p>
      <w:pPr>
        <w:ind w:left="660" w:hanging="328"/>
        <w:spacing w:after="0" w:line="25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Performed testing of system interface controls and automated controls within the relevant inventory impacts, as well as the controls designed to ensure the accuracy and completeness of inventory.</w:t>
      </w:r>
    </w:p>
    <w:p>
      <w:pPr>
        <w:ind w:left="660" w:right="20" w:hanging="328"/>
        <w:spacing w:after="0" w:line="250" w:lineRule="auto"/>
        <w:tabs>
          <w:tab w:leader="none" w:pos="65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Obtained an understanding, completed risk assessment procedures, and evaluated the design and tested the operating effectiveness of business process controls over the Company’s significant inventory processes.</w:t>
      </w: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Agreed weighted average cost calculations to source information including third party vendor invoices.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Compared the recorded balance to an expectation we developed for inventory in transit and capitalized overhead.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Performed store and distribution center physical inventory counts.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2022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1996.</w:t>
      </w:r>
    </w:p>
    <w:p>
      <w:pPr>
        <w:spacing w:after="0" w:line="3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29, 2022</w:t>
            </w:r>
          </w:p>
        </w:tc>
        <w:tc>
          <w:tcPr>
            <w:tcW w:w="160" w:type="dxa"/>
            <w:vAlign w:val="bottom"/>
          </w:tcPr>
          <w:p>
            <w:pPr>
              <w:spacing w:after="0"/>
              <w:rPr>
                <w:sz w:val="20"/>
                <w:szCs w:val="20"/>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January 30, 2021</w:t>
            </w:r>
          </w:p>
        </w:tc>
        <w:tc>
          <w:tcPr>
            <w:tcW w:w="0" w:type="dxa"/>
            <w:vAlign w:val="bottom"/>
          </w:tcPr>
          <w:p>
            <w:pPr>
              <w:spacing w:after="0"/>
              <w:rPr>
                <w:sz w:val="1"/>
                <w:szCs w:val="1"/>
                <w:color w:val="auto"/>
              </w:rPr>
            </w:pPr>
          </w:p>
        </w:tc>
      </w:tr>
      <w:tr>
        <w:trPr>
          <w:trHeight w:val="210"/>
        </w:trPr>
        <w:tc>
          <w:tcPr>
            <w:tcW w:w="7600" w:type="dxa"/>
            <w:vAlign w:val="bottom"/>
            <w:tcBorders>
              <w:top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485,998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377,604</w:t>
            </w:r>
          </w:p>
        </w:tc>
        <w:tc>
          <w:tcPr>
            <w:tcW w:w="0" w:type="dxa"/>
            <w:vAlign w:val="bottom"/>
          </w:tcPr>
          <w:p>
            <w:pPr>
              <w:spacing w:after="0"/>
              <w:rPr>
                <w:sz w:val="1"/>
                <w:szCs w:val="1"/>
                <w:color w:val="auto"/>
              </w:rPr>
            </w:pPr>
          </w:p>
        </w:tc>
      </w:tr>
      <w:tr>
        <w:trPr>
          <w:trHeight w:val="229"/>
        </w:trPr>
        <w:tc>
          <w:tcPr>
            <w:tcW w:w="7600" w:type="dxa"/>
            <w:vAlign w:val="bottom"/>
          </w:tcPr>
          <w:p>
            <w:pPr>
              <w:ind w:left="240"/>
              <w:spacing w:after="0"/>
              <w:rPr>
                <w:sz w:val="20"/>
                <w:szCs w:val="20"/>
                <w:color w:val="auto"/>
              </w:rPr>
            </w:pPr>
            <w:r>
              <w:rPr>
                <w:rFonts w:ascii="Arial" w:cs="Arial" w:eastAsia="Arial" w:hAnsi="Arial"/>
                <w:sz w:val="18"/>
                <w:szCs w:val="18"/>
                <w:color w:val="auto"/>
              </w:rPr>
              <w:t>Accounts receivable - less allowance for doubtful accounts of $732 and $1,172, respectively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19,718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17,306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inventories,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1,171,808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990,034</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36,460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28,313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 held for sale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23"/>
        </w:trPr>
        <w:tc>
          <w:tcPr>
            <w:tcW w:w="760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1,715,747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1,415,020</w:t>
            </w:r>
          </w:p>
        </w:tc>
        <w:tc>
          <w:tcPr>
            <w:tcW w:w="0" w:type="dxa"/>
            <w:vAlign w:val="bottom"/>
          </w:tcPr>
          <w:p>
            <w:pPr>
              <w:spacing w:after="0"/>
              <w:rPr>
                <w:sz w:val="1"/>
                <w:szCs w:val="1"/>
                <w:color w:val="auto"/>
              </w:rPr>
            </w:pPr>
          </w:p>
        </w:tc>
      </w:tr>
      <w:tr>
        <w:trPr>
          <w:trHeight w:val="148"/>
        </w:trPr>
        <w:tc>
          <w:tcPr>
            <w:tcW w:w="7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345,836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378,260</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1,079,546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1,143,699</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TRADE NAME</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577,215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577,000</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861,920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4,676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8,583</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4,584,940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4,384,482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7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 AND STOCKHOLDERS' / PARTNERS' EQUITY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737,826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791,404</w:t>
            </w:r>
          </w:p>
        </w:tc>
        <w:tc>
          <w:tcPr>
            <w:tcW w:w="0" w:type="dxa"/>
            <w:vAlign w:val="bottom"/>
          </w:tcPr>
          <w:p>
            <w:pPr>
              <w:spacing w:after="0"/>
              <w:rPr>
                <w:sz w:val="1"/>
                <w:szCs w:val="1"/>
                <w:color w:val="auto"/>
              </w:rPr>
            </w:pPr>
          </w:p>
        </w:tc>
      </w:tr>
      <w:tr>
        <w:trPr>
          <w:trHeight w:val="229"/>
        </w:trPr>
        <w:tc>
          <w:tcPr>
            <w:tcW w:w="760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303,207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291,351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lease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83,077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80,338</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Current maturities of long-term debt</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3,000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1,127,110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1,167,093</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683,585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781,489</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LONG-TERM LEASE LIABILITIES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1,077,667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1,150,088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 NET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217,212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12,420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35,126</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46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3,117,994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3,272,499</w:t>
            </w:r>
          </w:p>
        </w:tc>
        <w:tc>
          <w:tcPr>
            <w:tcW w:w="0" w:type="dxa"/>
            <w:vAlign w:val="bottom"/>
          </w:tcPr>
          <w:p>
            <w:pPr>
              <w:spacing w:after="0"/>
              <w:rPr>
                <w:sz w:val="1"/>
                <w:szCs w:val="1"/>
                <w:color w:val="auto"/>
              </w:rPr>
            </w:pPr>
          </w:p>
        </w:tc>
      </w:tr>
      <w:tr>
        <w:trPr>
          <w:trHeight w:val="128"/>
        </w:trPr>
        <w:tc>
          <w:tcPr>
            <w:tcW w:w="7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AND CONTINGENCIES (NOTE 14)</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REDEEMABLE MEMBERSHIP UNITS</w:t>
            </w:r>
          </w:p>
        </w:tc>
        <w:tc>
          <w:tcPr>
            <w:tcW w:w="16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7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 PARTNERS' EQUITY:</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w w:val="96"/>
              </w:rPr>
              <w:t>Preferred stock, $0.01 par value, authorized 50,000,000 shares; none issued and outstanding</w:t>
            </w: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0"/>
              </w:rPr>
              <w:t>Common stock, $0.01 par value, authorized 300,000,000 shares; 87,079,394 and 91,114,475 issued</w:t>
            </w: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870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outstanding as of January 29, 2022 and January 30, 2021, respectively</w:t>
            </w:r>
          </w:p>
        </w:tc>
        <w:tc>
          <w:tcPr>
            <w:tcW w:w="1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198,016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127,228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1,268,060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987,168</w:t>
            </w:r>
          </w:p>
        </w:tc>
        <w:tc>
          <w:tcPr>
            <w:tcW w:w="0" w:type="dxa"/>
            <w:vAlign w:val="bottom"/>
          </w:tcPr>
          <w:p>
            <w:pPr>
              <w:spacing w:after="0"/>
              <w:rPr>
                <w:sz w:val="1"/>
                <w:szCs w:val="1"/>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(3,324)</w:t>
            </w: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8"/>
                <w:szCs w:val="18"/>
                <w:b w:val="1"/>
                <w:bCs w:val="1"/>
                <w:color w:val="auto"/>
              </w:rPr>
              <w:t>Stockholders' / partners' equity</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1,466,946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1,111,983</w:t>
            </w:r>
          </w:p>
        </w:tc>
        <w:tc>
          <w:tcPr>
            <w:tcW w:w="0" w:type="dxa"/>
            <w:vAlign w:val="bottom"/>
          </w:tcPr>
          <w:p>
            <w:pPr>
              <w:spacing w:after="0"/>
              <w:rPr>
                <w:sz w:val="1"/>
                <w:szCs w:val="1"/>
                <w:color w:val="auto"/>
              </w:rPr>
            </w:pPr>
          </w:p>
        </w:tc>
      </w:tr>
      <w:tr>
        <w:trPr>
          <w:trHeight w:val="223"/>
        </w:trPr>
        <w:tc>
          <w:tcPr>
            <w:tcW w:w="7600" w:type="dxa"/>
            <w:vAlign w:val="bottom"/>
          </w:tcPr>
          <w:p>
            <w:pPr>
              <w:ind w:left="460"/>
              <w:spacing w:after="0"/>
              <w:rPr>
                <w:sz w:val="20"/>
                <w:szCs w:val="20"/>
                <w:color w:val="auto"/>
              </w:rPr>
            </w:pPr>
            <w:r>
              <w:rPr>
                <w:rFonts w:ascii="Arial" w:cs="Arial" w:eastAsia="Arial" w:hAnsi="Arial"/>
                <w:sz w:val="18"/>
                <w:szCs w:val="18"/>
                <w:b w:val="1"/>
                <w:bCs w:val="1"/>
                <w:color w:val="auto"/>
              </w:rPr>
              <w:t>Total liabilities and stockholders' / partners'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4,584,940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4,384,482</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29, 2022</w:t>
            </w:r>
          </w:p>
        </w:tc>
        <w:tc>
          <w:tcPr>
            <w:tcW w:w="140" w:type="dxa"/>
            <w:vAlign w:val="bottom"/>
          </w:tcPr>
          <w:p>
            <w:pPr>
              <w:spacing w:after="0"/>
              <w:rPr>
                <w:sz w:val="19"/>
                <w:szCs w:val="19"/>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January 30, 2021</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February 1, 2020</w:t>
            </w:r>
          </w:p>
        </w:tc>
      </w:tr>
      <w:tr>
        <w:trPr>
          <w:trHeight w:val="223"/>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6,773,128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5,689,233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4,829,897</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4,422,033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3,955,188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3,398,743</w:t>
            </w:r>
          </w:p>
        </w:tc>
      </w:tr>
      <w:tr>
        <w:trPr>
          <w:trHeight w:val="223"/>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MARGIN</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2,351,095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1,734,045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1,431,154</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1,443,148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1,313,647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1,251,733</w:t>
            </w: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907,947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420,398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179,421</w:t>
            </w:r>
          </w:p>
        </w:tc>
      </w:tr>
      <w:tr>
        <w:trPr>
          <w:trHeight w:val="257"/>
        </w:trPr>
        <w:tc>
          <w:tcPr>
            <w:tcW w:w="57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48,989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86,514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101,307</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EARLY RETIREMENT OF DEBT, NET</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(42,265)</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r>
      <w:tr>
        <w:trPr>
          <w:trHeight w:val="223"/>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859,540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122,860</w:t>
            </w:r>
          </w:p>
        </w:tc>
      </w:tr>
      <w:tr>
        <w:trPr>
          <w:trHeight w:val="257"/>
        </w:trPr>
        <w:tc>
          <w:tcPr>
            <w:tcW w:w="5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0" w:type="dxa"/>
            <w:vAlign w:val="bottom"/>
          </w:tcPr>
          <w:p>
            <w:pPr>
              <w:spacing w:after="0"/>
              <w:rPr>
                <w:sz w:val="22"/>
                <w:szCs w:val="22"/>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188,159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r>
      <w:tr>
        <w:trPr>
          <w:trHeight w:val="223"/>
        </w:trPr>
        <w:tc>
          <w:tcPr>
            <w:tcW w:w="5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671,381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308,764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120,043</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1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57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57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7.12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30"/>
        </w:trPr>
        <w:tc>
          <w:tcPr>
            <w:tcW w:w="574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1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90,956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77,994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72,477</w:t>
            </w:r>
          </w:p>
        </w:tc>
      </w:tr>
      <w:tr>
        <w:trPr>
          <w:trHeight w:val="230"/>
        </w:trPr>
        <w:tc>
          <w:tcPr>
            <w:tcW w:w="57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w:t>
            </w:r>
          </w:p>
        </w:tc>
      </w:tr>
    </w:tbl>
    <w:p>
      <w:pPr>
        <w:spacing w:after="0" w:line="51" w:lineRule="exact"/>
        <w:rPr>
          <w:sz w:val="20"/>
          <w:szCs w:val="20"/>
          <w:color w:val="auto"/>
        </w:rPr>
      </w:pPr>
    </w:p>
    <w:p>
      <w:pPr>
        <w:ind w:left="160" w:hanging="152"/>
        <w:spacing w:after="0"/>
        <w:tabs>
          <w:tab w:leader="none" w:pos="16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3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29, 2022</w:t>
            </w:r>
          </w:p>
        </w:tc>
        <w:tc>
          <w:tcPr>
            <w:tcW w:w="160" w:type="dxa"/>
            <w:vAlign w:val="bottom"/>
          </w:tcPr>
          <w:p>
            <w:pPr>
              <w:spacing w:after="0"/>
              <w:rPr>
                <w:sz w:val="19"/>
                <w:szCs w:val="19"/>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30, 2021</w:t>
            </w:r>
          </w:p>
        </w:tc>
        <w:tc>
          <w:tcPr>
            <w:tcW w:w="16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b w:val="1"/>
                <w:bCs w:val="1"/>
                <w:color w:val="auto"/>
                <w:w w:val="95"/>
              </w:rPr>
              <w:t>February 1, 2020</w:t>
            </w:r>
          </w:p>
        </w:tc>
      </w:tr>
      <w:tr>
        <w:trPr>
          <w:trHeight w:val="209"/>
        </w:trPr>
        <w:tc>
          <w:tcPr>
            <w:tcW w:w="5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671,381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308,764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120,043</w:t>
            </w:r>
          </w:p>
        </w:tc>
      </w:tr>
      <w:tr>
        <w:trPr>
          <w:trHeight w:val="230"/>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Unrealized loss on interest rate swaps</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(16,096)</w:t>
            </w:r>
          </w:p>
        </w:tc>
      </w:tr>
      <w:tr>
        <w:trPr>
          <w:trHeight w:val="229"/>
        </w:trPr>
        <w:tc>
          <w:tcPr>
            <w:tcW w:w="5740" w:type="dxa"/>
            <w:vAlign w:val="bottom"/>
          </w:tcPr>
          <w:p>
            <w:pPr>
              <w:ind w:left="240"/>
              <w:spacing w:after="0"/>
              <w:rPr>
                <w:sz w:val="20"/>
                <w:szCs w:val="20"/>
                <w:color w:val="auto"/>
              </w:rPr>
            </w:pPr>
            <w:r>
              <w:rPr>
                <w:rFonts w:ascii="Arial" w:cs="Arial" w:eastAsia="Arial" w:hAnsi="Arial"/>
                <w:sz w:val="18"/>
                <w:szCs w:val="18"/>
                <w:color w:val="auto"/>
              </w:rPr>
              <w:t>Recognized interest (income) expense on interest rate swaps</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2,344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11,045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29"/>
        </w:trPr>
        <w:tc>
          <w:tcPr>
            <w:tcW w:w="5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on swaps from debt refinancing</w:t>
            </w:r>
          </w:p>
        </w:tc>
        <w:tc>
          <w:tcPr>
            <w:tcW w:w="1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Tax benefit (expense)</w:t>
            </w: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674,705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313,506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103,529</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4" w:name="page75"/>
    <w:bookmarkEnd w:id="74"/>
    <w:p>
      <w:pPr>
        <w:jc w:val="center"/>
        <w:ind w:left="20" w:right="20"/>
        <w:spacing w:after="0" w:line="271" w:lineRule="auto"/>
        <w:rPr>
          <w:sz w:val="20"/>
          <w:szCs w:val="20"/>
          <w:color w:val="auto"/>
        </w:rPr>
      </w:pPr>
      <w:r>
        <w:rPr>
          <w:rFonts w:ascii="Arial" w:cs="Arial" w:eastAsia="Arial" w:hAnsi="Arial"/>
          <w:sz w:val="16"/>
          <w:szCs w:val="16"/>
          <w:b w:val="1"/>
          <w:bCs w:val="1"/>
          <w:color w:val="auto"/>
        </w:rPr>
        <w:t>ACADEMY SPORTS AND OUTDOORS, INC. CONSOLIDATED STATEMENTS OF STOCKHOLDERS' / PARTNERS’ EQUITY (Amounts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1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3"/>
              </w:rPr>
              <w:t>Redeemable</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6"/>
              </w:rPr>
              <w:t>Membership</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1180" w:type="dxa"/>
            <w:vAlign w:val="bottom"/>
            <w:gridSpan w:val="4"/>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93"/>
              </w:rPr>
              <w:t>Membership</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5"/>
              </w:rPr>
              <w:t>Units /</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1180" w:type="dxa"/>
            <w:vAlign w:val="bottom"/>
            <w:gridSpan w:val="4"/>
            <w:vMerge w:val="restart"/>
          </w:tcPr>
          <w:p>
            <w:pPr>
              <w:jc w:val="center"/>
              <w:ind w:right="100"/>
              <w:spacing w:after="0"/>
              <w:rPr>
                <w:sz w:val="20"/>
                <w:szCs w:val="20"/>
                <w:color w:val="auto"/>
              </w:rPr>
            </w:pPr>
            <w:r>
              <w:rPr>
                <w:rFonts w:ascii="Arial" w:cs="Arial" w:eastAsia="Arial" w:hAnsi="Arial"/>
                <w:sz w:val="13"/>
                <w:szCs w:val="13"/>
                <w:b w:val="1"/>
                <w:bCs w:val="1"/>
                <w:color w:val="auto"/>
                <w:w w:val="98"/>
              </w:rPr>
              <w:t>Units</w:t>
            </w: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3100" w:type="dxa"/>
            <w:vAlign w:val="bottom"/>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60" w:type="dxa"/>
            <w:vAlign w:val="bottom"/>
            <w:gridSpan w:val="8"/>
            <w:vMerge w:val="restart"/>
          </w:tcPr>
          <w:p>
            <w:pPr>
              <w:spacing w:after="0"/>
              <w:rPr>
                <w:sz w:val="20"/>
                <w:szCs w:val="20"/>
                <w:color w:val="auto"/>
              </w:rPr>
            </w:pPr>
            <w:r>
              <w:rPr>
                <w:rFonts w:ascii="Arial" w:cs="Arial" w:eastAsia="Arial" w:hAnsi="Arial"/>
                <w:sz w:val="13"/>
                <w:szCs w:val="13"/>
                <w:b w:val="1"/>
                <w:bCs w:val="1"/>
                <w:color w:val="auto"/>
              </w:rPr>
              <w:t>Stockholders' / Partners' Equity</w:t>
            </w: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Common Stock</w:t>
            </w:r>
          </w:p>
        </w:tc>
        <w:tc>
          <w:tcPr>
            <w:tcW w:w="0" w:type="dxa"/>
            <w:vAlign w:val="bottom"/>
          </w:tcPr>
          <w:p>
            <w:pPr>
              <w:spacing w:after="0"/>
              <w:rPr>
                <w:sz w:val="1"/>
                <w:szCs w:val="1"/>
                <w:color w:val="auto"/>
              </w:rPr>
            </w:pPr>
          </w:p>
        </w:tc>
      </w:tr>
      <w:tr>
        <w:trPr>
          <w:trHeight w:val="75"/>
        </w:trPr>
        <w:tc>
          <w:tcPr>
            <w:tcW w:w="3100" w:type="dxa"/>
            <w:vAlign w:val="bottom"/>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60" w:type="dxa"/>
            <w:vAlign w:val="bottom"/>
            <w:tcBorders>
              <w:bottom w:val="single" w:sz="8" w:color="auto"/>
            </w:tcBorders>
            <w:gridSpan w:val="8"/>
            <w:vMerge w:val="continue"/>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6"/>
        </w:trPr>
        <w:tc>
          <w:tcPr>
            <w:tcW w:w="3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3"/>
                <w:szCs w:val="13"/>
                <w:b w:val="1"/>
                <w:bCs w:val="1"/>
                <w:color w:val="auto"/>
                <w:w w:val="97"/>
              </w:rPr>
              <w:t>Additional</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w w:val="96"/>
              </w:rPr>
              <w:t>Total</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4"/>
              </w:rPr>
              <w:t>Retained</w:t>
            </w:r>
          </w:p>
        </w:tc>
        <w:tc>
          <w:tcPr>
            <w:tcW w:w="8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7"/>
              </w:rPr>
              <w:t>Other</w:t>
            </w: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1"/>
              </w:rPr>
              <w:t>Stockholders'</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3"/>
            <w:vMerge w:val="restart"/>
          </w:tcPr>
          <w:p>
            <w:pPr>
              <w:jc w:val="right"/>
              <w:ind w:right="73"/>
              <w:spacing w:after="0"/>
              <w:rPr>
                <w:sz w:val="20"/>
                <w:szCs w:val="20"/>
                <w:color w:val="auto"/>
              </w:rPr>
            </w:pPr>
            <w:r>
              <w:rPr>
                <w:rFonts w:ascii="Arial" w:cs="Arial" w:eastAsia="Arial" w:hAnsi="Arial"/>
                <w:sz w:val="13"/>
                <w:szCs w:val="13"/>
                <w:b w:val="1"/>
                <w:bCs w:val="1"/>
                <w:color w:val="auto"/>
              </w:rPr>
              <w:t>Partners' Equity</w:t>
            </w:r>
          </w:p>
        </w:tc>
        <w:tc>
          <w:tcPr>
            <w:tcW w:w="80" w:type="dxa"/>
            <w:vAlign w:val="bottom"/>
            <w:vMerge w:val="restart"/>
          </w:tcPr>
          <w:p>
            <w:pPr>
              <w:spacing w:after="0"/>
              <w:rPr>
                <w:sz w:val="11"/>
                <w:szCs w:val="11"/>
                <w:color w:val="auto"/>
              </w:rPr>
            </w:pPr>
          </w:p>
        </w:tc>
        <w:tc>
          <w:tcPr>
            <w:tcW w:w="116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Comprehensive</w:t>
            </w:r>
          </w:p>
        </w:tc>
        <w:tc>
          <w:tcPr>
            <w:tcW w:w="10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8"/>
              </w:rPr>
              <w:t>/ Partners'</w:t>
            </w: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60" w:type="dxa"/>
            <w:vAlign w:val="bottom"/>
            <w:tcBorders>
              <w:bottom w:val="single" w:sz="8" w:color="auto"/>
            </w:tcBorders>
            <w:gridSpan w:val="4"/>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Earnings</w:t>
            </w:r>
          </w:p>
        </w:tc>
        <w:tc>
          <w:tcPr>
            <w:tcW w:w="80" w:type="dxa"/>
            <w:vAlign w:val="bottom"/>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Income (Loss)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87"/>
              </w:rPr>
              <w:t xml:space="preserve">Units </w:t>
            </w:r>
            <w:r>
              <w:rPr>
                <w:rFonts w:ascii="Arial" w:cs="Arial" w:eastAsia="Arial" w:hAnsi="Arial"/>
                <w:sz w:val="17"/>
                <w:szCs w:val="17"/>
                <w:b w:val="1"/>
                <w:bCs w:val="1"/>
                <w:color w:val="auto"/>
                <w:w w:val="87"/>
                <w:vertAlign w:val="superscript"/>
              </w:rPr>
              <w:t>(1)</w:t>
            </w:r>
          </w:p>
        </w:tc>
        <w:tc>
          <w:tcPr>
            <w:tcW w:w="80" w:type="dxa"/>
            <w:vAlign w:val="bottom"/>
            <w:vMerge w:val="restart"/>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1"/>
                <w:szCs w:val="11"/>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1"/>
              </w:rPr>
              <w:t xml:space="preserve">Units </w:t>
            </w:r>
            <w:r>
              <w:rPr>
                <w:rFonts w:ascii="Arial" w:cs="Arial" w:eastAsia="Arial" w:hAnsi="Arial"/>
                <w:sz w:val="17"/>
                <w:szCs w:val="17"/>
                <w:b w:val="1"/>
                <w:bCs w:val="1"/>
                <w:color w:val="auto"/>
                <w:w w:val="91"/>
                <w:vertAlign w:val="superscript"/>
              </w:rPr>
              <w:t>(1)</w:t>
            </w:r>
          </w:p>
        </w:tc>
        <w:tc>
          <w:tcPr>
            <w:tcW w:w="80" w:type="dxa"/>
            <w:vAlign w:val="bottom"/>
            <w:vMerge w:val="restart"/>
          </w:tcPr>
          <w:p>
            <w:pPr>
              <w:spacing w:after="0"/>
              <w:rPr>
                <w:sz w:val="11"/>
                <w:szCs w:val="11"/>
                <w:color w:val="auto"/>
              </w:rPr>
            </w:pPr>
          </w:p>
        </w:tc>
        <w:tc>
          <w:tcPr>
            <w:tcW w:w="620" w:type="dxa"/>
            <w:vAlign w:val="bottom"/>
            <w:vMerge w:val="restart"/>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80" w:type="dxa"/>
            <w:vAlign w:val="bottom"/>
            <w:vMerge w:val="restart"/>
          </w:tcPr>
          <w:p>
            <w:pPr>
              <w:spacing w:after="0"/>
              <w:rPr>
                <w:sz w:val="11"/>
                <w:szCs w:val="11"/>
                <w:color w:val="auto"/>
              </w:rPr>
            </w:pPr>
          </w:p>
        </w:tc>
        <w:tc>
          <w:tcPr>
            <w:tcW w:w="6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Shares</w:t>
            </w:r>
          </w:p>
        </w:tc>
        <w:tc>
          <w:tcPr>
            <w:tcW w:w="5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vMerge w:val="restart"/>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Units / Shares</w:t>
            </w:r>
          </w:p>
        </w:tc>
        <w:tc>
          <w:tcPr>
            <w:tcW w:w="0" w:type="dxa"/>
            <w:vAlign w:val="bottom"/>
          </w:tcPr>
          <w:p>
            <w:pPr>
              <w:spacing w:after="0"/>
              <w:rPr>
                <w:sz w:val="1"/>
                <w:szCs w:val="1"/>
                <w:color w:val="auto"/>
              </w:rPr>
            </w:pPr>
          </w:p>
        </w:tc>
      </w:tr>
      <w:tr>
        <w:trPr>
          <w:trHeight w:val="135"/>
        </w:trPr>
        <w:tc>
          <w:tcPr>
            <w:tcW w:w="310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560" w:type="dxa"/>
            <w:vAlign w:val="bottom"/>
            <w:tcBorders>
              <w:bottom w:val="single" w:sz="8" w:color="auto"/>
            </w:tcBorders>
          </w:tcPr>
          <w:p>
            <w:pPr>
              <w:ind w:left="220"/>
              <w:spacing w:after="0"/>
              <w:rPr>
                <w:sz w:val="20"/>
                <w:szCs w:val="20"/>
                <w:color w:val="auto"/>
              </w:rPr>
            </w:pPr>
            <w:r>
              <w:rPr>
                <w:rFonts w:ascii="Arial" w:cs="Arial" w:eastAsia="Arial" w:hAnsi="Arial"/>
                <w:sz w:val="9"/>
                <w:szCs w:val="9"/>
                <w:b w:val="1"/>
                <w:bCs w:val="1"/>
                <w:color w:val="auto"/>
              </w:rPr>
              <w:t>(1)</w:t>
            </w:r>
          </w:p>
        </w:tc>
        <w:tc>
          <w:tcPr>
            <w:tcW w:w="80" w:type="dxa"/>
            <w:vAlign w:val="bottom"/>
            <w:tcBorders>
              <w:bottom w:val="single" w:sz="8" w:color="CCEEFF"/>
            </w:tcBorders>
          </w:tcPr>
          <w:p>
            <w:pPr>
              <w:spacing w:after="0"/>
              <w:rPr>
                <w:sz w:val="11"/>
                <w:szCs w:val="11"/>
                <w:color w:val="auto"/>
              </w:rPr>
            </w:pPr>
          </w:p>
        </w:tc>
        <w:tc>
          <w:tcPr>
            <w:tcW w:w="520" w:type="dxa"/>
            <w:vAlign w:val="bottom"/>
            <w:tcBorders>
              <w:bottom w:val="single" w:sz="8" w:color="auto"/>
            </w:tcBorders>
            <w:gridSpan w:val="2"/>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vMerge w:val="continue"/>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(1)</w:t>
            </w:r>
          </w:p>
        </w:tc>
        <w:tc>
          <w:tcPr>
            <w:tcW w:w="0" w:type="dxa"/>
            <w:vAlign w:val="bottom"/>
          </w:tcPr>
          <w:p>
            <w:pPr>
              <w:spacing w:after="0"/>
              <w:rPr>
                <w:sz w:val="1"/>
                <w:szCs w:val="1"/>
                <w:color w:val="auto"/>
              </w:rPr>
            </w:pPr>
          </w:p>
        </w:tc>
      </w:tr>
      <w:tr>
        <w:trPr>
          <w:trHeight w:val="183"/>
        </w:trPr>
        <w:tc>
          <w:tcPr>
            <w:tcW w:w="31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as of February 2, 2019</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1,362</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0"/>
              </w:rPr>
              <w:t>$ 17,885</w:t>
            </w:r>
          </w:p>
        </w:tc>
        <w:tc>
          <w:tcPr>
            <w:tcW w:w="80" w:type="dxa"/>
            <w:vAlign w:val="bottom"/>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71,111</w:t>
            </w:r>
          </w:p>
        </w:tc>
        <w:tc>
          <w:tcPr>
            <w:tcW w:w="8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b w:val="1"/>
                <w:bCs w:val="1"/>
                <w:color w:val="auto"/>
                <w:w w:val="89"/>
              </w:rPr>
              <w:t>$ 848,591</w:t>
            </w:r>
          </w:p>
        </w:tc>
        <w:tc>
          <w:tcPr>
            <w:tcW w:w="8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8,448</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857,039</w:t>
            </w:r>
          </w:p>
        </w:tc>
        <w:tc>
          <w:tcPr>
            <w:tcW w:w="80" w:type="dxa"/>
            <w:vAlign w:val="bottom"/>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72,473</w:t>
            </w:r>
          </w:p>
        </w:tc>
        <w:tc>
          <w:tcPr>
            <w:tcW w:w="0" w:type="dxa"/>
            <w:vAlign w:val="bottom"/>
          </w:tcPr>
          <w:p>
            <w:pPr>
              <w:spacing w:after="0"/>
              <w:rPr>
                <w:sz w:val="1"/>
                <w:szCs w:val="1"/>
                <w:color w:val="auto"/>
              </w:rPr>
            </w:pPr>
          </w:p>
        </w:tc>
      </w:tr>
      <w:tr>
        <w:trPr>
          <w:trHeight w:val="175"/>
        </w:trPr>
        <w:tc>
          <w:tcPr>
            <w:tcW w:w="310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5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120,043</w:t>
            </w:r>
          </w:p>
        </w:tc>
        <w:tc>
          <w:tcPr>
            <w:tcW w:w="8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120,043</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3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Equity compensation</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7,881</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7,881</w:t>
            </w: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3100" w:type="dxa"/>
            <w:vAlign w:val="bottom"/>
          </w:tcPr>
          <w:p>
            <w:pPr>
              <w:ind w:left="220"/>
              <w:spacing w:after="0"/>
              <w:rPr>
                <w:sz w:val="20"/>
                <w:szCs w:val="20"/>
                <w:color w:val="auto"/>
              </w:rPr>
            </w:pPr>
            <w:r>
              <w:rPr>
                <w:rFonts w:ascii="Arial" w:cs="Arial" w:eastAsia="Arial" w:hAnsi="Arial"/>
                <w:sz w:val="13"/>
                <w:szCs w:val="13"/>
                <w:color w:val="auto"/>
              </w:rPr>
              <w:t>Equity contributions from Managers</w:t>
            </w:r>
          </w:p>
        </w:tc>
        <w:tc>
          <w:tcPr>
            <w:tcW w:w="48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52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60" w:type="dxa"/>
            <w:vAlign w:val="bottom"/>
            <w:gridSpan w:val="2"/>
          </w:tcPr>
          <w:p>
            <w:pPr>
              <w:ind w:lef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7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100</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5"/>
        </w:trPr>
        <w:tc>
          <w:tcPr>
            <w:tcW w:w="3100" w:type="dxa"/>
            <w:vAlign w:val="bottom"/>
            <w:shd w:val="clear" w:color="auto" w:fill="CCEEFF"/>
          </w:tcPr>
          <w:p>
            <w:pPr>
              <w:ind w:left="220"/>
              <w:spacing w:after="0" w:line="145" w:lineRule="exact"/>
              <w:rPr>
                <w:sz w:val="20"/>
                <w:szCs w:val="20"/>
                <w:color w:val="auto"/>
              </w:rPr>
            </w:pPr>
            <w:r>
              <w:rPr>
                <w:rFonts w:ascii="Arial" w:cs="Arial" w:eastAsia="Arial" w:hAnsi="Arial"/>
                <w:sz w:val="13"/>
                <w:szCs w:val="13"/>
                <w:color w:val="auto"/>
              </w:rPr>
              <w:t>Adjustment to Redeemable Membership Units for</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8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ind w:lef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contributions from Managers and settlement of</w:t>
            </w:r>
          </w:p>
        </w:tc>
        <w:tc>
          <w:tcPr>
            <w:tcW w:w="4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gridSpan w:val="2"/>
            <w:vMerge w:val="continue"/>
            <w:shd w:val="clear" w:color="auto" w:fill="CCEEFF"/>
          </w:tcPr>
          <w:p>
            <w:pPr>
              <w:spacing w:after="0"/>
              <w:rPr>
                <w:sz w:val="11"/>
                <w:szCs w:val="11"/>
                <w:color w:val="auto"/>
              </w:rPr>
            </w:pPr>
          </w:p>
        </w:tc>
        <w:tc>
          <w:tcPr>
            <w:tcW w:w="6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vested Restricted Units</w:t>
            </w:r>
          </w:p>
        </w:tc>
        <w:tc>
          <w:tcPr>
            <w:tcW w:w="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1">
            <w:col w:w="11240"/>
          </w:cols>
          <w:pgMar w:left="320" w:top="517" w:right="339" w:bottom="1440" w:gutter="0" w:footer="0" w:header="0"/>
        </w:sectPr>
      </w:pPr>
    </w:p>
    <w:p>
      <w:pPr>
        <w:ind w:left="240"/>
        <w:spacing w:after="0" w:line="253" w:lineRule="auto"/>
        <w:rPr>
          <w:sz w:val="20"/>
          <w:szCs w:val="20"/>
          <w:color w:val="auto"/>
        </w:rPr>
      </w:pPr>
      <w:r>
        <w:rPr>
          <w:rFonts w:ascii="Arial" w:cs="Arial" w:eastAsia="Arial" w:hAnsi="Arial"/>
          <w:sz w:val="13"/>
          <w:szCs w:val="13"/>
          <w:color w:val="auto"/>
        </w:rPr>
        <w:t>Adjustment to Redeemable Membership Units for repurchase of units from Managers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Repurchase of Redeemable Membership Units</w:t>
      </w:r>
    </w:p>
    <w:p>
      <w:pPr>
        <w:spacing w:after="0" w:line="40" w:lineRule="exact"/>
        <w:rPr>
          <w:sz w:val="20"/>
          <w:szCs w:val="20"/>
          <w:color w:val="auto"/>
        </w:rPr>
      </w:pPr>
    </w:p>
    <w:p>
      <w:pPr>
        <w:ind w:left="240" w:right="60"/>
        <w:spacing w:after="0" w:line="253" w:lineRule="auto"/>
        <w:rPr>
          <w:sz w:val="20"/>
          <w:szCs w:val="20"/>
          <w:color w:val="auto"/>
        </w:rPr>
      </w:pPr>
      <w:r>
        <w:rPr>
          <w:rFonts w:ascii="Arial" w:cs="Arial" w:eastAsia="Arial" w:hAnsi="Arial"/>
          <w:sz w:val="13"/>
          <w:szCs w:val="13"/>
          <w:color w:val="auto"/>
        </w:rPr>
        <w:t>Reclassification of membership units with lapsed put rights (Note 2)</w:t>
      </w:r>
    </w:p>
    <w:p>
      <w:pPr>
        <w:spacing w:after="0" w:line="9" w:lineRule="exact"/>
        <w:rPr>
          <w:sz w:val="20"/>
          <w:szCs w:val="20"/>
          <w:color w:val="auto"/>
        </w:rPr>
      </w:pPr>
    </w:p>
    <w:p>
      <w:pPr>
        <w:ind w:left="240" w:right="360"/>
        <w:spacing w:after="0" w:line="253" w:lineRule="auto"/>
        <w:rPr>
          <w:sz w:val="20"/>
          <w:szCs w:val="20"/>
          <w:color w:val="auto"/>
        </w:rPr>
      </w:pPr>
      <w:r>
        <w:rPr>
          <w:rFonts w:ascii="Arial" w:cs="Arial" w:eastAsia="Arial" w:hAnsi="Arial"/>
          <w:sz w:val="13"/>
          <w:szCs w:val="13"/>
          <w:color w:val="auto"/>
        </w:rPr>
        <w:t>Cumulative-effect adjustment related to the adoption of the New Lease Standard</w:t>
      </w:r>
    </w:p>
    <w:p>
      <w:pPr>
        <w:spacing w:after="0" w:line="9" w:lineRule="exact"/>
        <w:rPr>
          <w:sz w:val="20"/>
          <w:szCs w:val="20"/>
          <w:color w:val="auto"/>
        </w:rPr>
      </w:pPr>
    </w:p>
    <w:p>
      <w:pPr>
        <w:ind w:left="240" w:right="20"/>
        <w:spacing w:after="0" w:line="331" w:lineRule="auto"/>
        <w:rPr>
          <w:sz w:val="20"/>
          <w:szCs w:val="20"/>
          <w:color w:val="auto"/>
        </w:rPr>
      </w:pPr>
      <w:r>
        <w:rPr>
          <w:rFonts w:ascii="Arial" w:cs="Arial" w:eastAsia="Arial" w:hAnsi="Arial"/>
          <w:sz w:val="12"/>
          <w:szCs w:val="12"/>
          <w:color w:val="auto"/>
        </w:rPr>
        <w:t>Unrealized loss on interest rate swaps Recognized interest income on interest rate swaps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jc w:val="right"/>
              <w:ind w:right="13"/>
              <w:spacing w:after="0"/>
              <w:rPr>
                <w:sz w:val="20"/>
                <w:szCs w:val="20"/>
                <w:color w:val="auto"/>
              </w:rPr>
            </w:pPr>
            <w:r>
              <w:rPr>
                <w:rFonts w:ascii="Arial" w:cs="Arial" w:eastAsia="Arial" w:hAnsi="Arial"/>
                <w:sz w:val="13"/>
                <w:szCs w:val="13"/>
                <w:color w:val="auto"/>
              </w:rPr>
              <w:t>(29)</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(538)</w:t>
            </w:r>
          </w:p>
        </w:tc>
        <w:tc>
          <w:tcPr>
            <w:tcW w:w="620" w:type="dxa"/>
            <w:vAlign w:val="bottom"/>
          </w:tcPr>
          <w:p>
            <w:pPr>
              <w:jc w:val="right"/>
              <w:ind w:right="113"/>
              <w:spacing w:after="0"/>
              <w:rPr>
                <w:sz w:val="20"/>
                <w:szCs w:val="20"/>
                <w:color w:val="auto"/>
              </w:rPr>
            </w:pPr>
            <w:r>
              <w:rPr>
                <w:rFonts w:ascii="Arial" w:cs="Arial" w:eastAsia="Arial" w:hAnsi="Arial"/>
                <w:sz w:val="13"/>
                <w:szCs w:val="13"/>
                <w:color w:val="auto"/>
              </w:rPr>
              <w:t>29</w:t>
            </w:r>
          </w:p>
        </w:tc>
        <w:tc>
          <w:tcPr>
            <w:tcW w:w="780" w:type="dxa"/>
            <w:vAlign w:val="bottom"/>
          </w:tcPr>
          <w:p>
            <w:pPr>
              <w:jc w:val="right"/>
              <w:ind w:right="213"/>
              <w:spacing w:after="0"/>
              <w:rPr>
                <w:sz w:val="20"/>
                <w:szCs w:val="20"/>
                <w:color w:val="auto"/>
              </w:rPr>
            </w:pPr>
            <w:r>
              <w:rPr>
                <w:rFonts w:ascii="Arial" w:cs="Arial" w:eastAsia="Arial" w:hAnsi="Arial"/>
                <w:sz w:val="13"/>
                <w:szCs w:val="13"/>
                <w:color w:val="auto"/>
              </w:rPr>
              <w:t>538</w:t>
            </w:r>
          </w:p>
        </w:tc>
        <w:tc>
          <w:tcPr>
            <w:tcW w:w="600" w:type="dxa"/>
            <w:vAlign w:val="bottom"/>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300"/>
              <w:spacing w:after="0"/>
              <w:rPr>
                <w:sz w:val="20"/>
                <w:szCs w:val="20"/>
                <w:color w:val="auto"/>
              </w:rPr>
            </w:pPr>
            <w:r>
              <w:rPr>
                <w:rFonts w:ascii="Arial" w:cs="Arial" w:eastAsia="Arial" w:hAnsi="Arial"/>
                <w:sz w:val="13"/>
                <w:szCs w:val="13"/>
                <w:color w:val="auto"/>
              </w:rPr>
              <w:t>—</w:t>
            </w:r>
          </w:p>
        </w:tc>
        <w:tc>
          <w:tcPr>
            <w:tcW w:w="760" w:type="dxa"/>
            <w:vAlign w:val="bottom"/>
          </w:tcPr>
          <w:p>
            <w:pPr>
              <w:ind w:left="34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53"/>
              <w:spacing w:after="0"/>
              <w:rPr>
                <w:sz w:val="20"/>
                <w:szCs w:val="20"/>
                <w:color w:val="auto"/>
              </w:rPr>
            </w:pPr>
            <w:r>
              <w:rPr>
                <w:rFonts w:ascii="Arial" w:cs="Arial" w:eastAsia="Arial" w:hAnsi="Arial"/>
                <w:sz w:val="13"/>
                <w:szCs w:val="13"/>
                <w:color w:val="auto"/>
              </w:rPr>
              <w:t>538</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4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73"/>
              <w:spacing w:after="0"/>
              <w:rPr>
                <w:sz w:val="20"/>
                <w:szCs w:val="20"/>
                <w:color w:val="auto"/>
              </w:rPr>
            </w:pPr>
            <w:r>
              <w:rPr>
                <w:rFonts w:ascii="Arial" w:cs="Arial" w:eastAsia="Arial" w:hAnsi="Arial"/>
                <w:sz w:val="13"/>
                <w:szCs w:val="13"/>
                <w:color w:val="auto"/>
              </w:rPr>
              <w:t>(29)</w:t>
            </w:r>
          </w:p>
        </w:tc>
        <w:tc>
          <w:tcPr>
            <w:tcW w:w="780" w:type="dxa"/>
            <w:vAlign w:val="bottom"/>
          </w:tcPr>
          <w:p>
            <w:pPr>
              <w:jc w:val="right"/>
              <w:ind w:right="173"/>
              <w:spacing w:after="0"/>
              <w:rPr>
                <w:sz w:val="20"/>
                <w:szCs w:val="20"/>
                <w:color w:val="auto"/>
              </w:rPr>
            </w:pPr>
            <w:r>
              <w:rPr>
                <w:rFonts w:ascii="Arial" w:cs="Arial" w:eastAsia="Arial" w:hAnsi="Arial"/>
                <w:sz w:val="13"/>
                <w:szCs w:val="13"/>
                <w:color w:val="auto"/>
              </w:rPr>
              <w:t>(473)</w:t>
            </w:r>
          </w:p>
        </w:tc>
        <w:tc>
          <w:tcPr>
            <w:tcW w:w="600" w:type="dxa"/>
            <w:vAlign w:val="bottom"/>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300"/>
              <w:spacing w:after="0"/>
              <w:rPr>
                <w:sz w:val="20"/>
                <w:szCs w:val="20"/>
                <w:color w:val="auto"/>
              </w:rPr>
            </w:pPr>
            <w:r>
              <w:rPr>
                <w:rFonts w:ascii="Arial" w:cs="Arial" w:eastAsia="Arial" w:hAnsi="Arial"/>
                <w:sz w:val="13"/>
                <w:szCs w:val="13"/>
                <w:color w:val="auto"/>
              </w:rPr>
              <w:t>—</w:t>
            </w:r>
          </w:p>
        </w:tc>
        <w:tc>
          <w:tcPr>
            <w:tcW w:w="760" w:type="dxa"/>
            <w:vAlign w:val="bottom"/>
          </w:tcPr>
          <w:p>
            <w:pPr>
              <w:ind w:left="34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13"/>
              <w:spacing w:after="0"/>
              <w:rPr>
                <w:sz w:val="20"/>
                <w:szCs w:val="20"/>
                <w:color w:val="auto"/>
              </w:rPr>
            </w:pPr>
            <w:r>
              <w:rPr>
                <w:rFonts w:ascii="Arial" w:cs="Arial" w:eastAsia="Arial" w:hAnsi="Arial"/>
                <w:sz w:val="13"/>
                <w:szCs w:val="13"/>
                <w:color w:val="auto"/>
              </w:rPr>
              <w:t>(473)</w:t>
            </w:r>
          </w:p>
        </w:tc>
        <w:tc>
          <w:tcPr>
            <w:tcW w:w="62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257"/>
        </w:trPr>
        <w:tc>
          <w:tcPr>
            <w:tcW w:w="460" w:type="dxa"/>
            <w:vAlign w:val="bottom"/>
          </w:tcPr>
          <w:p>
            <w:pPr>
              <w:jc w:val="right"/>
              <w:ind w:right="13"/>
              <w:spacing w:after="0"/>
              <w:rPr>
                <w:sz w:val="20"/>
                <w:szCs w:val="20"/>
                <w:color w:val="auto"/>
              </w:rPr>
            </w:pPr>
            <w:r>
              <w:rPr>
                <w:rFonts w:ascii="Arial" w:cs="Arial" w:eastAsia="Arial" w:hAnsi="Arial"/>
                <w:sz w:val="13"/>
                <w:szCs w:val="13"/>
                <w:color w:val="auto"/>
                <w:w w:val="87"/>
              </w:rPr>
              <w:t>(1,195)</w:t>
            </w:r>
          </w:p>
        </w:tc>
        <w:tc>
          <w:tcPr>
            <w:tcW w:w="680" w:type="dxa"/>
            <w:vAlign w:val="bottom"/>
          </w:tcPr>
          <w:p>
            <w:pPr>
              <w:jc w:val="right"/>
              <w:ind w:right="73"/>
              <w:spacing w:after="0"/>
              <w:rPr>
                <w:sz w:val="20"/>
                <w:szCs w:val="20"/>
                <w:color w:val="auto"/>
              </w:rPr>
            </w:pPr>
            <w:r>
              <w:rPr>
                <w:rFonts w:ascii="Arial" w:cs="Arial" w:eastAsia="Arial" w:hAnsi="Arial"/>
                <w:sz w:val="13"/>
                <w:szCs w:val="13"/>
                <w:color w:val="auto"/>
              </w:rPr>
              <w:t>(14,929)</w:t>
            </w:r>
          </w:p>
        </w:tc>
        <w:tc>
          <w:tcPr>
            <w:tcW w:w="620" w:type="dxa"/>
            <w:vAlign w:val="bottom"/>
          </w:tcPr>
          <w:p>
            <w:pPr>
              <w:jc w:val="right"/>
              <w:ind w:right="113"/>
              <w:spacing w:after="0"/>
              <w:rPr>
                <w:sz w:val="20"/>
                <w:szCs w:val="20"/>
                <w:color w:val="auto"/>
              </w:rPr>
            </w:pPr>
            <w:r>
              <w:rPr>
                <w:rFonts w:ascii="Arial" w:cs="Arial" w:eastAsia="Arial" w:hAnsi="Arial"/>
                <w:sz w:val="13"/>
                <w:szCs w:val="13"/>
                <w:color w:val="auto"/>
              </w:rPr>
              <w:t>1,195</w:t>
            </w:r>
          </w:p>
        </w:tc>
        <w:tc>
          <w:tcPr>
            <w:tcW w:w="780" w:type="dxa"/>
            <w:vAlign w:val="bottom"/>
          </w:tcPr>
          <w:p>
            <w:pPr>
              <w:jc w:val="right"/>
              <w:ind w:right="213"/>
              <w:spacing w:after="0"/>
              <w:rPr>
                <w:sz w:val="20"/>
                <w:szCs w:val="20"/>
                <w:color w:val="auto"/>
              </w:rPr>
            </w:pPr>
            <w:r>
              <w:rPr>
                <w:rFonts w:ascii="Arial" w:cs="Arial" w:eastAsia="Arial" w:hAnsi="Arial"/>
                <w:sz w:val="13"/>
                <w:szCs w:val="13"/>
                <w:color w:val="auto"/>
              </w:rPr>
              <w:t>14,930</w:t>
            </w:r>
          </w:p>
        </w:tc>
        <w:tc>
          <w:tcPr>
            <w:tcW w:w="600" w:type="dxa"/>
            <w:vAlign w:val="bottom"/>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300"/>
              <w:spacing w:after="0"/>
              <w:rPr>
                <w:sz w:val="20"/>
                <w:szCs w:val="20"/>
                <w:color w:val="auto"/>
              </w:rPr>
            </w:pPr>
            <w:r>
              <w:rPr>
                <w:rFonts w:ascii="Arial" w:cs="Arial" w:eastAsia="Arial" w:hAnsi="Arial"/>
                <w:sz w:val="13"/>
                <w:szCs w:val="13"/>
                <w:color w:val="auto"/>
              </w:rPr>
              <w:t>—</w:t>
            </w:r>
          </w:p>
        </w:tc>
        <w:tc>
          <w:tcPr>
            <w:tcW w:w="760" w:type="dxa"/>
            <w:vAlign w:val="bottom"/>
          </w:tcPr>
          <w:p>
            <w:pPr>
              <w:ind w:left="34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53"/>
              <w:spacing w:after="0"/>
              <w:rPr>
                <w:sz w:val="20"/>
                <w:szCs w:val="20"/>
                <w:color w:val="auto"/>
              </w:rPr>
            </w:pPr>
            <w:r>
              <w:rPr>
                <w:rFonts w:ascii="Arial" w:cs="Arial" w:eastAsia="Arial" w:hAnsi="Arial"/>
                <w:sz w:val="13"/>
                <w:szCs w:val="13"/>
                <w:color w:val="auto"/>
              </w:rPr>
              <w:t>14,930</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24"/>
        </w:trPr>
        <w:tc>
          <w:tcPr>
            <w:tcW w:w="4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3"/>
              <w:spacing w:after="0"/>
              <w:rPr>
                <w:sz w:val="20"/>
                <w:szCs w:val="20"/>
                <w:color w:val="auto"/>
              </w:rPr>
            </w:pPr>
            <w:r>
              <w:rPr>
                <w:rFonts w:ascii="Arial" w:cs="Arial" w:eastAsia="Arial" w:hAnsi="Arial"/>
                <w:sz w:val="13"/>
                <w:szCs w:val="13"/>
                <w:color w:val="auto"/>
              </w:rPr>
              <w:t>5,075</w:t>
            </w:r>
          </w:p>
        </w:tc>
        <w:tc>
          <w:tcPr>
            <w:tcW w:w="600" w:type="dxa"/>
            <w:vAlign w:val="bottom"/>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300"/>
              <w:spacing w:after="0"/>
              <w:rPr>
                <w:sz w:val="20"/>
                <w:szCs w:val="20"/>
                <w:color w:val="auto"/>
              </w:rPr>
            </w:pPr>
            <w:r>
              <w:rPr>
                <w:rFonts w:ascii="Arial" w:cs="Arial" w:eastAsia="Arial" w:hAnsi="Arial"/>
                <w:sz w:val="13"/>
                <w:szCs w:val="13"/>
                <w:color w:val="auto"/>
              </w:rPr>
              <w:t>—</w:t>
            </w:r>
          </w:p>
        </w:tc>
        <w:tc>
          <w:tcPr>
            <w:tcW w:w="760" w:type="dxa"/>
            <w:vAlign w:val="bottom"/>
          </w:tcPr>
          <w:p>
            <w:pPr>
              <w:ind w:left="34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9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353"/>
              <w:spacing w:after="0"/>
              <w:rPr>
                <w:sz w:val="20"/>
                <w:szCs w:val="20"/>
                <w:color w:val="auto"/>
              </w:rPr>
            </w:pPr>
            <w:r>
              <w:rPr>
                <w:rFonts w:ascii="Arial" w:cs="Arial" w:eastAsia="Arial" w:hAnsi="Arial"/>
                <w:sz w:val="13"/>
                <w:szCs w:val="13"/>
                <w:color w:val="auto"/>
              </w:rPr>
              <w:t>5,075</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4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00" w:type="dxa"/>
            <w:vAlign w:val="bottom"/>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300"/>
              <w:spacing w:after="0"/>
              <w:rPr>
                <w:sz w:val="20"/>
                <w:szCs w:val="20"/>
                <w:color w:val="auto"/>
              </w:rPr>
            </w:pPr>
            <w:r>
              <w:rPr>
                <w:rFonts w:ascii="Arial" w:cs="Arial" w:eastAsia="Arial" w:hAnsi="Arial"/>
                <w:sz w:val="13"/>
                <w:szCs w:val="13"/>
                <w:color w:val="auto"/>
              </w:rPr>
              <w:t>—</w:t>
            </w:r>
          </w:p>
        </w:tc>
        <w:tc>
          <w:tcPr>
            <w:tcW w:w="760" w:type="dxa"/>
            <w:vAlign w:val="bottom"/>
          </w:tcPr>
          <w:p>
            <w:pPr>
              <w:ind w:left="34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3"/>
              <w:spacing w:after="0"/>
              <w:rPr>
                <w:sz w:val="20"/>
                <w:szCs w:val="20"/>
                <w:color w:val="auto"/>
              </w:rPr>
            </w:pPr>
            <w:r>
              <w:rPr>
                <w:rFonts w:ascii="Arial" w:cs="Arial" w:eastAsia="Arial" w:hAnsi="Arial"/>
                <w:sz w:val="13"/>
                <w:szCs w:val="13"/>
                <w:color w:val="auto"/>
              </w:rPr>
              <w:t>(16,096)</w:t>
            </w:r>
          </w:p>
        </w:tc>
        <w:tc>
          <w:tcPr>
            <w:tcW w:w="1060" w:type="dxa"/>
            <w:vAlign w:val="bottom"/>
          </w:tcPr>
          <w:p>
            <w:pPr>
              <w:jc w:val="right"/>
              <w:ind w:right="313"/>
              <w:spacing w:after="0"/>
              <w:rPr>
                <w:sz w:val="20"/>
                <w:szCs w:val="20"/>
                <w:color w:val="auto"/>
              </w:rPr>
            </w:pPr>
            <w:r>
              <w:rPr>
                <w:rFonts w:ascii="Arial" w:cs="Arial" w:eastAsia="Arial" w:hAnsi="Arial"/>
                <w:sz w:val="13"/>
                <w:szCs w:val="13"/>
                <w:color w:val="auto"/>
              </w:rPr>
              <w:t>(16,096)</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46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1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13"/>
              <w:spacing w:after="0"/>
              <w:rPr>
                <w:sz w:val="20"/>
                <w:szCs w:val="20"/>
                <w:color w:val="auto"/>
              </w:rPr>
            </w:pPr>
            <w:r>
              <w:rPr>
                <w:rFonts w:ascii="Arial" w:cs="Arial" w:eastAsia="Arial" w:hAnsi="Arial"/>
                <w:sz w:val="13"/>
                <w:szCs w:val="13"/>
                <w:color w:val="auto"/>
              </w:rPr>
              <w:t>—</w:t>
            </w:r>
          </w:p>
        </w:tc>
        <w:tc>
          <w:tcPr>
            <w:tcW w:w="600" w:type="dxa"/>
            <w:vAlign w:val="bottom"/>
          </w:tcPr>
          <w:p>
            <w:pPr>
              <w:ind w:left="220"/>
              <w:spacing w:after="0"/>
              <w:rPr>
                <w:sz w:val="20"/>
                <w:szCs w:val="20"/>
                <w:color w:val="auto"/>
              </w:rPr>
            </w:pPr>
            <w:r>
              <w:rPr>
                <w:rFonts w:ascii="Arial" w:cs="Arial" w:eastAsia="Arial" w:hAnsi="Arial"/>
                <w:sz w:val="13"/>
                <w:szCs w:val="13"/>
                <w:color w:val="auto"/>
              </w:rPr>
              <w:t>—</w:t>
            </w:r>
          </w:p>
        </w:tc>
        <w:tc>
          <w:tcPr>
            <w:tcW w:w="680" w:type="dxa"/>
            <w:vAlign w:val="bottom"/>
          </w:tcPr>
          <w:p>
            <w:pPr>
              <w:ind w:left="240"/>
              <w:spacing w:after="0"/>
              <w:rPr>
                <w:sz w:val="20"/>
                <w:szCs w:val="20"/>
                <w:color w:val="auto"/>
              </w:rPr>
            </w:pPr>
            <w:r>
              <w:rPr>
                <w:rFonts w:ascii="Arial" w:cs="Arial" w:eastAsia="Arial" w:hAnsi="Arial"/>
                <w:sz w:val="13"/>
                <w:szCs w:val="13"/>
                <w:color w:val="auto"/>
              </w:rPr>
              <w:t>—</w:t>
            </w:r>
          </w:p>
        </w:tc>
        <w:tc>
          <w:tcPr>
            <w:tcW w:w="760" w:type="dxa"/>
            <w:vAlign w:val="bottom"/>
          </w:tcPr>
          <w:p>
            <w:pPr>
              <w:ind w:left="300"/>
              <w:spacing w:after="0"/>
              <w:rPr>
                <w:sz w:val="20"/>
                <w:szCs w:val="20"/>
                <w:color w:val="auto"/>
              </w:rPr>
            </w:pPr>
            <w:r>
              <w:rPr>
                <w:rFonts w:ascii="Arial" w:cs="Arial" w:eastAsia="Arial" w:hAnsi="Arial"/>
                <w:sz w:val="13"/>
                <w:szCs w:val="13"/>
                <w:color w:val="auto"/>
              </w:rPr>
              <w:t>—</w:t>
            </w:r>
          </w:p>
        </w:tc>
        <w:tc>
          <w:tcPr>
            <w:tcW w:w="760" w:type="dxa"/>
            <w:vAlign w:val="bottom"/>
          </w:tcPr>
          <w:p>
            <w:pPr>
              <w:ind w:left="34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3"/>
              <w:spacing w:after="0"/>
              <w:rPr>
                <w:sz w:val="20"/>
                <w:szCs w:val="20"/>
                <w:color w:val="auto"/>
              </w:rPr>
            </w:pPr>
            <w:r>
              <w:rPr>
                <w:rFonts w:ascii="Arial" w:cs="Arial" w:eastAsia="Arial" w:hAnsi="Arial"/>
                <w:sz w:val="13"/>
                <w:szCs w:val="13"/>
                <w:color w:val="auto"/>
              </w:rPr>
              <w:t>(418)</w:t>
            </w:r>
          </w:p>
        </w:tc>
        <w:tc>
          <w:tcPr>
            <w:tcW w:w="1060" w:type="dxa"/>
            <w:vAlign w:val="bottom"/>
          </w:tcPr>
          <w:p>
            <w:pPr>
              <w:jc w:val="right"/>
              <w:ind w:right="313"/>
              <w:spacing w:after="0"/>
              <w:rPr>
                <w:sz w:val="20"/>
                <w:szCs w:val="20"/>
                <w:color w:val="auto"/>
              </w:rPr>
            </w:pPr>
            <w:r>
              <w:rPr>
                <w:rFonts w:ascii="Arial" w:cs="Arial" w:eastAsia="Arial" w:hAnsi="Arial"/>
                <w:sz w:val="13"/>
                <w:szCs w:val="13"/>
                <w:color w:val="auto"/>
              </w:rPr>
              <w:t>(418)</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-2005330</wp:posOffset>
            </wp:positionH>
            <wp:positionV relativeFrom="paragraph">
              <wp:posOffset>-762000</wp:posOffset>
            </wp:positionV>
            <wp:extent cx="7123430" cy="1200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-436245</wp:posOffset>
            </wp:positionV>
            <wp:extent cx="7123430" cy="2057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-2005330</wp:posOffset>
            </wp:positionH>
            <wp:positionV relativeFrom="paragraph">
              <wp:posOffset>-110490</wp:posOffset>
            </wp:positionV>
            <wp:extent cx="7123430" cy="1200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23430" cy="12001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960" w:space="220"/>
            <w:col w:w="8060"/>
          </w:cols>
          <w:pgMar w:left="320" w:top="517" w:right="339" w:bottom="1440" w:gutter="0" w:footer="0" w:header="0"/>
          <w:type w:val="continuous"/>
        </w:sectPr>
      </w:pPr>
    </w:p>
    <w:tbl>
      <w:tblPr>
        <w:tblLayout w:type="fixed"/>
        <w:tblInd w:w="20" w:type="dxa"/>
        <w:tblCellMar>
          <w:top w:w="0" w:type="dxa"/>
          <w:left w:w="0" w:type="dxa"/>
          <w:bottom w:w="0" w:type="dxa"/>
          <w:right w:w="0" w:type="dxa"/>
        </w:tblCellMar>
      </w:tblPr>
      <w:tr>
        <w:trPr>
          <w:trHeight w:val="176"/>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Balances as of February 1, 2020</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162</w:t>
            </w:r>
          </w:p>
        </w:tc>
        <w:tc>
          <w:tcPr>
            <w:tcW w:w="80" w:type="dxa"/>
            <w:vAlign w:val="bottom"/>
            <w:tcBorders>
              <w:bottom w:val="single" w:sz="8" w:color="CCEEFF"/>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97"/>
              </w:rPr>
              <w:t>$  2,818</w:t>
            </w:r>
          </w:p>
        </w:tc>
        <w:tc>
          <w:tcPr>
            <w:tcW w:w="80" w:type="dxa"/>
            <w:vAlign w:val="bottom"/>
            <w:tcBorders>
              <w:bottom w:val="single" w:sz="8" w:color="CCEEFF"/>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72,306</w:t>
            </w:r>
          </w:p>
        </w:tc>
        <w:tc>
          <w:tcPr>
            <w:tcW w:w="80" w:type="dxa"/>
            <w:vAlign w:val="bottom"/>
            <w:tcBorders>
              <w:bottom w:val="single" w:sz="8" w:color="CCEEFF"/>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9"/>
              </w:rPr>
              <w:t>$ 996,285</w:t>
            </w:r>
          </w:p>
        </w:tc>
        <w:tc>
          <w:tcPr>
            <w:tcW w:w="80" w:type="dxa"/>
            <w:vAlign w:val="bottom"/>
            <w:tcBorders>
              <w:bottom w:val="single" w:sz="8" w:color="CCEEFF"/>
            </w:tcBorders>
          </w:tcPr>
          <w:p>
            <w:pPr>
              <w:spacing w:after="0"/>
              <w:rPr>
                <w:sz w:val="15"/>
                <w:szCs w:val="15"/>
                <w:color w:val="auto"/>
              </w:rPr>
            </w:pPr>
          </w:p>
        </w:tc>
        <w:tc>
          <w:tcPr>
            <w:tcW w:w="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82"/>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w w:val="82"/>
              </w:rPr>
              <w:t>$</w:t>
            </w:r>
          </w:p>
        </w:tc>
        <w:tc>
          <w:tcPr>
            <w:tcW w:w="4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(8,066)</w:t>
            </w:r>
          </w:p>
        </w:tc>
        <w:tc>
          <w:tcPr>
            <w:tcW w:w="8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82"/>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988,219</w:t>
            </w:r>
          </w:p>
        </w:tc>
        <w:tc>
          <w:tcPr>
            <w:tcW w:w="8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72,468</w:t>
            </w:r>
          </w:p>
        </w:tc>
      </w:tr>
      <w:tr>
        <w:trPr>
          <w:trHeight w:val="184"/>
        </w:trPr>
        <w:tc>
          <w:tcPr>
            <w:tcW w:w="310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income</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157,656</w:t>
            </w:r>
          </w:p>
        </w:tc>
        <w:tc>
          <w:tcPr>
            <w:tcW w:w="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48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rPr>
              <w:t>151,108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308,764</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bl>
    <w:p>
      <w:pPr>
        <w:spacing w:after="0" w:line="3" w:lineRule="exact"/>
        <w:rPr>
          <w:sz w:val="20"/>
          <w:szCs w:val="20"/>
          <w:color w:val="auto"/>
        </w:rPr>
      </w:pPr>
    </w:p>
    <w:p>
      <w:pPr>
        <w:sectPr>
          <w:pgSz w:w="11900" w:h="16838" w:orient="portrait"/>
          <w:cols w:equalWidth="0" w:num="1">
            <w:col w:w="11240"/>
          </w:cols>
          <w:pgMar w:left="320" w:top="517" w:right="339" w:bottom="1440" w:gutter="0" w:footer="0" w:header="0"/>
          <w:type w:val="continuous"/>
        </w:sectPr>
      </w:pPr>
    </w:p>
    <w:p>
      <w:pPr>
        <w:ind w:left="240"/>
        <w:spacing w:after="0"/>
        <w:rPr>
          <w:sz w:val="20"/>
          <w:szCs w:val="20"/>
          <w:color w:val="auto"/>
        </w:rPr>
      </w:pPr>
      <w:r>
        <w:rPr>
          <w:rFonts w:ascii="Arial" w:cs="Arial" w:eastAsia="Arial" w:hAnsi="Arial"/>
          <w:sz w:val="13"/>
          <w:szCs w:val="13"/>
          <w:color w:val="auto"/>
        </w:rPr>
        <w:t>Equity compensation</w:t>
      </w:r>
    </w:p>
    <w:p>
      <w:pPr>
        <w:spacing w:after="0" w:line="40" w:lineRule="exact"/>
        <w:rPr>
          <w:sz w:val="20"/>
          <w:szCs w:val="20"/>
          <w:color w:val="auto"/>
        </w:rPr>
      </w:pPr>
    </w:p>
    <w:p>
      <w:pPr>
        <w:ind w:left="240" w:right="120"/>
        <w:spacing w:after="0" w:line="253" w:lineRule="auto"/>
        <w:rPr>
          <w:sz w:val="20"/>
          <w:szCs w:val="20"/>
          <w:color w:val="auto"/>
        </w:rPr>
      </w:pPr>
      <w:r>
        <w:rPr>
          <w:rFonts w:ascii="Arial" w:cs="Arial" w:eastAsia="Arial" w:hAnsi="Arial"/>
          <w:sz w:val="13"/>
          <w:szCs w:val="13"/>
          <w:color w:val="auto"/>
        </w:rPr>
        <w:t>Adjustment to Redeemable Membership Units for settlement of vested Restricted Units</w:t>
      </w:r>
    </w:p>
    <w:p>
      <w:pPr>
        <w:spacing w:after="0" w:line="9" w:lineRule="exact"/>
        <w:rPr>
          <w:sz w:val="20"/>
          <w:szCs w:val="20"/>
          <w:color w:val="auto"/>
        </w:rPr>
      </w:pPr>
    </w:p>
    <w:p>
      <w:pPr>
        <w:ind w:left="240" w:right="120"/>
        <w:spacing w:after="0" w:line="253" w:lineRule="auto"/>
        <w:rPr>
          <w:sz w:val="20"/>
          <w:szCs w:val="20"/>
          <w:color w:val="auto"/>
        </w:rPr>
      </w:pPr>
      <w:r>
        <w:rPr>
          <w:rFonts w:ascii="Arial" w:cs="Arial" w:eastAsia="Arial" w:hAnsi="Arial"/>
          <w:sz w:val="13"/>
          <w:szCs w:val="13"/>
          <w:color w:val="auto"/>
        </w:rPr>
        <w:t>Adjustment to Redeemable Membership Units for repurchase of units from Managers</w:t>
      </w:r>
    </w:p>
    <w:p>
      <w:pPr>
        <w:spacing w:after="0" w:line="9" w:lineRule="exact"/>
        <w:rPr>
          <w:sz w:val="20"/>
          <w:szCs w:val="20"/>
          <w:color w:val="auto"/>
        </w:rPr>
      </w:pPr>
    </w:p>
    <w:p>
      <w:pPr>
        <w:ind w:left="240" w:right="320"/>
        <w:spacing w:after="0" w:line="328" w:lineRule="auto"/>
        <w:rPr>
          <w:sz w:val="20"/>
          <w:szCs w:val="20"/>
          <w:color w:val="auto"/>
        </w:rPr>
      </w:pPr>
      <w:r>
        <w:rPr>
          <w:rFonts w:ascii="Arial" w:cs="Arial" w:eastAsia="Arial" w:hAnsi="Arial"/>
          <w:sz w:val="12"/>
          <w:szCs w:val="12"/>
          <w:color w:val="auto"/>
        </w:rPr>
        <w:t>Repurchase of Redeemable Membership Units Distributions to holders of Membership Units Effect of the Reorganization Transactions</w:t>
      </w:r>
    </w:p>
    <w:p>
      <w:pPr>
        <w:spacing w:after="0" w:line="1" w:lineRule="exact"/>
        <w:rPr>
          <w:sz w:val="20"/>
          <w:szCs w:val="20"/>
          <w:color w:val="auto"/>
        </w:rPr>
      </w:pPr>
    </w:p>
    <w:p>
      <w:pPr>
        <w:ind w:left="240" w:right="440"/>
        <w:spacing w:after="0" w:line="253" w:lineRule="auto"/>
        <w:rPr>
          <w:sz w:val="20"/>
          <w:szCs w:val="20"/>
          <w:color w:val="auto"/>
        </w:rPr>
      </w:pPr>
      <w:r>
        <w:rPr>
          <w:rFonts w:ascii="Arial" w:cs="Arial" w:eastAsia="Arial" w:hAnsi="Arial"/>
          <w:sz w:val="13"/>
          <w:szCs w:val="13"/>
          <w:color w:val="auto"/>
        </w:rPr>
        <w:t>Issuance of common stock in IPO and Over-Allotment, net of Offering Costs</w:t>
      </w:r>
    </w:p>
    <w:p>
      <w:pPr>
        <w:spacing w:after="0" w:line="9" w:lineRule="exact"/>
        <w:rPr>
          <w:sz w:val="20"/>
          <w:szCs w:val="20"/>
          <w:color w:val="auto"/>
        </w:rPr>
      </w:pPr>
    </w:p>
    <w:p>
      <w:pPr>
        <w:ind w:left="240"/>
        <w:spacing w:after="0" w:line="253" w:lineRule="auto"/>
        <w:rPr>
          <w:sz w:val="20"/>
          <w:szCs w:val="20"/>
          <w:color w:val="auto"/>
        </w:rPr>
      </w:pPr>
      <w:r>
        <w:rPr>
          <w:rFonts w:ascii="Arial" w:cs="Arial" w:eastAsia="Arial" w:hAnsi="Arial"/>
          <w:sz w:val="13"/>
          <w:szCs w:val="13"/>
          <w:color w:val="auto"/>
        </w:rPr>
        <w:t>Cumulative tax effect resulting from Reorganization Transactions</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Share-Based Award Payments</w:t>
      </w:r>
    </w:p>
    <w:p>
      <w:pPr>
        <w:spacing w:after="0" w:line="40" w:lineRule="exact"/>
        <w:rPr>
          <w:sz w:val="20"/>
          <w:szCs w:val="20"/>
          <w:color w:val="auto"/>
        </w:rPr>
      </w:pPr>
    </w:p>
    <w:p>
      <w:pPr>
        <w:ind w:left="240" w:right="380"/>
        <w:spacing w:after="0" w:line="253" w:lineRule="auto"/>
        <w:rPr>
          <w:sz w:val="20"/>
          <w:szCs w:val="20"/>
          <w:color w:val="auto"/>
        </w:rPr>
      </w:pPr>
      <w:r>
        <w:rPr>
          <w:rFonts w:ascii="Arial" w:cs="Arial" w:eastAsia="Arial" w:hAnsi="Arial"/>
          <w:sz w:val="13"/>
          <w:szCs w:val="13"/>
          <w:color w:val="auto"/>
        </w:rPr>
        <w:t>Share-Based Award Payments adjustment for forfeitures</w:t>
      </w:r>
    </w:p>
    <w:p>
      <w:pPr>
        <w:spacing w:after="0" w:line="9" w:lineRule="exact"/>
        <w:rPr>
          <w:sz w:val="20"/>
          <w:szCs w:val="20"/>
          <w:color w:val="auto"/>
        </w:rPr>
      </w:pPr>
    </w:p>
    <w:p>
      <w:pPr>
        <w:ind w:left="240" w:right="480"/>
        <w:spacing w:after="0" w:line="303" w:lineRule="auto"/>
        <w:rPr>
          <w:sz w:val="20"/>
          <w:szCs w:val="20"/>
          <w:color w:val="auto"/>
        </w:rPr>
      </w:pPr>
      <w:r>
        <w:rPr>
          <w:rFonts w:ascii="Arial" w:cs="Arial" w:eastAsia="Arial" w:hAnsi="Arial"/>
          <w:sz w:val="13"/>
          <w:szCs w:val="13"/>
          <w:color w:val="auto"/>
        </w:rPr>
        <w:t>Settlement of vested Restricted Stock Units Stock option exercises</w:t>
      </w:r>
    </w:p>
    <w:p>
      <w:pPr>
        <w:spacing w:after="0" w:line="1" w:lineRule="exact"/>
        <w:rPr>
          <w:sz w:val="20"/>
          <w:szCs w:val="20"/>
          <w:color w:val="auto"/>
        </w:rPr>
      </w:pPr>
    </w:p>
    <w:p>
      <w:pPr>
        <w:ind w:left="240" w:right="200"/>
        <w:spacing w:after="0" w:line="253" w:lineRule="auto"/>
        <w:rPr>
          <w:sz w:val="20"/>
          <w:szCs w:val="20"/>
          <w:color w:val="auto"/>
        </w:rPr>
      </w:pPr>
      <w:r>
        <w:rPr>
          <w:rFonts w:ascii="Arial" w:cs="Arial" w:eastAsia="Arial" w:hAnsi="Arial"/>
          <w:sz w:val="13"/>
          <w:szCs w:val="13"/>
          <w:color w:val="auto"/>
        </w:rPr>
        <w:t>Unrealized loss on interest rate swaps (net of tax impact of $350)</w:t>
      </w:r>
    </w:p>
    <w:p>
      <w:pPr>
        <w:spacing w:after="0" w:line="9" w:lineRule="exact"/>
        <w:rPr>
          <w:sz w:val="20"/>
          <w:szCs w:val="20"/>
          <w:color w:val="auto"/>
        </w:rPr>
      </w:pPr>
    </w:p>
    <w:p>
      <w:pPr>
        <w:ind w:left="240" w:right="240"/>
        <w:spacing w:after="0" w:line="253" w:lineRule="auto"/>
        <w:rPr>
          <w:sz w:val="20"/>
          <w:szCs w:val="20"/>
          <w:color w:val="auto"/>
        </w:rPr>
      </w:pPr>
      <w:r>
        <w:rPr>
          <w:rFonts w:ascii="Arial" w:cs="Arial" w:eastAsia="Arial" w:hAnsi="Arial"/>
          <w:sz w:val="13"/>
          <w:szCs w:val="13"/>
          <w:color w:val="auto"/>
        </w:rPr>
        <w:t>Loss on swaps from debt refinancing (net of tax impact of $330)</w:t>
      </w:r>
    </w:p>
    <w:p>
      <w:pPr>
        <w:spacing w:after="0" w:line="9" w:lineRule="exact"/>
        <w:rPr>
          <w:sz w:val="20"/>
          <w:szCs w:val="20"/>
          <w:color w:val="auto"/>
        </w:rPr>
      </w:pPr>
    </w:p>
    <w:p>
      <w:pPr>
        <w:ind w:left="240" w:right="100"/>
        <w:spacing w:after="0" w:line="253" w:lineRule="auto"/>
        <w:rPr>
          <w:sz w:val="20"/>
          <w:szCs w:val="20"/>
          <w:color w:val="auto"/>
        </w:rPr>
      </w:pPr>
      <w:r>
        <w:rPr>
          <w:rFonts w:ascii="Arial" w:cs="Arial" w:eastAsia="Arial" w:hAnsi="Arial"/>
          <w:sz w:val="13"/>
          <w:szCs w:val="13"/>
          <w:color w:val="auto"/>
        </w:rPr>
        <w:t>Recognized interest expense on interest rate swaps (net of tax expense of $1,000)</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as of January 30, 2021</w:t>
      </w:r>
    </w:p>
    <w:p>
      <w:pPr>
        <w:spacing w:after="0" w:line="55" w:lineRule="exact"/>
        <w:rPr>
          <w:sz w:val="20"/>
          <w:szCs w:val="20"/>
          <w:color w:val="auto"/>
        </w:rPr>
      </w:pPr>
    </w:p>
    <w:p>
      <w:pPr>
        <w:ind w:left="240"/>
        <w:spacing w:after="0"/>
        <w:rPr>
          <w:sz w:val="20"/>
          <w:szCs w:val="20"/>
          <w:color w:val="auto"/>
        </w:rPr>
      </w:pPr>
      <w:r>
        <w:rPr>
          <w:rFonts w:ascii="Arial" w:cs="Arial" w:eastAsia="Arial" w:hAnsi="Arial"/>
          <w:sz w:val="13"/>
          <w:szCs w:val="13"/>
          <w:color w:val="auto"/>
        </w:rPr>
        <w:t>Net income</w:t>
      </w:r>
    </w:p>
    <w:p>
      <w:pPr>
        <w:spacing w:after="0" w:line="53" w:lineRule="exact"/>
        <w:rPr>
          <w:sz w:val="20"/>
          <w:szCs w:val="20"/>
          <w:color w:val="auto"/>
        </w:rPr>
      </w:pPr>
    </w:p>
    <w:p>
      <w:pPr>
        <w:ind w:left="240"/>
        <w:spacing w:after="0"/>
        <w:rPr>
          <w:sz w:val="20"/>
          <w:szCs w:val="20"/>
          <w:color w:val="auto"/>
        </w:rPr>
      </w:pPr>
      <w:r>
        <w:rPr>
          <w:rFonts w:ascii="Arial" w:cs="Arial" w:eastAsia="Arial" w:hAnsi="Arial"/>
          <w:sz w:val="13"/>
          <w:szCs w:val="13"/>
          <w:color w:val="auto"/>
        </w:rPr>
        <w:t>Equity compensation</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Repurchase of common stock for retirement</w:t>
      </w:r>
    </w:p>
    <w:p>
      <w:pPr>
        <w:spacing w:after="0" w:line="40"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Settlement of vested Restricted Stock Units</w:t>
      </w:r>
    </w:p>
    <w:p>
      <w:pPr>
        <w:spacing w:after="0" w:line="40" w:lineRule="exact"/>
        <w:rPr>
          <w:sz w:val="20"/>
          <w:szCs w:val="20"/>
          <w:color w:val="auto"/>
        </w:rPr>
      </w:pPr>
    </w:p>
    <w:p>
      <w:pPr>
        <w:ind w:left="240" w:right="380"/>
        <w:spacing w:after="0" w:line="253" w:lineRule="auto"/>
        <w:rPr>
          <w:sz w:val="20"/>
          <w:szCs w:val="20"/>
          <w:color w:val="auto"/>
        </w:rPr>
      </w:pPr>
      <w:r>
        <w:rPr>
          <w:rFonts w:ascii="Arial" w:cs="Arial" w:eastAsia="Arial" w:hAnsi="Arial"/>
          <w:sz w:val="13"/>
          <w:szCs w:val="13"/>
          <w:color w:val="auto"/>
        </w:rPr>
        <w:t>Share-Based Award Payments adjustment for forfeitures</w:t>
      </w:r>
    </w:p>
    <w:p>
      <w:pPr>
        <w:spacing w:after="0" w:line="9" w:lineRule="exact"/>
        <w:rPr>
          <w:sz w:val="20"/>
          <w:szCs w:val="20"/>
          <w:color w:val="auto"/>
        </w:rPr>
      </w:pPr>
    </w:p>
    <w:p>
      <w:pPr>
        <w:ind w:left="240" w:right="180"/>
        <w:spacing w:after="0" w:line="253" w:lineRule="auto"/>
        <w:rPr>
          <w:sz w:val="20"/>
          <w:szCs w:val="20"/>
          <w:color w:val="auto"/>
        </w:rPr>
      </w:pPr>
      <w:r>
        <w:rPr>
          <w:rFonts w:ascii="Arial" w:cs="Arial" w:eastAsia="Arial" w:hAnsi="Arial"/>
          <w:sz w:val="13"/>
          <w:szCs w:val="13"/>
          <w:color w:val="auto"/>
        </w:rPr>
        <w:t>Issuance of common stock under employee stock purchase plan</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3"/>
          <w:szCs w:val="13"/>
          <w:color w:val="auto"/>
        </w:rPr>
        <w:t>Stock option exercises</w:t>
      </w:r>
    </w:p>
    <w:p>
      <w:pPr>
        <w:spacing w:after="0" w:line="40" w:lineRule="exact"/>
        <w:rPr>
          <w:sz w:val="20"/>
          <w:szCs w:val="20"/>
          <w:color w:val="auto"/>
        </w:rPr>
      </w:pPr>
    </w:p>
    <w:p>
      <w:pPr>
        <w:ind w:left="240" w:right="100"/>
        <w:spacing w:after="0" w:line="253" w:lineRule="auto"/>
        <w:rPr>
          <w:sz w:val="20"/>
          <w:szCs w:val="20"/>
          <w:color w:val="auto"/>
        </w:rPr>
      </w:pPr>
      <w:r>
        <w:rPr>
          <w:rFonts w:ascii="Arial" w:cs="Arial" w:eastAsia="Arial" w:hAnsi="Arial"/>
          <w:sz w:val="13"/>
          <w:szCs w:val="13"/>
          <w:color w:val="auto"/>
        </w:rPr>
        <w:t>Recognized interest expense on interest rate swaps (net of tax benefit of $980)</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Balances as of January 29,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3,690</w:t>
            </w:r>
          </w:p>
        </w:tc>
        <w:tc>
          <w:tcPr>
            <w:tcW w:w="8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27,927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31,617</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6"/>
        </w:trPr>
        <w:tc>
          <w:tcPr>
            <w:tcW w:w="480" w:type="dxa"/>
            <w:vAlign w:val="bottom"/>
          </w:tcPr>
          <w:p>
            <w:pPr>
              <w:ind w:left="280"/>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22"/>
                <w:szCs w:val="22"/>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(200)</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324"/>
        </w:trPr>
        <w:tc>
          <w:tcPr>
            <w:tcW w:w="48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13"/>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41</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22"/>
                <w:szCs w:val="2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89"/>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(257,000)</w:t>
            </w:r>
          </w:p>
        </w:tc>
        <w:tc>
          <w:tcPr>
            <w:tcW w:w="8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(257,000)</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480" w:type="dxa"/>
            <w:vAlign w:val="bottom"/>
          </w:tcPr>
          <w:p>
            <w:pPr>
              <w:jc w:val="right"/>
              <w:spacing w:after="0"/>
              <w:rPr>
                <w:sz w:val="20"/>
                <w:szCs w:val="20"/>
                <w:color w:val="auto"/>
              </w:rPr>
            </w:pPr>
            <w:r>
              <w:rPr>
                <w:rFonts w:ascii="Arial" w:cs="Arial" w:eastAsia="Arial" w:hAnsi="Arial"/>
                <w:sz w:val="13"/>
                <w:szCs w:val="13"/>
                <w:color w:val="auto"/>
              </w:rPr>
              <w:t>(172)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w w:val="92"/>
              </w:rPr>
              <w:t>(2,977)</w:t>
            </w:r>
          </w:p>
        </w:tc>
        <w:tc>
          <w:tcPr>
            <w:tcW w:w="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99"/>
              </w:rPr>
              <w:t>(72,306)</w:t>
            </w:r>
          </w:p>
        </w:tc>
        <w:tc>
          <w:tcPr>
            <w:tcW w:w="8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(900,435)</w:t>
            </w:r>
          </w:p>
        </w:tc>
        <w:tc>
          <w:tcPr>
            <w:tcW w:w="80" w:type="dxa"/>
            <w:vAlign w:val="bottom"/>
          </w:tcPr>
          <w:p>
            <w:pPr>
              <w:spacing w:after="0"/>
              <w:rPr>
                <w:sz w:val="16"/>
                <w:szCs w:val="16"/>
                <w:color w:val="auto"/>
              </w:rPr>
            </w:pP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72,478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725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66,627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color w:val="auto"/>
              </w:rPr>
              <w:t>836,060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2,977</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17,432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174</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206,796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206,970</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17,432</w:t>
            </w:r>
          </w:p>
        </w:tc>
      </w:tr>
      <w:tr>
        <w:trPr>
          <w:trHeight w:val="324"/>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w w:val="93"/>
              </w:rPr>
              <w:t>(141,909)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(141,909)</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(32,819)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(32,819)</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6"/>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596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596</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57"/>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802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802</w:t>
            </w:r>
          </w:p>
        </w:tc>
      </w:tr>
      <w:tr>
        <w:trPr>
          <w:trHeight w:val="189"/>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color w:val="auto"/>
              </w:rPr>
              <w:t>402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402</w:t>
            </w:r>
          </w:p>
        </w:tc>
      </w:tr>
      <w:tr>
        <w:trPr>
          <w:trHeight w:val="257"/>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(6,303)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(6,303)</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24"/>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1,000</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324"/>
        </w:trPr>
        <w:tc>
          <w:tcPr>
            <w:tcW w:w="560" w:type="dxa"/>
            <w:vAlign w:val="bottom"/>
            <w:gridSpan w:val="2"/>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10,045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10,045</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81"/>
        </w:trPr>
        <w:tc>
          <w:tcPr>
            <w:tcW w:w="4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176"/>
        </w:trPr>
        <w:tc>
          <w:tcPr>
            <w:tcW w:w="4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91,114</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911</w:t>
            </w:r>
          </w:p>
        </w:tc>
        <w:tc>
          <w:tcPr>
            <w:tcW w:w="8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127,228</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987,168</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(3,324)</w:t>
            </w: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1,111,983</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91,114</w:t>
            </w:r>
          </w:p>
        </w:tc>
      </w:tr>
      <w:tr>
        <w:trPr>
          <w:trHeight w:val="175"/>
        </w:trPr>
        <w:tc>
          <w:tcPr>
            <w:tcW w:w="560" w:type="dxa"/>
            <w:vAlign w:val="bottom"/>
            <w:gridSpan w:val="2"/>
          </w:tcPr>
          <w:p>
            <w:pPr>
              <w:ind w:left="2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20" w:type="dxa"/>
            <w:vAlign w:val="bottom"/>
          </w:tcPr>
          <w:p>
            <w:pPr>
              <w:jc w:val="right"/>
              <w:ind w:right="13"/>
              <w:spacing w:after="0"/>
              <w:rPr>
                <w:sz w:val="20"/>
                <w:szCs w:val="20"/>
                <w:color w:val="auto"/>
              </w:rPr>
            </w:pPr>
            <w:r>
              <w:rPr>
                <w:rFonts w:ascii="Arial" w:cs="Arial" w:eastAsia="Arial" w:hAnsi="Arial"/>
                <w:sz w:val="13"/>
                <w:szCs w:val="13"/>
                <w:b w:val="1"/>
                <w:bCs w:val="1"/>
                <w:color w:val="auto"/>
              </w:rPr>
              <w:t>671,381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671,381</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89"/>
        </w:trPr>
        <w:tc>
          <w:tcPr>
            <w:tcW w:w="560" w:type="dxa"/>
            <w:vAlign w:val="bottom"/>
            <w:gridSpan w:val="2"/>
          </w:tcPr>
          <w:p>
            <w:pPr>
              <w:ind w:left="2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6"/>
                <w:szCs w:val="16"/>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39,264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39,264</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89"/>
        </w:trPr>
        <w:tc>
          <w:tcPr>
            <w:tcW w:w="560" w:type="dxa"/>
            <w:vAlign w:val="bottom"/>
            <w:gridSpan w:val="2"/>
          </w:tcPr>
          <w:p>
            <w:pPr>
              <w:ind w:left="2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rPr>
              <w:t>(10,567)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(20,814)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rPr>
              <w:t>(390,489)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(411,409)</w:t>
            </w: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(10,567)</w:t>
            </w:r>
          </w:p>
        </w:tc>
      </w:tr>
      <w:tr>
        <w:trPr>
          <w:trHeight w:val="189"/>
        </w:trPr>
        <w:tc>
          <w:tcPr>
            <w:tcW w:w="560" w:type="dxa"/>
            <w:vAlign w:val="bottom"/>
            <w:gridSpan w:val="2"/>
          </w:tcPr>
          <w:p>
            <w:pPr>
              <w:ind w:left="2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rPr>
              <w:t>923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923</w:t>
            </w:r>
          </w:p>
        </w:tc>
      </w:tr>
      <w:tr>
        <w:trPr>
          <w:trHeight w:val="256"/>
        </w:trPr>
        <w:tc>
          <w:tcPr>
            <w:tcW w:w="560" w:type="dxa"/>
            <w:vAlign w:val="bottom"/>
            <w:gridSpan w:val="2"/>
          </w:tcPr>
          <w:p>
            <w:pPr>
              <w:ind w:left="2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39</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39</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324"/>
        </w:trPr>
        <w:tc>
          <w:tcPr>
            <w:tcW w:w="560" w:type="dxa"/>
            <w:vAlign w:val="bottom"/>
            <w:gridSpan w:val="2"/>
          </w:tcPr>
          <w:p>
            <w:pPr>
              <w:ind w:left="2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4"/>
                <w:szCs w:val="24"/>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4"/>
                <w:szCs w:val="2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rPr>
              <w:t>114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1</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3,776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24"/>
                <w:szCs w:val="2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3,777</w:t>
            </w:r>
          </w:p>
        </w:tc>
        <w:tc>
          <w:tcPr>
            <w:tcW w:w="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114</w:t>
            </w:r>
          </w:p>
        </w:tc>
      </w:tr>
      <w:tr>
        <w:trPr>
          <w:trHeight w:val="256"/>
        </w:trPr>
        <w:tc>
          <w:tcPr>
            <w:tcW w:w="560" w:type="dxa"/>
            <w:vAlign w:val="bottom"/>
            <w:gridSpan w:val="2"/>
          </w:tcPr>
          <w:p>
            <w:pPr>
              <w:ind w:left="2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rPr>
              <w:t>5,495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55</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48,532</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48,587</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5,495</w:t>
            </w:r>
          </w:p>
        </w:tc>
      </w:tr>
      <w:tr>
        <w:trPr>
          <w:trHeight w:val="256"/>
        </w:trPr>
        <w:tc>
          <w:tcPr>
            <w:tcW w:w="560" w:type="dxa"/>
            <w:vAlign w:val="bottom"/>
            <w:gridSpan w:val="2"/>
          </w:tcPr>
          <w:p>
            <w:pPr>
              <w:ind w:left="2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2"/>
                <w:szCs w:val="22"/>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2"/>
                <w:szCs w:val="22"/>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2"/>
                <w:szCs w:val="2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3,324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3,324</w:t>
            </w:r>
          </w:p>
        </w:tc>
        <w:tc>
          <w:tcPr>
            <w:tcW w:w="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82"/>
        </w:trPr>
        <w:tc>
          <w:tcPr>
            <w:tcW w:w="4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r>
      <w:tr>
        <w:trPr>
          <w:trHeight w:val="176"/>
        </w:trPr>
        <w:tc>
          <w:tcPr>
            <w:tcW w:w="560" w:type="dxa"/>
            <w:vAlign w:val="bottom"/>
            <w:gridSpan w:val="2"/>
          </w:tcPr>
          <w:p>
            <w:pPr>
              <w:ind w:left="2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5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jc w:val="right"/>
              <w:ind w:right="13"/>
              <w:spacing w:after="0"/>
              <w:rPr>
                <w:sz w:val="20"/>
                <w:szCs w:val="20"/>
                <w:color w:val="auto"/>
              </w:rPr>
            </w:pPr>
            <w:r>
              <w:rPr>
                <w:rFonts w:ascii="Arial" w:cs="Arial" w:eastAsia="Arial" w:hAnsi="Arial"/>
                <w:sz w:val="13"/>
                <w:szCs w:val="13"/>
                <w:b w:val="1"/>
                <w:bCs w:val="1"/>
                <w:color w:val="auto"/>
              </w:rPr>
              <w:t>87,079</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870</w:t>
            </w:r>
          </w:p>
        </w:tc>
        <w:tc>
          <w:tcPr>
            <w:tcW w:w="8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rPr>
              <w:t>198,016</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tcPr>
          <w:p>
            <w:pPr>
              <w:jc w:val="right"/>
              <w:ind w:right="13"/>
              <w:spacing w:after="0"/>
              <w:rPr>
                <w:sz w:val="20"/>
                <w:szCs w:val="20"/>
                <w:color w:val="auto"/>
              </w:rPr>
            </w:pPr>
            <w:r>
              <w:rPr>
                <w:rFonts w:ascii="Arial" w:cs="Arial" w:eastAsia="Arial" w:hAnsi="Arial"/>
                <w:sz w:val="13"/>
                <w:szCs w:val="13"/>
                <w:b w:val="1"/>
                <w:bCs w:val="1"/>
                <w:color w:val="auto"/>
                <w:w w:val="89"/>
              </w:rPr>
              <w:t>1,268,060</w:t>
            </w:r>
          </w:p>
        </w:tc>
        <w:tc>
          <w:tcPr>
            <w:tcW w:w="80" w:type="dxa"/>
            <w:vAlign w:val="bottom"/>
          </w:tcPr>
          <w:p>
            <w:pPr>
              <w:spacing w:after="0"/>
              <w:rPr>
                <w:sz w:val="15"/>
                <w:szCs w:val="15"/>
                <w:color w:val="auto"/>
              </w:rPr>
            </w:pPr>
          </w:p>
        </w:tc>
        <w:tc>
          <w:tcPr>
            <w:tcW w:w="300" w:type="dxa"/>
            <w:vAlign w:val="bottom"/>
          </w:tcPr>
          <w:p>
            <w:pPr>
              <w:jc w:val="right"/>
              <w:ind w:right="153"/>
              <w:spacing w:after="0"/>
              <w:rPr>
                <w:sz w:val="20"/>
                <w:szCs w:val="20"/>
                <w:color w:val="auto"/>
              </w:rPr>
            </w:pPr>
            <w:r>
              <w:rPr>
                <w:rFonts w:ascii="Arial" w:cs="Arial" w:eastAsia="Arial" w:hAnsi="Arial"/>
                <w:sz w:val="13"/>
                <w:szCs w:val="13"/>
                <w:b w:val="1"/>
                <w:bCs w:val="1"/>
                <w:color w:val="auto"/>
                <w:w w:val="82"/>
              </w:rPr>
              <w:t>$</w:t>
            </w:r>
          </w:p>
        </w:tc>
        <w:tc>
          <w:tcPr>
            <w:tcW w:w="72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jc w:val="right"/>
              <w:ind w:right="13"/>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1,466,946</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87,079</w:t>
            </w:r>
          </w:p>
        </w:tc>
      </w:tr>
      <w:tr>
        <w:trPr>
          <w:trHeight w:val="27"/>
        </w:trPr>
        <w:tc>
          <w:tcPr>
            <w:tcW w:w="4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4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4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-1967230</wp:posOffset>
            </wp:positionH>
            <wp:positionV relativeFrom="paragraph">
              <wp:posOffset>-3882390</wp:posOffset>
            </wp:positionV>
            <wp:extent cx="7123430" cy="205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-3470910</wp:posOffset>
            </wp:positionV>
            <wp:extent cx="7123430" cy="1200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-3230880</wp:posOffset>
            </wp:positionV>
            <wp:extent cx="7123430" cy="1200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-2905125</wp:posOffset>
            </wp:positionV>
            <wp:extent cx="7123430" cy="2057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-2579370</wp:posOffset>
            </wp:positionV>
            <wp:extent cx="7123430" cy="2057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-2253615</wp:posOffset>
            </wp:positionV>
            <wp:extent cx="7123430" cy="1200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-1928495</wp:posOffset>
            </wp:positionV>
            <wp:extent cx="7123430" cy="2057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-1517015</wp:posOffset>
            </wp:positionV>
            <wp:extent cx="7123430" cy="128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-1259840</wp:posOffset>
            </wp:positionV>
            <wp:extent cx="7123430" cy="120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-1019175</wp:posOffset>
            </wp:positionV>
            <wp:extent cx="7123430" cy="1200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-693420</wp:posOffset>
            </wp:positionV>
            <wp:extent cx="7123430" cy="2057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-1967230</wp:posOffset>
            </wp:positionH>
            <wp:positionV relativeFrom="paragraph">
              <wp:posOffset>-367665</wp:posOffset>
            </wp:positionV>
            <wp:extent cx="7123430" cy="2057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23430" cy="20574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80" w:space="40"/>
            <w:col w:w="8120"/>
          </w:cols>
          <w:pgMar w:left="320" w:top="517"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00" w:type="dxa"/>
            <w:vAlign w:val="bottom"/>
          </w:tcPr>
          <w:p>
            <w:pPr>
              <w:jc w:val="right"/>
              <w:spacing w:after="0"/>
              <w:rPr>
                <w:sz w:val="20"/>
                <w:szCs w:val="20"/>
                <w:color w:val="auto"/>
              </w:rPr>
            </w:pPr>
            <w:r>
              <w:rPr>
                <w:rFonts w:ascii="Arial" w:cs="Arial" w:eastAsia="Arial" w:hAnsi="Arial"/>
                <w:sz w:val="9"/>
                <w:szCs w:val="9"/>
                <w:color w:val="auto"/>
              </w:rPr>
              <w:t>(1)</w:t>
            </w:r>
          </w:p>
        </w:tc>
        <w:tc>
          <w:tcPr>
            <w:tcW w:w="3820" w:type="dxa"/>
            <w:vAlign w:val="bottom"/>
            <w:vMerge w:val="restart"/>
          </w:tcPr>
          <w:p>
            <w:pPr>
              <w:ind w:left="20"/>
              <w:spacing w:after="0"/>
              <w:rPr>
                <w:sz w:val="20"/>
                <w:szCs w:val="20"/>
                <w:color w:val="auto"/>
              </w:rPr>
            </w:pPr>
            <w:r>
              <w:rPr>
                <w:rFonts w:ascii="Arial" w:cs="Arial" w:eastAsia="Arial" w:hAnsi="Arial"/>
                <w:sz w:val="13"/>
                <w:szCs w:val="13"/>
                <w:color w:val="auto"/>
                <w:w w:val="98"/>
              </w:rPr>
              <w:t>See Retrospective Presentation of Ownership Exchange in Note 2.</w:t>
            </w:r>
          </w:p>
        </w:tc>
        <w:tc>
          <w:tcPr>
            <w:tcW w:w="7220" w:type="dxa"/>
            <w:vAlign w:val="bottom"/>
          </w:tcPr>
          <w:p>
            <w:pPr>
              <w:jc w:val="right"/>
              <w:ind w:right="5355"/>
              <w:spacing w:after="0" w:line="189"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3820" w:type="dxa"/>
            <w:vAlign w:val="bottom"/>
            <w:vMerge w:val="continue"/>
          </w:tcPr>
          <w:p>
            <w:pPr>
              <w:spacing w:after="0"/>
              <w:rPr>
                <w:sz w:val="17"/>
                <w:szCs w:val="17"/>
                <w:color w:val="auto"/>
              </w:rPr>
            </w:pPr>
          </w:p>
        </w:tc>
        <w:tc>
          <w:tcPr>
            <w:tcW w:w="7220" w:type="dxa"/>
            <w:vAlign w:val="bottom"/>
          </w:tcPr>
          <w:p>
            <w:pPr>
              <w:jc w:val="right"/>
              <w:ind w:right="3815"/>
              <w:spacing w:after="0"/>
              <w:rPr>
                <w:sz w:val="20"/>
                <w:szCs w:val="20"/>
                <w:color w:val="auto"/>
              </w:rPr>
            </w:pPr>
            <w:r>
              <w:rPr>
                <w:rFonts w:ascii="Arial" w:cs="Arial" w:eastAsia="Arial" w:hAnsi="Arial"/>
                <w:sz w:val="16"/>
                <w:szCs w:val="16"/>
                <w:color w:val="auto"/>
                <w:w w:val="95"/>
              </w:rPr>
              <w:t>See Notes to Consolidated Financial Statements</w:t>
            </w:r>
          </w:p>
        </w:tc>
        <w:tc>
          <w:tcPr>
            <w:tcW w:w="0" w:type="dxa"/>
            <w:vAlign w:val="bottom"/>
          </w:tcPr>
          <w:p>
            <w:pPr>
              <w:spacing w:after="0"/>
              <w:rPr>
                <w:sz w:val="1"/>
                <w:szCs w:val="1"/>
                <w:color w:val="auto"/>
              </w:rPr>
            </w:pPr>
          </w:p>
        </w:tc>
      </w:tr>
      <w:tr>
        <w:trPr>
          <w:trHeight w:val="192"/>
        </w:trPr>
        <w:tc>
          <w:tcPr>
            <w:tcW w:w="200" w:type="dxa"/>
            <w:vAlign w:val="bottom"/>
            <w:tcBorders>
              <w:bottom w:val="single" w:sz="8" w:color="9A9A9A"/>
            </w:tcBorders>
          </w:tcPr>
          <w:p>
            <w:pPr>
              <w:spacing w:after="0"/>
              <w:rPr>
                <w:sz w:val="16"/>
                <w:szCs w:val="16"/>
                <w:color w:val="auto"/>
              </w:rPr>
            </w:pPr>
          </w:p>
        </w:tc>
        <w:tc>
          <w:tcPr>
            <w:tcW w:w="3820" w:type="dxa"/>
            <w:vAlign w:val="bottom"/>
            <w:tcBorders>
              <w:bottom w:val="single" w:sz="8" w:color="9A9A9A"/>
            </w:tcBorders>
          </w:tcPr>
          <w:p>
            <w:pPr>
              <w:spacing w:after="0"/>
              <w:rPr>
                <w:sz w:val="16"/>
                <w:szCs w:val="16"/>
                <w:color w:val="auto"/>
              </w:rPr>
            </w:pPr>
          </w:p>
        </w:tc>
        <w:tc>
          <w:tcPr>
            <w:tcW w:w="7220" w:type="dxa"/>
            <w:vAlign w:val="bottom"/>
            <w:tcBorders>
              <w:bottom w:val="single" w:sz="8" w:color="9A9A9A"/>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type w:val="continuous"/>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w w:val="96"/>
              </w:rPr>
              <w:t>Fiscal Year Ended</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87"/>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January 29, 2022</w:t>
            </w:r>
          </w:p>
        </w:tc>
        <w:tc>
          <w:tcPr>
            <w:tcW w:w="160" w:type="dxa"/>
            <w:vAlign w:val="bottom"/>
          </w:tcPr>
          <w:p>
            <w:pPr>
              <w:spacing w:after="0"/>
              <w:rPr>
                <w:sz w:val="16"/>
                <w:szCs w:val="16"/>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January 30, 2021</w:t>
            </w:r>
          </w:p>
        </w:tc>
        <w:tc>
          <w:tcPr>
            <w:tcW w:w="180" w:type="dxa"/>
            <w:vAlign w:val="bottom"/>
          </w:tcPr>
          <w:p>
            <w:pPr>
              <w:spacing w:after="0"/>
              <w:rPr>
                <w:sz w:val="16"/>
                <w:szCs w:val="16"/>
                <w:color w:val="auto"/>
              </w:rPr>
            </w:pPr>
          </w:p>
        </w:tc>
        <w:tc>
          <w:tcPr>
            <w:tcW w:w="1460" w:type="dxa"/>
            <w:vAlign w:val="bottom"/>
          </w:tcPr>
          <w:p>
            <w:pPr>
              <w:jc w:val="right"/>
              <w:ind w:right="228"/>
              <w:spacing w:after="0"/>
              <w:rPr>
                <w:sz w:val="20"/>
                <w:szCs w:val="20"/>
                <w:color w:val="auto"/>
              </w:rPr>
            </w:pPr>
            <w:r>
              <w:rPr>
                <w:rFonts w:ascii="Arial" w:cs="Arial" w:eastAsia="Arial" w:hAnsi="Arial"/>
                <w:sz w:val="14"/>
                <w:szCs w:val="14"/>
                <w:b w:val="1"/>
                <w:bCs w:val="1"/>
                <w:color w:val="auto"/>
              </w:rPr>
              <w:t>February 1, 2020</w:t>
            </w:r>
          </w:p>
        </w:tc>
      </w:tr>
      <w:tr>
        <w:trPr>
          <w:trHeight w:val="170"/>
        </w:trPr>
        <w:tc>
          <w:tcPr>
            <w:tcW w:w="6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FLOWS FROM OPERATING ACTIVITIES:</w:t>
            </w:r>
          </w:p>
        </w:tc>
        <w:tc>
          <w:tcPr>
            <w:tcW w:w="22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671,381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308,764</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120,043</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8"/>
        </w:trPr>
        <w:tc>
          <w:tcPr>
            <w:tcW w:w="606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105,274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105,481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117,254</w:t>
            </w:r>
          </w:p>
        </w:tc>
      </w:tr>
      <w:tr>
        <w:trPr>
          <w:trHeight w:val="190"/>
        </w:trPr>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lease expense</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13,880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3,965</w:t>
            </w:r>
          </w:p>
        </w:tc>
      </w:tr>
      <w:tr>
        <w:trPr>
          <w:trHeight w:val="188"/>
        </w:trPr>
        <w:tc>
          <w:tcPr>
            <w:tcW w:w="6060" w:type="dxa"/>
            <w:vAlign w:val="bottom"/>
          </w:tcPr>
          <w:p>
            <w:pPr>
              <w:ind w:left="460"/>
              <w:spacing w:after="0"/>
              <w:rPr>
                <w:sz w:val="20"/>
                <w:szCs w:val="20"/>
                <w:color w:val="auto"/>
              </w:rPr>
            </w:pPr>
            <w:r>
              <w:rPr>
                <w:rFonts w:ascii="Arial" w:cs="Arial" w:eastAsia="Arial" w:hAnsi="Arial"/>
                <w:sz w:val="14"/>
                <w:szCs w:val="14"/>
                <w:color w:val="auto"/>
              </w:rPr>
              <w:t>Equity compensation</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39,264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31,617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7,881</w:t>
            </w:r>
          </w:p>
        </w:tc>
      </w:tr>
      <w:tr>
        <w:trPr>
          <w:trHeight w:val="190"/>
        </w:trPr>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Amortization of terminated interest rate swaps, deferred loan and other costs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5,524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3,717</w:t>
            </w:r>
          </w:p>
        </w:tc>
      </w:tr>
      <w:tr>
        <w:trPr>
          <w:trHeight w:val="188"/>
        </w:trPr>
        <w:tc>
          <w:tcPr>
            <w:tcW w:w="6060" w:type="dxa"/>
            <w:vAlign w:val="bottom"/>
          </w:tcPr>
          <w:p>
            <w:pPr>
              <w:ind w:left="460"/>
              <w:spacing w:after="0"/>
              <w:rPr>
                <w:sz w:val="20"/>
                <w:szCs w:val="20"/>
                <w:color w:val="auto"/>
              </w:rPr>
            </w:pPr>
            <w:r>
              <w:rPr>
                <w:rFonts w:ascii="Arial" w:cs="Arial" w:eastAsia="Arial" w:hAnsi="Arial"/>
                <w:sz w:val="14"/>
                <w:szCs w:val="14"/>
                <w:color w:val="auto"/>
              </w:rPr>
              <w:t>Loss on swaps from debt refinancing</w:t>
            </w:r>
          </w:p>
        </w:tc>
        <w:tc>
          <w:tcPr>
            <w:tcW w:w="22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1,330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income taxes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79,490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w:t>
            </w:r>
          </w:p>
        </w:tc>
      </w:tr>
      <w:tr>
        <w:trPr>
          <w:trHeight w:val="188"/>
        </w:trPr>
        <w:tc>
          <w:tcPr>
            <w:tcW w:w="6060" w:type="dxa"/>
            <w:vAlign w:val="bottom"/>
          </w:tcPr>
          <w:p>
            <w:pPr>
              <w:ind w:left="460"/>
              <w:spacing w:after="0"/>
              <w:rPr>
                <w:sz w:val="20"/>
                <w:szCs w:val="20"/>
                <w:color w:val="auto"/>
              </w:rPr>
            </w:pPr>
            <w:r>
              <w:rPr>
                <w:rFonts w:ascii="Arial" w:cs="Arial" w:eastAsia="Arial" w:hAnsi="Arial"/>
                <w:sz w:val="14"/>
                <w:szCs w:val="14"/>
                <w:color w:val="auto"/>
              </w:rPr>
              <w:t>Non-cash (gain) loss on early retirement of debt, net</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2,239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(3,582)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(42,265)</w:t>
            </w:r>
          </w:p>
        </w:tc>
      </w:tr>
      <w:tr>
        <w:trPr>
          <w:trHeight w:val="190"/>
        </w:trPr>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Gain on disposal of property and equipment</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8"/>
        </w:trPr>
        <w:tc>
          <w:tcPr>
            <w:tcW w:w="6060" w:type="dxa"/>
            <w:vAlign w:val="bottom"/>
          </w:tcPr>
          <w:p>
            <w:pPr>
              <w:ind w:left="460"/>
              <w:spacing w:after="0"/>
              <w:rPr>
                <w:sz w:val="20"/>
                <w:szCs w:val="20"/>
                <w:color w:val="auto"/>
              </w:rPr>
            </w:pPr>
            <w:r>
              <w:rPr>
                <w:rFonts w:ascii="Arial" w:cs="Arial" w:eastAsia="Arial" w:hAnsi="Arial"/>
                <w:sz w:val="14"/>
                <w:szCs w:val="14"/>
                <w:color w:val="auto"/>
              </w:rPr>
              <w:t>Casualty loss</w:t>
            </w:r>
          </w:p>
        </w:tc>
        <w:tc>
          <w:tcPr>
            <w:tcW w:w="22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569</w:t>
            </w:r>
          </w:p>
        </w:tc>
      </w:tr>
      <w:tr>
        <w:trPr>
          <w:trHeight w:val="190"/>
        </w:trPr>
        <w:tc>
          <w:tcPr>
            <w:tcW w:w="60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Changes in assets and liabilities: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8"/>
        </w:trPr>
        <w:tc>
          <w:tcPr>
            <w:tcW w:w="6060" w:type="dxa"/>
            <w:vAlign w:val="bottom"/>
          </w:tcPr>
          <w:p>
            <w:pPr>
              <w:ind w:left="680"/>
              <w:spacing w:after="0"/>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(2,412)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(2,981)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4,476</w:t>
            </w:r>
          </w:p>
        </w:tc>
      </w:tr>
      <w:tr>
        <w:trPr>
          <w:trHeight w:val="190"/>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Merchandise inventories, net</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(181,774)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109,520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34,407</w:t>
            </w:r>
          </w:p>
        </w:tc>
      </w:tr>
      <w:tr>
        <w:trPr>
          <w:trHeight w:val="188"/>
        </w:trPr>
        <w:tc>
          <w:tcPr>
            <w:tcW w:w="6060" w:type="dxa"/>
            <w:vAlign w:val="bottom"/>
          </w:tcPr>
          <w:p>
            <w:pPr>
              <w:ind w:left="680"/>
              <w:spacing w:after="0"/>
              <w:rPr>
                <w:sz w:val="20"/>
                <w:szCs w:val="20"/>
                <w:color w:val="auto"/>
              </w:rPr>
            </w:pPr>
            <w:r>
              <w:rPr>
                <w:rFonts w:ascii="Arial" w:cs="Arial" w:eastAsia="Arial" w:hAnsi="Arial"/>
                <w:sz w:val="14"/>
                <w:szCs w:val="14"/>
                <w:color w:val="auto"/>
              </w:rPr>
              <w:t>Prepaid expenses and other current assets</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(8,147)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(3,732)</w:t>
            </w:r>
          </w:p>
        </w:tc>
      </w:tr>
      <w:tr>
        <w:trPr>
          <w:trHeight w:val="190"/>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noncurrent assets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2,759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188"/>
        </w:trPr>
        <w:tc>
          <w:tcPr>
            <w:tcW w:w="6060" w:type="dxa"/>
            <w:vAlign w:val="bottom"/>
          </w:tcPr>
          <w:p>
            <w:pPr>
              <w:ind w:left="68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(50,627)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361,518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(2,904)</w:t>
            </w:r>
          </w:p>
        </w:tc>
      </w:tr>
      <w:tr>
        <w:trPr>
          <w:trHeight w:val="190"/>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Accrued expenses and other current liabilities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31,935</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57,376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20,615</w:t>
            </w:r>
          </w:p>
        </w:tc>
      </w:tr>
      <w:tr>
        <w:trPr>
          <w:trHeight w:val="188"/>
        </w:trPr>
        <w:tc>
          <w:tcPr>
            <w:tcW w:w="6060" w:type="dxa"/>
            <w:vAlign w:val="bottom"/>
          </w:tcPr>
          <w:p>
            <w:pPr>
              <w:ind w:left="680"/>
              <w:spacing w:after="0"/>
              <w:rPr>
                <w:sz w:val="20"/>
                <w:szCs w:val="20"/>
                <w:color w:val="auto"/>
              </w:rPr>
            </w:pPr>
            <w:r>
              <w:rPr>
                <w:rFonts w:ascii="Arial" w:cs="Arial" w:eastAsia="Arial" w:hAnsi="Arial"/>
                <w:sz w:val="14"/>
                <w:szCs w:val="14"/>
                <w:color w:val="auto"/>
              </w:rPr>
              <w:t>Income taxes payable</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(14,129)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14,124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shd w:val="clear" w:color="auto" w:fill="CCEEFF"/>
          </w:tcPr>
          <w:p>
            <w:pPr>
              <w:ind w:left="68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(1,984)</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14,400</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r>
      <w:tr>
        <w:trPr>
          <w:trHeight w:val="181"/>
        </w:trPr>
        <w:tc>
          <w:tcPr>
            <w:tcW w:w="6060" w:type="dxa"/>
            <w:vAlign w:val="bottom"/>
            <w:tcBorders>
              <w:bottom w:val="single" w:sz="8" w:color="CCEEFF"/>
            </w:tcBorders>
          </w:tcPr>
          <w:p>
            <w:pPr>
              <w:ind w:left="90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673,265</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1,011,597</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263,669</w:t>
            </w:r>
          </w:p>
        </w:tc>
      </w:tr>
      <w:tr>
        <w:trPr>
          <w:trHeight w:val="89"/>
        </w:trPr>
        <w:tc>
          <w:tcPr>
            <w:tcW w:w="60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r>
      <w:tr>
        <w:trPr>
          <w:trHeight w:val="186"/>
        </w:trPr>
        <w:tc>
          <w:tcPr>
            <w:tcW w:w="606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2"/>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Capital expenditures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(75,802)</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(62,818)</w:t>
            </w: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Purchases of intangible assets</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(215)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the sale of property and equipment</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Note receivable from member</w:t>
            </w:r>
          </w:p>
        </w:tc>
        <w:tc>
          <w:tcPr>
            <w:tcW w:w="22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8,125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(3,988)</w:t>
            </w:r>
          </w:p>
        </w:tc>
      </w:tr>
      <w:tr>
        <w:trPr>
          <w:trHeight w:val="183"/>
        </w:trPr>
        <w:tc>
          <w:tcPr>
            <w:tcW w:w="60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(76,017)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(33,144)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(66,783)</w:t>
            </w:r>
          </w:p>
        </w:tc>
      </w:tr>
      <w:tr>
        <w:trPr>
          <w:trHeight w:val="89"/>
        </w:trPr>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Proceeds from ABL Facility</w:t>
            </w:r>
          </w:p>
        </w:tc>
        <w:tc>
          <w:tcPr>
            <w:tcW w:w="22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500,000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502,500</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ABL Facility</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(502,500)</w:t>
            </w: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Proceeds from Term Loan, net of discount</w:t>
            </w:r>
          </w:p>
        </w:tc>
        <w:tc>
          <w:tcPr>
            <w:tcW w:w="22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396,000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Repayment of Term Loan</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(102,250)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(1,461,072)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(122,819)</w:t>
            </w: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Proceeds from Notes</w:t>
            </w:r>
          </w:p>
        </w:tc>
        <w:tc>
          <w:tcPr>
            <w:tcW w:w="22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400,000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Debt issuance fees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Share-Based Award Payments</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(11,214)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(20,970)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Distribution</w:t>
            </w:r>
          </w:p>
        </w:tc>
        <w:tc>
          <w:tcPr>
            <w:tcW w:w="2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(257,000)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Equity contributions from Managers</w:t>
            </w:r>
          </w:p>
        </w:tc>
        <w:tc>
          <w:tcPr>
            <w:tcW w:w="22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exercise of stock options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48,587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Proceeds from issuance of common stock, net of Offering Costs</w:t>
            </w:r>
          </w:p>
        </w:tc>
        <w:tc>
          <w:tcPr>
            <w:tcW w:w="22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206,970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issuance of common stock under employee stock purchase program</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3,777</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Taxes paid related to net share settlement of equity awards</w:t>
            </w:r>
          </w:p>
        </w:tc>
        <w:tc>
          <w:tcPr>
            <w:tcW w:w="2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(15,418)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Repurchase of common stock for retirement</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(411,409)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Repurchase of Redeemable Membership Units</w:t>
            </w:r>
          </w:p>
        </w:tc>
        <w:tc>
          <w:tcPr>
            <w:tcW w:w="22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(473)</w:t>
            </w:r>
          </w:p>
        </w:tc>
      </w:tr>
      <w:tr>
        <w:trPr>
          <w:trHeight w:val="183"/>
        </w:trPr>
        <w:tc>
          <w:tcPr>
            <w:tcW w:w="60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4"/>
                <w:szCs w:val="14"/>
                <w:color w:val="auto"/>
              </w:rPr>
              <w:t>Net cash used in financing activities</w:t>
            </w: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(488,854)</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(750,234)</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(123,192)</w:t>
            </w:r>
          </w:p>
        </w:tc>
      </w:tr>
      <w:tr>
        <w:trPr>
          <w:trHeight w:val="89"/>
        </w:trPr>
        <w:tc>
          <w:tcPr>
            <w:tcW w:w="6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60" w:type="dxa"/>
            <w:vAlign w:val="bottom"/>
          </w:tcPr>
          <w:p>
            <w:pPr>
              <w:spacing w:after="0"/>
              <w:rPr>
                <w:sz w:val="7"/>
                <w:szCs w:val="7"/>
                <w:color w:val="auto"/>
              </w:rPr>
            </w:pP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108,394</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228,219</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73,694</w:t>
            </w:r>
          </w:p>
        </w:tc>
      </w:tr>
      <w:tr>
        <w:trPr>
          <w:trHeight w:val="188"/>
        </w:trPr>
        <w:tc>
          <w:tcPr>
            <w:tcW w:w="6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377,604</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149,385</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75,691</w:t>
            </w:r>
          </w:p>
        </w:tc>
      </w:tr>
      <w:tr>
        <w:trPr>
          <w:trHeight w:val="209"/>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485,998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377,604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149,385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6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SUPPLEMENTAL DISCLOSURES OF CASH FLOW INFORMATION:</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Cash paid for interest</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44,710</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87,163</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93,556</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paid for income taxes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125,040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15,527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2,588</w:t>
            </w:r>
          </w:p>
        </w:tc>
      </w:tr>
      <w:tr>
        <w:trPr>
          <w:trHeight w:val="108"/>
        </w:trPr>
        <w:tc>
          <w:tcPr>
            <w:tcW w:w="6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189"/>
        </w:trPr>
        <w:tc>
          <w:tcPr>
            <w:tcW w:w="6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NON-CASH INVESTING AND FINANCING ACTIVITIES:</w:t>
            </w:r>
          </w:p>
        </w:tc>
        <w:tc>
          <w:tcPr>
            <w:tcW w:w="2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88"/>
        </w:trPr>
        <w:tc>
          <w:tcPr>
            <w:tcW w:w="6060" w:type="dxa"/>
            <w:vAlign w:val="bottom"/>
          </w:tcPr>
          <w:p>
            <w:pPr>
              <w:ind w:left="240"/>
              <w:spacing w:after="0"/>
              <w:rPr>
                <w:sz w:val="20"/>
                <w:szCs w:val="20"/>
                <w:color w:val="auto"/>
              </w:rPr>
            </w:pPr>
            <w:r>
              <w:rPr>
                <w:rFonts w:ascii="Arial" w:cs="Arial" w:eastAsia="Arial" w:hAnsi="Arial"/>
                <w:sz w:val="14"/>
                <w:szCs w:val="14"/>
                <w:color w:val="auto"/>
              </w:rPr>
              <w:t>Non-cash issuance of common stock</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501</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2,646</w:t>
            </w:r>
          </w:p>
        </w:tc>
        <w:tc>
          <w:tcPr>
            <w:tcW w:w="8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0"/>
        </w:trPr>
        <w:tc>
          <w:tcPr>
            <w:tcW w:w="60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capital expenditures in accounts payable and accrued liabilities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2,951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r>
    </w:tbl>
    <w:p>
      <w:pPr>
        <w:jc w:val="center"/>
        <w:spacing w:after="0" w:line="205" w:lineRule="auto"/>
        <w:rPr>
          <w:sz w:val="20"/>
          <w:szCs w:val="20"/>
          <w:color w:val="auto"/>
        </w:rPr>
      </w:pPr>
      <w:r>
        <w:rPr>
          <w:rFonts w:ascii="Arial" w:cs="Arial" w:eastAsia="Arial" w:hAnsi="Arial"/>
          <w:sz w:val="18"/>
          <w:szCs w:val="18"/>
          <w:color w:val="auto"/>
        </w:rPr>
        <w:t>See Notes to Consolidated Financial Statements</w:t>
      </w:r>
    </w:p>
    <w:p>
      <w:pPr>
        <w:jc w:val="center"/>
        <w:ind w:right="-1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Operations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left="340" w:firstLine="324"/>
        <w:spacing w:after="0" w:line="254" w:lineRule="auto"/>
        <w:rPr>
          <w:sz w:val="20"/>
          <w:szCs w:val="20"/>
          <w:color w:val="auto"/>
        </w:rPr>
      </w:pPr>
      <w:r>
        <w:rPr>
          <w:rFonts w:ascii="Arial" w:cs="Arial" w:eastAsia="Arial" w:hAnsi="Arial"/>
          <w:sz w:val="18"/>
          <w:szCs w:val="18"/>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On August 3, 2011, an investment entity owned by investment funds and other entities affiliated with Kohlberg Kravis Roberts &amp; Co. L.P. (collectively, "KKR"), acquired a majority interest in the Company. Upon completion of the September 2021 Secondary Offering (as defined below), KKR no longer holds an ownership interest in the Company.</w:t>
      </w:r>
    </w:p>
    <w:p>
      <w:pPr>
        <w:spacing w:after="0" w:line="138"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 xml:space="preserve">The Company is one of the leading full-line sporting goods and outdoor recreational products retailers in the United States in terms of net sales. As of January 29, 2022,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w:t>
      </w:r>
    </w:p>
    <w:p>
      <w:pPr>
        <w:spacing w:after="0" w:line="252" w:lineRule="exact"/>
        <w:rPr>
          <w:sz w:val="20"/>
          <w:szCs w:val="20"/>
          <w:color w:val="auto"/>
        </w:rPr>
      </w:pPr>
    </w:p>
    <w:p>
      <w:pPr>
        <w:jc w:val="both"/>
        <w:ind w:left="340" w:firstLine="324"/>
        <w:spacing w:after="0" w:line="308" w:lineRule="auto"/>
        <w:rPr>
          <w:sz w:val="20"/>
          <w:szCs w:val="20"/>
          <w:color w:val="auto"/>
        </w:rPr>
      </w:pPr>
      <w:r>
        <w:rPr>
          <w:rFonts w:ascii="Arial" w:cs="Arial" w:eastAsia="Arial" w:hAnsi="Arial"/>
          <w:sz w:val="17"/>
          <w:szCs w:val="17"/>
          <w:color w:val="auto"/>
        </w:rPr>
        <w:t>The Company’s fiscal year represents the 52 or 53 weeks ending on the Saturday closest to January 31 each year. References herein to 2021, 2020 and 2019 relate to the 52-week fiscal years ended January 29, 2022, January 30, 2021, and February 1, 2020, respectively.</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71" w:lineRule="exact"/>
        <w:rPr>
          <w:sz w:val="20"/>
          <w:szCs w:val="20"/>
          <w:color w:val="auto"/>
        </w:rPr>
      </w:pPr>
    </w:p>
    <w:p>
      <w:pPr>
        <w:jc w:val="both"/>
        <w:ind w:left="340" w:firstLine="324"/>
        <w:spacing w:after="0" w:line="271" w:lineRule="auto"/>
        <w:rPr>
          <w:sz w:val="20"/>
          <w:szCs w:val="20"/>
          <w:color w:val="auto"/>
        </w:rPr>
      </w:pPr>
      <w:r>
        <w:rPr>
          <w:rFonts w:ascii="Arial" w:cs="Arial" w:eastAsia="Arial" w:hAnsi="Arial"/>
          <w:sz w:val="17"/>
          <w:szCs w:val="17"/>
          <w:color w:val="auto"/>
        </w:rPr>
        <w:t>On October 6, 2020, ASO, Inc. completed an initial public offering (the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83" w:lineRule="exact"/>
        <w:rPr>
          <w:sz w:val="20"/>
          <w:szCs w:val="20"/>
          <w:color w:val="auto"/>
        </w:rPr>
      </w:pPr>
    </w:p>
    <w:p>
      <w:pPr>
        <w:ind w:left="1300" w:hanging="320"/>
        <w:spacing w:after="0" w:line="277"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8"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2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71"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November 3, 2020, ASO, Inc.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"IPO Over-Allotment Exercise"). The option expired with respect to the remaining shares.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January 27, 2021, ASO, Inc. entered into an Underwriting Agreement (the “Underwriting Agreement”), by and among ASO, Inc., Allstar LLC, Allstar Co-Invest Blocker L.P., KKR 2006 Allstar Blocker L.P., MSI 2011 LLC, MG Family Limited Partnership and the former management selling stockholder named therein (collectively, the “Selling Stockholders”), and Credit Suisse Securities (USA) LLC and J.P. Morgan Securities LLC, as representatives of the several underwriters named therein (the “Underwriters”), relating to an underwritten offering of 12,000,000 shares of common stock (the “Secondary Offering”), pursuant to the Company’s Registration Statement on Form S-1 (File No. 333-252390), filed on January 25, 2021. The Selling Stockholders granted the Underwriters the option to purchase, within 30 days from the date of the Underwriting Agreement, an additional 1,800,000 shares of common stock. On January 29, 2021, the Underwriters exercised in full their option to purchase the additional shares. The Secondary Offering was completed on February 1, 2021. Pursuant to the Underwriting Agreement, the Underwriters purchased the shares from the Selling Stockholders at a price of approximately $20.69 per share. The Company did not receive any proceeds from the Secondary Offering.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2021 Secondary Offering and Stock Repurchase</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May 5, 2021, ASO, Inc. entered into an underwriting agreement (the “May 2021 Underwriting Agreement”), by and among ASO, Inc., Allstar LLC, Allstar Co-Invest Blocker L.P., KKR 2006 Allstar Blocker L.P., MSI 2011 LLC and MG Family Limited Partnership (collectively, the “May 2021 Selling Stockholders”), and Credit Suisse Securities (USA) LLC and J.P. Morgan Securities LLC, as representatives of the several underwriters named therein (the “May 2021 Underwriters”), relating to an underwritten offering of 14,000,000 shares of common stock at $30.96 per share (the “May 2021 Secondary Offering”), pursuant to the Company’s Registration Statement on Form S-1 (File No. 333-255720), filed on May 3, 2021. The May 2021 Selling Stockholders granted the May 2021 Underwriters the option to purchase, within 30 days from the date of the May 2021 Underwriting Agreement, an additional 2,100,000 shares of common stock. On May 6, 2021, the May 2021 Underwriters exercised in full their option to purchase the additional shares. The May 2021 Secondary Offering also included the Company's repurchase and simultaneous retirement of 3,229,974 shares out of the 14,000,000 shares at $30.96 per share, the same price granted to the May 2021 Underwriters, which was at a discount to the prevailing market price at the time of repurchase (see "Share Repurchases" in Note 2). The May 2021 Secondary Offering was completed on May 10, 2021. The Company did not receive any proceeds from the May 2021 Secondary Offering.</w:t>
      </w:r>
    </w:p>
    <w:p>
      <w:pPr>
        <w:spacing w:after="0" w:line="12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May 2021 Secondary Offering reduced the KKR ownership interest in the Company, resulting in a vesting event (the "2021 Vesting Event") for awards granted under the 2011 Unit Incentive Plan, whereby unvested time awards and performance-based awards which had previously met their performance targets vested and unvested performance-based awards which had not previously met their performance targets were forfeited. As a result, we incurred approximately $24.9 million in non-cash expenses related to equity-based compensation and approximately $15.4 million of cash expenses related to taxes on equity-based compensation. Additionally, approximately $8.2 million of Share-Based Award Payments (see Note 9) for equity-based compensation distributions were accelerated during the 2021 second quarter.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65" w:right="339" w:bottom="1440" w:gutter="0" w:footer="0" w:header="0"/>
        </w:sectPr>
      </w:pPr>
    </w:p>
    <w:bookmarkStart w:id="78" w:name="page79"/>
    <w:bookmarkEnd w:id="78"/>
    <w:p>
      <w:pPr>
        <w:spacing w:after="0" w:line="22"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September 2021 Secondary Offering and Stock Repurchase</w:t>
      </w:r>
    </w:p>
    <w:p>
      <w:pPr>
        <w:spacing w:after="0" w:line="171" w:lineRule="exact"/>
        <w:rPr>
          <w:sz w:val="20"/>
          <w:szCs w:val="20"/>
          <w:color w:val="auto"/>
        </w:rPr>
      </w:pPr>
    </w:p>
    <w:p>
      <w:pPr>
        <w:jc w:val="both"/>
        <w:ind w:left="332" w:firstLine="324"/>
        <w:spacing w:after="0" w:line="270" w:lineRule="auto"/>
        <w:rPr>
          <w:sz w:val="20"/>
          <w:szCs w:val="20"/>
          <w:color w:val="auto"/>
        </w:rPr>
      </w:pPr>
      <w:r>
        <w:rPr>
          <w:rFonts w:ascii="Arial" w:cs="Arial" w:eastAsia="Arial" w:hAnsi="Arial"/>
          <w:sz w:val="17"/>
          <w:szCs w:val="17"/>
          <w:color w:val="auto"/>
        </w:rPr>
        <w:t>On September 14, 2021, ASO, Inc. entered into an underwriting agreement (the “September 2021 Underwriting Agreement”), by and among ASO, Inc., Allstar LLC, Allstar Co-Invest Blocker L.P. and KKR 2006 Allstar Blocker L.P. (collectively, the “September 2021 Selling Stockholders”), and Credit Suisse Securities (USA) LLC, as representative of the several underwriters named therein (the “September 2021 Underwriters”), relating to an underwritten offering (the “September 2021 Secondary Offering”) of 18,645,602 shares of common stock at approximately $43.52 per share, pursuant to the Company’s Registration Statement on Form S-1 (File No. 333-259477), filed on September 13, 2021. The September 2021 Secondary Offering also included the Company’s repurchase and simultaneous retirement of 4,500,000 shares out of the 18,645,602 shares of common stock at approximately $43.52, the same price granted to the September 2021 Underwriters, which was at a discount to the prevailing market price at the time of repurchase (see "Share Repurchases" in Note 2). The September 2021 Secondary Offering was completed on September 17, 2021. The Company did not receive any proceeds from the September 2021 Secondary Offering.</w:t>
      </w:r>
    </w:p>
    <w:p>
      <w:pPr>
        <w:spacing w:after="0" w:line="204" w:lineRule="exact"/>
        <w:rPr>
          <w:sz w:val="20"/>
          <w:szCs w:val="20"/>
          <w:color w:val="auto"/>
        </w:rPr>
      </w:pPr>
    </w:p>
    <w:p>
      <w:pPr>
        <w:ind w:left="332" w:hanging="332"/>
        <w:spacing w:after="0"/>
        <w:tabs>
          <w:tab w:leader="none" w:pos="33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56"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58" w:lineRule="exact"/>
        <w:rPr>
          <w:sz w:val="20"/>
          <w:szCs w:val="20"/>
          <w:color w:val="auto"/>
        </w:rPr>
      </w:pPr>
    </w:p>
    <w:p>
      <w:pPr>
        <w:jc w:val="both"/>
        <w:ind w:left="332" w:firstLine="324"/>
        <w:spacing w:after="0" w:line="279" w:lineRule="auto"/>
        <w:rPr>
          <w:sz w:val="20"/>
          <w:szCs w:val="20"/>
          <w:color w:val="auto"/>
        </w:rPr>
      </w:pPr>
      <w:r>
        <w:rPr>
          <w:rFonts w:ascii="Arial" w:cs="Arial" w:eastAsia="Arial" w:hAnsi="Arial"/>
          <w:sz w:val="17"/>
          <w:szCs w:val="17"/>
          <w:color w:val="auto"/>
        </w:rPr>
        <w:t>These consolidated financial statements include the accounts of ASO, Inc. and its subsidiaries, NAHC, Academy Managing Co., LLC, Associated Investors, LLC, Academy, Ltd., the Company's operating company, and Academy International Limited. NAHC, Academy Managing Co., LLC, and Associated Investors, LLC are intermediate holding companies. All intercompany balances and transactions have been eliminated in consolidation. ASO Co-Invest Blocker Sub, L.P. and ASO Blocker Sub, L.P. were dissolved effective January 31, 2021.</w:t>
      </w:r>
    </w:p>
    <w:p>
      <w:pPr>
        <w:spacing w:after="0" w:line="198"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252" w:lineRule="exact"/>
        <w:rPr>
          <w:sz w:val="20"/>
          <w:szCs w:val="20"/>
          <w:color w:val="auto"/>
        </w:rPr>
      </w:pPr>
    </w:p>
    <w:p>
      <w:pPr>
        <w:jc w:val="both"/>
        <w:ind w:left="332" w:firstLine="324"/>
        <w:spacing w:after="0" w:line="290"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the possibility of additional unforeseen effects from the COVID-19 pandemic, these estimates are becoming more challenging, and actual results could differ materially from our estimates.</w:t>
      </w:r>
    </w:p>
    <w:p>
      <w:pPr>
        <w:spacing w:after="0" w:line="192"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52" w:lineRule="exact"/>
        <w:rPr>
          <w:sz w:val="20"/>
          <w:szCs w:val="20"/>
          <w:color w:val="auto"/>
        </w:rPr>
      </w:pPr>
    </w:p>
    <w:p>
      <w:pPr>
        <w:jc w:val="both"/>
        <w:ind w:left="332" w:firstLine="324"/>
        <w:spacing w:after="0" w:line="259" w:lineRule="auto"/>
        <w:rPr>
          <w:sz w:val="20"/>
          <w:szCs w:val="20"/>
          <w:color w:val="auto"/>
        </w:rPr>
      </w:pPr>
      <w:r>
        <w:rPr>
          <w:rFonts w:ascii="Arial" w:cs="Arial" w:eastAsia="Arial" w:hAnsi="Arial"/>
          <w:sz w:val="18"/>
          <w:szCs w:val="18"/>
          <w:color w:val="auto"/>
        </w:rPr>
        <w:t>Within the merchandise division sales table presented in Note 3, certain products and categories were recategorized amongst various categories and divisions, respectively, during 2021 to better align with our current merchandising strategy and view of the business. As a result, we have reclassified sales between divisions for 2020 and 2019 for comparability purposes. This reclassification is in divisional presentation only and did not impact the overall net sales balances previously disclosed.</w:t>
      </w:r>
    </w:p>
    <w:p>
      <w:pPr>
        <w:spacing w:after="0" w:line="28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Statements of Income, Statements of Stockholders’ / Partners’ Equity, Note 9. Share-Based Compensation, Note 10. Earnings per Common Share and Note 16. Selected Quarterly Financial Data (Unaudited).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7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October 1, 2020, Allstar Managers LLC, a Delaware limited liability company ("Managers"), owned membership units in NAHC (each, a "NAHC Membership Unit"). Managers was dissolved and its assets were distributed to its members on December 23, 2020. Managers was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 (1) purchasing the Redeemable Membership Units with cash consideration, which was subsequently contributed to NAHC by Managers in exchange for a number of NAHC Membership Units equal to the number of Redeemable Membership Units purchased, or (2) by receiving the Redeemable Membership Units in settlement of vested restricted units awarded to the executive or director under the Company's 2011 Unit Incentive Plan (see Note 9). Each outstanding Redeemable Membership Unit in Managers corresponded to an outstanding NAHC Membership Unit, on a unit-for-unit basis.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equaled the number of shares of ASO, Inc. common stock held by Managers on a 1:1 basis.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NAHC was the sole managing member of Managers with a controlling voting interest, but no economic interest, in Managers. As the sole managing member of Managers, NAHC operated and controlled all business affairs of Managers.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terms and conditions of the agreements governing the Redeemable Membership Units included provisions by which the holder, or its heirs, had the right to require Managers or NAHC to purchase the holder's Redeemable Membership Units upon the holder’s termination of employment due to death or disability for cash at fair value. The carrying value of the Redeemable Membership Units was classified as temporary equity, initially at fair value, as redemption was an event that was not solely within our control. If redemption became probable, we were required to re-measure the Redeemable Membership Units to fair value. Periodically, these rights lapsed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Financial instruments are comprised of cash and cash equivalents, accounts receivable, accounts payable, certain accrued liabilities and debt. The carrying amounts of cash and cash equivalents, accounts receivable, accounts payable and accrued liabilities approximate their fair values due to the short-term nature of those instruments. We have also historically entered into derivative interest rate swaps to reduce the risk that our earnings and cash flows will be affected by changes in interest rates on our debt. The fair value of debt is influenced by fluctuations in market conditions for interest rates (see Note 6).</w:t>
      </w:r>
    </w:p>
    <w:p>
      <w:pPr>
        <w:spacing w:after="0" w:line="200" w:lineRule="exact"/>
        <w:rPr>
          <w:sz w:val="20"/>
          <w:szCs w:val="20"/>
          <w:color w:val="auto"/>
        </w:rPr>
      </w:pPr>
    </w:p>
    <w:p>
      <w:pPr>
        <w:spacing w:after="0" w:line="3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Financial instruments which subject us to potential credit risk consist of cash and cash equivalents.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believe that the financial risks associated with these financial instruments are minimal.</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purchase merchandise inventories from approximately 1,200 vendors. In 2021, 2020 and 2019, purchases from our largest vendor represented approximately 11%, 12% and 14% of our total inventory purchases, respectively. No other vendor in any of the aforementioned years exceeded 10% of our purchases. We typically do not enter into long-term inventory purchase commitments and there were none as of January 29, 2022 or January 30, 2021.</w:t>
      </w:r>
    </w:p>
    <w:p>
      <w:pPr>
        <w:spacing w:after="0" w:line="21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Merchandise inventories are valued at the lower of weighted average cost or net realizable value using the last-in first-out ("LIFO") method. Merchandise inventories include the direct cost of merchandise and capitalized costs related to procurement, warehousing and distribution and are reflected net of shrinkage, vendor allowances and other valuation accounts. We record an inventory reserve for the estimated shrinkage between physical inventories on a store-by-store basis. We generally perform a full physical inventory count for each store at least once a year, throughout the year, after which our shrinkage accrual rate for each store is updated based on historical results. For vendor allowances based on contractual provisions, we develop accrual rates as determined by the agreements, which are typically linked to purchase volumes. Other non-contractual vendor allowances received are applied upon receipt. We regularly review inventories and record a valuation adjustment when necessary such as for inventory that has a carrying value in excess of the net realizable value or for slow moving or obsolete inventory. The application of the LIFO inventory method did not result in any LIFO charges or credits affecting cost of sales in 2021, 2020 or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192" w:lineRule="exact"/>
        <w:rPr>
          <w:sz w:val="20"/>
          <w:szCs w:val="20"/>
          <w:color w:val="auto"/>
        </w:rPr>
      </w:pPr>
    </w:p>
    <w:p>
      <w:pPr>
        <w:ind w:left="320"/>
        <w:spacing w:after="0"/>
        <w:tabs>
          <w:tab w:leader="none" w:pos="2740" w:val="left"/>
        </w:tabs>
        <w:rPr>
          <w:sz w:val="20"/>
          <w:szCs w:val="20"/>
          <w:color w:val="auto"/>
        </w:rPr>
      </w:pPr>
      <w:r>
        <w:rPr>
          <w:rFonts w:ascii="Arial" w:cs="Arial" w:eastAsia="Arial" w:hAnsi="Arial"/>
          <w:sz w:val="18"/>
          <w:szCs w:val="18"/>
          <w:color w:val="auto"/>
        </w:rPr>
        <w:t>Leasehold improvements</w:t>
      </w:r>
      <w:r>
        <w:rPr>
          <w:sz w:val="20"/>
          <w:szCs w:val="20"/>
          <w:color w:val="auto"/>
        </w:rPr>
        <w:tab/>
      </w:r>
      <w:r>
        <w:rPr>
          <w:rFonts w:ascii="Arial" w:cs="Arial" w:eastAsia="Arial" w:hAnsi="Arial"/>
          <w:sz w:val="16"/>
          <w:szCs w:val="16"/>
          <w:color w:val="auto"/>
        </w:rPr>
        <w:t>Lesser of asset useful life or lease term</w:t>
      </w:r>
    </w:p>
    <w:p>
      <w:pPr>
        <w:spacing w:after="0" w:line="23" w:lineRule="exact"/>
        <w:rPr>
          <w:sz w:val="20"/>
          <w:szCs w:val="20"/>
          <w:color w:val="auto"/>
        </w:rPr>
      </w:pPr>
    </w:p>
    <w:p>
      <w:pPr>
        <w:ind w:left="320"/>
        <w:spacing w:after="0"/>
        <w:tabs>
          <w:tab w:leader="none" w:pos="3220" w:val="left"/>
        </w:tabs>
        <w:rPr>
          <w:sz w:val="20"/>
          <w:szCs w:val="20"/>
          <w:color w:val="auto"/>
        </w:rPr>
      </w:pPr>
      <w:r>
        <w:rPr>
          <w:rFonts w:ascii="Arial" w:cs="Arial" w:eastAsia="Arial" w:hAnsi="Arial"/>
          <w:sz w:val="18"/>
          <w:szCs w:val="18"/>
          <w:color w:val="auto"/>
        </w:rPr>
        <w:t>Software and computer equipment</w:t>
      </w:r>
      <w:r>
        <w:rPr>
          <w:sz w:val="20"/>
          <w:szCs w:val="20"/>
          <w:color w:val="auto"/>
        </w:rPr>
        <w:tab/>
      </w:r>
      <w:r>
        <w:rPr>
          <w:rFonts w:ascii="Arial" w:cs="Arial" w:eastAsia="Arial" w:hAnsi="Arial"/>
          <w:sz w:val="15"/>
          <w:szCs w:val="15"/>
          <w:color w:val="auto"/>
        </w:rPr>
        <w:t>2–5 years</w:t>
      </w:r>
    </w:p>
    <w:p>
      <w:pPr>
        <w:spacing w:after="0" w:line="9" w:lineRule="exact"/>
        <w:rPr>
          <w:sz w:val="20"/>
          <w:szCs w:val="20"/>
          <w:color w:val="auto"/>
        </w:rPr>
      </w:pPr>
    </w:p>
    <w:p>
      <w:pPr>
        <w:ind w:left="320"/>
        <w:spacing w:after="0"/>
        <w:tabs>
          <w:tab w:leader="none" w:pos="2320" w:val="left"/>
        </w:tabs>
        <w:rPr>
          <w:sz w:val="20"/>
          <w:szCs w:val="20"/>
          <w:color w:val="auto"/>
        </w:rPr>
      </w:pPr>
      <w:r>
        <w:rPr>
          <w:rFonts w:ascii="Arial" w:cs="Arial" w:eastAsia="Arial" w:hAnsi="Arial"/>
          <w:sz w:val="18"/>
          <w:szCs w:val="18"/>
          <w:color w:val="auto"/>
        </w:rPr>
        <w:t>Other equipment</w:t>
      </w:r>
      <w:r>
        <w:rPr>
          <w:sz w:val="20"/>
          <w:szCs w:val="20"/>
          <w:color w:val="auto"/>
        </w:rPr>
        <w:tab/>
      </w:r>
      <w:r>
        <w:rPr>
          <w:rFonts w:ascii="Arial" w:cs="Arial" w:eastAsia="Arial" w:hAnsi="Arial"/>
          <w:sz w:val="15"/>
          <w:szCs w:val="15"/>
          <w:color w:val="auto"/>
        </w:rPr>
        <w:t>5–10 years</w:t>
      </w:r>
    </w:p>
    <w:p>
      <w:pPr>
        <w:spacing w:after="0" w:line="9" w:lineRule="exact"/>
        <w:rPr>
          <w:sz w:val="20"/>
          <w:szCs w:val="20"/>
          <w:color w:val="auto"/>
        </w:rPr>
      </w:pPr>
    </w:p>
    <w:p>
      <w:pPr>
        <w:ind w:left="320"/>
        <w:spacing w:after="0"/>
        <w:tabs>
          <w:tab w:leader="none" w:pos="2500" w:val="left"/>
        </w:tabs>
        <w:rPr>
          <w:sz w:val="20"/>
          <w:szCs w:val="20"/>
          <w:color w:val="auto"/>
        </w:rPr>
      </w:pPr>
      <w:r>
        <w:rPr>
          <w:rFonts w:ascii="Arial" w:cs="Arial" w:eastAsia="Arial" w:hAnsi="Arial"/>
          <w:sz w:val="18"/>
          <w:szCs w:val="18"/>
          <w:color w:val="auto"/>
        </w:rPr>
        <w:t>Furniture and fixtures</w:t>
      </w:r>
      <w:r>
        <w:rPr>
          <w:sz w:val="20"/>
          <w:szCs w:val="20"/>
          <w:color w:val="auto"/>
        </w:rPr>
        <w:tab/>
      </w:r>
      <w:r>
        <w:rPr>
          <w:rFonts w:ascii="Arial" w:cs="Arial" w:eastAsia="Arial" w:hAnsi="Arial"/>
          <w:sz w:val="15"/>
          <w:szCs w:val="15"/>
          <w:color w:val="auto"/>
        </w:rPr>
        <w:t>7–10 years</w:t>
      </w:r>
    </w:p>
    <w:p>
      <w:pPr>
        <w:spacing w:after="0" w:line="23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or enhance the functionality of an asset are capitalized and amortized.</w:t>
      </w:r>
    </w:p>
    <w:p>
      <w:pPr>
        <w:spacing w:after="0" w:line="278"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8" w:right="339" w:bottom="1440" w:gutter="0" w:footer="0" w:header="0"/>
        </w:sectPr>
      </w:pPr>
    </w:p>
    <w:bookmarkStart w:id="81" w:name="page82"/>
    <w:bookmarkEnd w:id="81"/>
    <w:p>
      <w:pPr>
        <w:jc w:val="both"/>
        <w:ind w:firstLine="324"/>
        <w:spacing w:after="0" w:line="259" w:lineRule="auto"/>
        <w:rPr>
          <w:sz w:val="20"/>
          <w:szCs w:val="20"/>
          <w:color w:val="auto"/>
        </w:rPr>
      </w:pPr>
      <w:r>
        <w:rPr>
          <w:rFonts w:ascii="Arial" w:cs="Arial" w:eastAsia="Arial" w:hAnsi="Arial"/>
          <w:sz w:val="18"/>
          <w:szCs w:val="18"/>
          <w:color w:val="auto"/>
        </w:rPr>
        <w:t>In the normal course of business, we may acquire land and construct new stores to be sold to and leased from third party landlords. New stores completed but not yet sold to and leased from third parties are classified as assets held for sale and are expected to be sold within one year. Our intent is to sell the stores and land for approximately the total land and construction costs incurred (which approximate the fair market value of the property, net of selling costs) and simultaneously enter into operating leases.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Computer Software Costs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$36.7 million, $14.5 million and $12.9 million in 2021,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capitalized interest primarily related to construction of new stores, store renovations, distribution centers and IT projects in the amount of $0.4 million, $0.6 million and $0.6 million in 2021, 2020 and 2019, respectively. Interest expense, net on the consolidated statement of income is shown net of capitalized interest.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review the carrying value of long-lived assets, including store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which is generally based on historical results. If such assets are considered to be impaired, the impairment loss recognized is the amount by which the carrying amount of the assets exceeds its estimated fair value, which is calculated using discounted expected future cash flows. As a result of our assessment, we did not record an impairment of long-lived assets in 2021, 2020 and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Goodwill represents the excess of the purchase price of an acquired business over the amounts assigned to assets acquired and liabilities assumed in a business combination. Goodwill is tested for impairment annually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21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 In 2021 and 2020, we performed a qualitative assessment and determined a quantitative assessment was not necessary.</w:t>
      </w:r>
    </w:p>
    <w:p>
      <w:pPr>
        <w:spacing w:after="0" w:line="2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long-term future company income, and the market value approach is based on earnings multiples for a comparable set of public companies. In 2019, we performed a quantitative assessment for the determination of impairment.</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 impairment of goodwill existed for 2021, 2020 or 2019.</w:t>
      </w:r>
    </w:p>
    <w:p>
      <w:pPr>
        <w:spacing w:after="0" w:line="200" w:lineRule="exact"/>
        <w:rPr>
          <w:sz w:val="20"/>
          <w:szCs w:val="20"/>
          <w:color w:val="auto"/>
        </w:rPr>
      </w:pPr>
    </w:p>
    <w:p>
      <w:pPr>
        <w:spacing w:after="0" w:line="36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13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Intangible assets primarily consists of the trade name "Academy Sports + Outdoors" (the "Trade Name"). The Trade Name is expected to generate cash flows indefinitely and, therefore, is accounted for as an indefinite-lived asset not subject to amortization.</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Trade Name is tested for impairment annually or whenever events or circumstances indicate that the carrying amount of the Trade Name may not be recoverable. The annual Trade Name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for the Trade Name. However, if the qualitative assessment leads to a determination that it is more likely than not that the fair value of a reporting unit is greater than its carrying amount, then no further assessments are required.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long-term sales over the expected remaining life of the intangible assets to estimate the royalty savings. This approach is dependent on a number of factors, including projections of long-term sales, royalty rates, discount rates and other variables.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Loan Costs</w:t>
      </w:r>
    </w:p>
    <w:p>
      <w:pPr>
        <w:spacing w:after="0" w:line="252" w:lineRule="exact"/>
        <w:rPr>
          <w:sz w:val="20"/>
          <w:szCs w:val="20"/>
          <w:color w:val="auto"/>
        </w:rPr>
      </w:pPr>
    </w:p>
    <w:p>
      <w:pPr>
        <w:jc w:val="both"/>
        <w:ind w:firstLine="369"/>
        <w:spacing w:after="0" w:line="257" w:lineRule="auto"/>
        <w:rPr>
          <w:sz w:val="20"/>
          <w:szCs w:val="20"/>
          <w:color w:val="auto"/>
        </w:rPr>
      </w:pPr>
      <w:r>
        <w:rPr>
          <w:rFonts w:ascii="Arial" w:cs="Arial" w:eastAsia="Arial" w:hAnsi="Arial"/>
          <w:sz w:val="18"/>
          <w:szCs w:val="18"/>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are exposed to interest rate risk, primarily related to changes in interest rates on our Term Loan (see Note 4) and have historically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 effective in offsetting the changes in the fair value or cash flow of the hedged items. If it is determined that a derivative is not highly effective as a hedge or ceases to be highly effective, we discontinue hedge accounting prospectively.</w:t>
      </w:r>
    </w:p>
    <w:p>
      <w:pPr>
        <w:spacing w:after="0" w:line="2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 financial instruments are recognized at fair value in the consolidated balance sheets (see Note 5). The changes in the fair value of derivative instruments designated as cash flow hedges are recorded in accumulated other comprehensive income ("AOCI"), net of tax effects, and are subsequently reclassified to earnings when the hedged transaction affects earnings. On January 19, 2021, we settled our three remaining outstanding interest rate swaps, which were scheduled to expire on various dates during 2021, for $4.1 million. As of January 29, 2022, we do not have any derivative financial instruments outstanding.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w:t>
      </w:r>
    </w:p>
    <w:p>
      <w:pPr>
        <w:spacing w:after="0" w:line="25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00" w:lineRule="exact"/>
        <w:rPr>
          <w:sz w:val="20"/>
          <w:szCs w:val="20"/>
          <w:color w:val="auto"/>
        </w:rPr>
      </w:pPr>
    </w:p>
    <w:p>
      <w:pPr>
        <w:spacing w:after="0" w:line="304"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i w:val="1"/>
          <w:iCs w:val="1"/>
          <w:color w:val="auto"/>
        </w:rPr>
        <w:t>Leases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Effective February 3, 2019, we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a series of related Accounting Standards Updates that followed (collectively referred to as the "New Lease Standard"). The New Lease Standard requires that lessees recognize assets and liabilities arising from operating leases on the balance sheet and disclose key information about leasing arrangements. We elected the practical expedient available to us under ASU 2018-11, </w:t>
      </w:r>
      <w:r>
        <w:rPr>
          <w:rFonts w:ascii="Arial" w:cs="Arial" w:eastAsia="Arial" w:hAnsi="Arial"/>
          <w:sz w:val="17"/>
          <w:szCs w:val="17"/>
          <w:i w:val="1"/>
          <w:iCs w:val="1"/>
          <w:color w:val="auto"/>
        </w:rPr>
        <w:t>"Leases: Targeted Improvements"</w:t>
      </w:r>
      <w:r>
        <w:rPr>
          <w:rFonts w:ascii="Arial" w:cs="Arial" w:eastAsia="Arial" w:hAnsi="Arial"/>
          <w:sz w:val="17"/>
          <w:szCs w:val="17"/>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 $1.2 billion of right-of-use assets, which are reflected in the short-term and long-term liabilities and long-term assets sections of the balance sheet, respectively, as well as an cumulative-effect adjustment increase to the opening balance of retained earnings of approximately $5.1 million.</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Cash received from a landlord for tenant improvement allowances in store lease transactions not considered a sale-leaseback transaction are a reduction to the right-of-use assets on the balance sheet, which are amortized ratably over the remaining terms of the corresponding leases.</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account for each lease and non-lease components for our building leases as a single lease component which allows certain costs such as common area maintenance associated with these leases to be included as rent expense. We elected to exclude leases with contract terms of 12 months or less from the New Lease Standard accounting treatment, which results in straight-line recognition of the cost over the lease term with no associated balance sheet lease liability or right-of-use asset.</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Substantially all of our leases contain landlord incentives and escalation clauses. With the adoption of the New Lease Standard on February 3, 2019, the deferred rent balances were netted into the right-of-use assets on the balance sheet, which are amortized ratably over the remaining terms of the corresponding leases.</w:t>
      </w:r>
    </w:p>
    <w:p>
      <w:pPr>
        <w:spacing w:after="0" w:line="2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certain store construction cases, we may be deemed the owner of the property during construction, after which we then sell the property to a landlord and concurrently enter into a lease of the property to operate the store (“sale-leaseback”). We report the cash received for construction allowances as construction allowance receipts within the financing activities section of our consolidated statements of cash flows when such amounts are received prior to completion of a sale-leaseback transaction, and we report the cash received for construction allowances as proceeds from the sale of property and equipment within the investing activities section of our consolidated statements of cash flows when such amounts are received after the completion of a sale-leaseback transaction.</w:t>
      </w:r>
    </w:p>
    <w:p>
      <w:pPr>
        <w:spacing w:after="0" w:line="219"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If we are deemed the owner of the property during the construction period and the sale-leaseback criteria is met, the losses and gains from sale-leaseback transactions are recognized immediately. To date, the Company has not executed a sale-leaseback transaction under the New Lease Standard, which we adopted on February 3,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sell merchandise under implicit contracts whereby the transaction price is the listed sales price less any discounts or coupons applied. Our typical coupons offer a discount, which is applied immediately at the time of purchase. However, under certain circumstances we may issue a coupon, or similar incentive, which contains a material future right. In such instances, a portion of the revenue is deferred and subsequently recognized when earned.</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ectPr>
          <w:pgSz w:w="11900" w:h="16838" w:orient="portrait"/>
          <w:cols w:equalWidth="0" w:num="1">
            <w:col w:w="10900"/>
          </w:cols>
          <w:pgMar w:left="66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239395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Cost of goods sold includes the direct cost of merchandise and costs related to procurement, warehousing and distribution. These costs consist primarily of payroll and benefits, occupancy costs and freight.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and other store and administrative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costs are expensed as incurred. Advertising expenses, net of specific vendor allowances, were $151.2 million, $122.8 million and $142.3 million in 2021, 2020 and 2019,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$0.2 million and $3.2 million in 2021 and 2019, respectively. There were no pre-opening expenses in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We account for equity compensation in accordance with Financial Accounting Standards Board ("FASB") Accounting Standards Codification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71"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On September 2, 2021, the Board of Directors of the Company authorized a share repurchase program (the "Share Repurchase Program") under which the Company may purchase up to $500 million of its outstanding shares during the three-year period ending September 2, 2024. Under the Share Repurchase Program, repurchases can be made using a variety of methods, which may include open market purchases, block trades, privately negotiated transactions and/or a non-discretionary trading plan, all in compliance with the rules of the SEC and other applicable legal requirements. The timing, manner, price and amount of any common share repurchases will be determined by the Company in its discretion and will depend on a variety of factors, including legal requirements, price and economic and market conditions. The Share</w:t>
      </w:r>
    </w:p>
    <w:p>
      <w:pPr>
        <w:sectPr>
          <w:pgSz w:w="11900" w:h="16838" w:orient="portrait"/>
          <w:cols w:equalWidth="0" w:num="1">
            <w:col w:w="10900"/>
          </w:cols>
          <w:pgMar w:left="660" w:top="895" w:right="339" w:bottom="1440" w:gutter="0" w:footer="0" w:header="0"/>
        </w:sectPr>
      </w:pPr>
    </w:p>
    <w:p>
      <w:pPr>
        <w:spacing w:after="0" w:line="272"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239395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type w:val="continuous"/>
        </w:sectPr>
      </w:pPr>
    </w:p>
    <w:bookmarkStart w:id="85" w:name="page86"/>
    <w:bookmarkEnd w:id="85"/>
    <w:p>
      <w:pPr>
        <w:jc w:val="both"/>
        <w:spacing w:after="0" w:line="277" w:lineRule="auto"/>
        <w:rPr>
          <w:sz w:val="20"/>
          <w:szCs w:val="20"/>
          <w:color w:val="auto"/>
        </w:rPr>
      </w:pPr>
      <w:r>
        <w:rPr>
          <w:rFonts w:ascii="Arial" w:cs="Arial" w:eastAsia="Arial" w:hAnsi="Arial"/>
          <w:sz w:val="18"/>
          <w:szCs w:val="18"/>
          <w:color w:val="auto"/>
        </w:rPr>
        <w:t>Repurchase Program does not obligate the Company to acquire any particular number of common shares, and the program may be suspended, extended, modified or discontinued at any time.</w:t>
      </w:r>
    </w:p>
    <w:p>
      <w:pPr>
        <w:spacing w:after="0" w:line="116" w:lineRule="exact"/>
        <w:rPr>
          <w:sz w:val="20"/>
          <w:szCs w:val="20"/>
          <w:color w:val="auto"/>
        </w:rPr>
      </w:pPr>
    </w:p>
    <w:p>
      <w:pPr>
        <w:jc w:val="both"/>
        <w:ind w:firstLine="401"/>
        <w:spacing w:after="0" w:line="273" w:lineRule="auto"/>
        <w:rPr>
          <w:sz w:val="20"/>
          <w:szCs w:val="20"/>
          <w:color w:val="auto"/>
        </w:rPr>
      </w:pPr>
      <w:r>
        <w:rPr>
          <w:rFonts w:ascii="Arial" w:cs="Arial" w:eastAsia="Arial" w:hAnsi="Arial"/>
          <w:sz w:val="17"/>
          <w:szCs w:val="17"/>
          <w:color w:val="auto"/>
        </w:rPr>
        <w:t>In 2021, we repurchased and concurrently retired 10,566,796 shares of ASO, Inc. common stock for an aggregate amount of $411.4 million, which includes purchases that were made pursuant to the Share Repurchase Program and those that were made prior to the Share Repurchase Program. As of January 29, 2022, approximately $188.6 million remained available for share repurchases pursuant to our Share Repurchase Program. The Company allocates the excess of the repurchase price over the par value of shares acquired to Retained Earnings and Additional Paid-in Capital. The portion allocated to Additional Paid-in Capital is determined by dividing the number of shares to be retired by the number of shares issued multiplied by the balance of Additional Paid-in Capital as of the retirement date.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is subject to U.S. federal, state and foreign income taxes. 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spacing w:after="0" w:line="13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Comprehensive income represents the net income for the period plus the results of certain changes to stockholders' equity (other comprehensive income) that are not reflected in the consolidated statements of income. Other comprehensive income consists of adjustments, net of tax, related to the Company’s interest rate swaps.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Segment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Arial" w:cs="Arial" w:eastAsia="Arial" w:hAnsi="Arial"/>
          <w:sz w:val="18"/>
          <w:szCs w:val="18"/>
          <w:i w:val="1"/>
          <w:iCs w:val="1"/>
          <w:color w:val="auto"/>
        </w:rPr>
        <w:t>academy.com</w:t>
      </w:r>
      <w:r>
        <w:rPr>
          <w:rFonts w:ascii="Arial" w:cs="Arial" w:eastAsia="Arial" w:hAnsi="Arial"/>
          <w:sz w:val="18"/>
          <w:szCs w:val="18"/>
          <w:color w:val="auto"/>
        </w:rPr>
        <w:t xml:space="preserve"> website, we report our financial results as one reportable segment. Substantially all of the Company’s identifiable assets are located in the United States.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2019-12 Income Taxes (Topic 740)</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ASU 2019-12 is effective for fiscal years and interim periods beginning after December 15, 2020. This update simplifies the accounting for income taxes by removing certain exceptions and amends existing guidance to improve consistent application. The Company adopted ASU 2019-12 on January 31, 2021 and it did not have a material impact on our financial position, results of operations or cash flows.</w:t>
      </w:r>
    </w:p>
    <w:p>
      <w:pPr>
        <w:spacing w:after="0" w:line="2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86" w:name="page87"/>
    <w:bookmarkEnd w:id="86"/>
    <w:p>
      <w:pPr>
        <w:ind w:left="340"/>
        <w:spacing w:after="0"/>
        <w:rPr>
          <w:sz w:val="20"/>
          <w:szCs w:val="20"/>
          <w:color w:val="auto"/>
        </w:rPr>
      </w:pPr>
      <w:r>
        <w:rPr>
          <w:rFonts w:ascii="Arial" w:cs="Arial" w:eastAsia="Arial" w:hAnsi="Arial"/>
          <w:sz w:val="18"/>
          <w:szCs w:val="18"/>
          <w:i w:val="1"/>
          <w:iCs w:val="1"/>
          <w:color w:val="auto"/>
        </w:rPr>
        <w:t>Reference Rate Reform</w:t>
      </w:r>
    </w:p>
    <w:p>
      <w:pPr>
        <w:spacing w:after="0" w:line="252"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In March 2020, the FASB issued ASU 2020-04, "Reference Rate Reform (Topic 848): Facilitation of the Effects of Reference Rate Reform on Financial Reporting." This pronouncement provides temporary optional expedients and exceptions to the current guidance on contract modifications and hedge accounting to ease the financial reporting burden related to the expected market transition from the London Interbank Offered Rate ("LIBOR") and other interbank offered rates to alternative reference rates. The adoption of this guidance is effective for all entities as of March 12, 2020 through December 31, 2022. The Company is currently evaluating the expedients and exceptions provided by this amendment as it relates to our transition from LIBOR to another reference rate to determine the impact.</w:t>
      </w:r>
    </w:p>
    <w:p>
      <w:pPr>
        <w:spacing w:after="0" w:line="200" w:lineRule="exact"/>
        <w:rPr>
          <w:sz w:val="20"/>
          <w:szCs w:val="20"/>
          <w:color w:val="auto"/>
        </w:rPr>
      </w:pPr>
    </w:p>
    <w:p>
      <w:pPr>
        <w:spacing w:after="0" w:line="258" w:lineRule="exact"/>
        <w:rPr>
          <w:sz w:val="20"/>
          <w:szCs w:val="20"/>
          <w:color w:val="auto"/>
        </w:rPr>
      </w:pPr>
    </w:p>
    <w:p>
      <w:pPr>
        <w:ind w:left="340" w:hanging="332"/>
        <w:spacing w:after="0"/>
        <w:tabs>
          <w:tab w:leader="none" w:pos="34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Net Sales</w:t>
      </w:r>
    </w:p>
    <w:p>
      <w:pPr>
        <w:spacing w:after="0" w:line="256" w:lineRule="exact"/>
        <w:rPr>
          <w:sz w:val="20"/>
          <w:szCs w:val="20"/>
          <w:color w:val="auto"/>
        </w:rPr>
      </w:pPr>
    </w:p>
    <w:p>
      <w:pPr>
        <w:ind w:left="340" w:right="540" w:firstLine="324"/>
        <w:spacing w:after="0" w:line="271" w:lineRule="auto"/>
        <w:rPr>
          <w:sz w:val="20"/>
          <w:szCs w:val="20"/>
          <w:color w:val="auto"/>
        </w:rPr>
      </w:pPr>
      <w:r>
        <w:rPr>
          <w:rFonts w:ascii="Arial" w:cs="Arial" w:eastAsia="Arial" w:hAnsi="Arial"/>
          <w:sz w:val="18"/>
          <w:szCs w:val="18"/>
          <w:color w:val="auto"/>
        </w:rPr>
        <w:t>The following table sets forth the approximate amount of sales (all of which are based in the U.S.) by merchandise divisions for the periods presented (amounts in thousands):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4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29, 2022</w:t>
            </w:r>
          </w:p>
        </w:tc>
        <w:tc>
          <w:tcPr>
            <w:tcW w:w="460" w:type="dxa"/>
            <w:vAlign w:val="bottom"/>
          </w:tcPr>
          <w:p>
            <w:pPr>
              <w:spacing w:after="0"/>
              <w:rPr>
                <w:sz w:val="19"/>
                <w:szCs w:val="19"/>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January 30, 2021</w:t>
            </w:r>
          </w:p>
        </w:tc>
        <w:tc>
          <w:tcPr>
            <w:tcW w:w="46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February 1, 2020</w:t>
            </w:r>
          </w:p>
        </w:tc>
      </w:tr>
      <w:tr>
        <w:trPr>
          <w:trHeight w:val="209"/>
        </w:trPr>
        <w:tc>
          <w:tcPr>
            <w:tcW w:w="4280" w:type="dxa"/>
            <w:vAlign w:val="bottom"/>
            <w:tcBorders>
              <w:top w:val="single" w:sz="8" w:color="CCEEFF"/>
            </w:tcBorders>
            <w:shd w:val="clear" w:color="auto" w:fill="CCEEFF"/>
          </w:tcPr>
          <w:p>
            <w:pPr>
              <w:ind w:left="340"/>
              <w:spacing w:after="0" w:line="210"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23"/>
                <w:szCs w:val="23"/>
                <w:color w:val="auto"/>
                <w:vertAlign w:val="superscript"/>
              </w:rPr>
              <w:t>(1)</w:t>
            </w:r>
          </w:p>
        </w:tc>
        <w:tc>
          <w:tcPr>
            <w:tcW w:w="4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r>
      <w:tr>
        <w:trPr>
          <w:trHeight w:val="230"/>
        </w:trPr>
        <w:tc>
          <w:tcPr>
            <w:tcW w:w="4280" w:type="dxa"/>
            <w:vAlign w:val="bottom"/>
          </w:tcPr>
          <w:p>
            <w:pPr>
              <w:ind w:left="560"/>
              <w:spacing w:after="0"/>
              <w:rPr>
                <w:sz w:val="20"/>
                <w:szCs w:val="20"/>
                <w:color w:val="auto"/>
              </w:rPr>
            </w:pPr>
            <w:r>
              <w:rPr>
                <w:rFonts w:ascii="Arial" w:cs="Arial" w:eastAsia="Arial" w:hAnsi="Arial"/>
                <w:sz w:val="18"/>
                <w:szCs w:val="18"/>
                <w:color w:val="auto"/>
              </w:rPr>
              <w:t>Outdoors</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2,174,650</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1,968,514</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1,455,080</w:t>
            </w:r>
          </w:p>
        </w:tc>
      </w:tr>
      <w:tr>
        <w:trPr>
          <w:trHeight w:val="229"/>
        </w:trPr>
        <w:tc>
          <w:tcPr>
            <w:tcW w:w="4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Sports and recreation</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1,463,172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1,256,357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974,125</w:t>
            </w:r>
          </w:p>
        </w:tc>
      </w:tr>
      <w:tr>
        <w:trPr>
          <w:trHeight w:val="229"/>
        </w:trPr>
        <w:tc>
          <w:tcPr>
            <w:tcW w:w="4280" w:type="dxa"/>
            <w:vAlign w:val="bottom"/>
          </w:tcPr>
          <w:p>
            <w:pPr>
              <w:ind w:left="540"/>
              <w:spacing w:after="0"/>
              <w:rPr>
                <w:sz w:val="20"/>
                <w:szCs w:val="20"/>
                <w:color w:val="auto"/>
              </w:rPr>
            </w:pPr>
            <w:r>
              <w:rPr>
                <w:rFonts w:ascii="Arial" w:cs="Arial" w:eastAsia="Arial" w:hAnsi="Arial"/>
                <w:sz w:val="18"/>
                <w:szCs w:val="18"/>
                <w:color w:val="auto"/>
              </w:rPr>
              <w:t>Apparel</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1,810,345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1,390,519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1,358,906</w:t>
            </w:r>
          </w:p>
        </w:tc>
      </w:tr>
      <w:tr>
        <w:trPr>
          <w:trHeight w:val="230"/>
        </w:trPr>
        <w:tc>
          <w:tcPr>
            <w:tcW w:w="42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Footwear</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1,290,197</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1,044,502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1,021,603</w:t>
            </w:r>
          </w:p>
        </w:tc>
      </w:tr>
      <w:tr>
        <w:trPr>
          <w:trHeight w:val="223"/>
        </w:trPr>
        <w:tc>
          <w:tcPr>
            <w:tcW w:w="4280" w:type="dxa"/>
            <w:vAlign w:val="bottom"/>
          </w:tcPr>
          <w:p>
            <w:pPr>
              <w:ind w:left="700"/>
              <w:spacing w:after="0" w:line="223" w:lineRule="exact"/>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23"/>
                <w:szCs w:val="23"/>
                <w:color w:val="auto"/>
                <w:vertAlign w:val="superscript"/>
              </w:rPr>
              <w:t>(2)</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6,738,364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5,659,892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4,809,714</w:t>
            </w:r>
          </w:p>
        </w:tc>
      </w:tr>
      <w:tr>
        <w:trPr>
          <w:trHeight w:val="230"/>
        </w:trPr>
        <w:tc>
          <w:tcPr>
            <w:tcW w:w="428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Other sales </w:t>
            </w:r>
            <w:r>
              <w:rPr>
                <w:rFonts w:ascii="Arial" w:cs="Arial" w:eastAsia="Arial" w:hAnsi="Arial"/>
                <w:sz w:val="23"/>
                <w:szCs w:val="23"/>
                <w:color w:val="auto"/>
                <w:vertAlign w:val="superscript"/>
              </w:rPr>
              <w:t>(3)</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34,764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20,183</w:t>
            </w:r>
          </w:p>
        </w:tc>
      </w:tr>
      <w:tr>
        <w:trPr>
          <w:trHeight w:val="223"/>
        </w:trPr>
        <w:tc>
          <w:tcPr>
            <w:tcW w:w="4280" w:type="dxa"/>
            <w:vAlign w:val="bottom"/>
          </w:tcPr>
          <w:p>
            <w:pPr>
              <w:ind w:left="580"/>
              <w:spacing w:after="0"/>
              <w:rPr>
                <w:sz w:val="20"/>
                <w:szCs w:val="20"/>
                <w:color w:val="auto"/>
              </w:rPr>
            </w:pPr>
            <w:r>
              <w:rPr>
                <w:rFonts w:ascii="Arial" w:cs="Arial" w:eastAsia="Arial" w:hAnsi="Arial"/>
                <w:sz w:val="18"/>
                <w:szCs w:val="18"/>
                <w:color w:val="auto"/>
              </w:rPr>
              <w:t>Net sales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6,773,128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5,689,233</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4,829,897</w:t>
            </w:r>
          </w:p>
        </w:tc>
      </w:tr>
      <w:tr>
        <w:trPr>
          <w:trHeight w:val="21"/>
        </w:trPr>
        <w:tc>
          <w:tcPr>
            <w:tcW w:w="4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left="660" w:hanging="328"/>
        <w:spacing w:after="0" w:line="238" w:lineRule="auto"/>
        <w:tabs>
          <w:tab w:leader="none" w:pos="648"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for 2020 and 2019 for comparability purposes. This reclassification is in divisional presentation only and did not impact the overall net sales balances previously disclosed (see "Reclassifications" in Note 2).</w:t>
      </w:r>
    </w:p>
    <w:p>
      <w:pPr>
        <w:ind w:left="640" w:hanging="308"/>
        <w:spacing w:after="0" w:line="196" w:lineRule="auto"/>
        <w:tabs>
          <w:tab w:leader="none" w:pos="640"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E-commerce sales consisted of 9.3%, 10.4% and 5.1% of merchandise sales for 2021, 2020 and 2019, respectively.</w:t>
      </w:r>
    </w:p>
    <w:p>
      <w:pPr>
        <w:spacing w:after="0" w:line="1" w:lineRule="exact"/>
        <w:rPr>
          <w:rFonts w:ascii="Arial" w:cs="Arial" w:eastAsia="Arial" w:hAnsi="Arial"/>
          <w:sz w:val="23"/>
          <w:szCs w:val="23"/>
          <w:color w:val="auto"/>
          <w:vertAlign w:val="superscript"/>
        </w:rPr>
      </w:pPr>
    </w:p>
    <w:p>
      <w:pPr>
        <w:ind w:left="660" w:hanging="328"/>
        <w:spacing w:after="0" w:line="219" w:lineRule="auto"/>
        <w:tabs>
          <w:tab w:leader="none" w:pos="648" w:val="left"/>
        </w:tabs>
        <w:numPr>
          <w:ilvl w:val="0"/>
          <w:numId w:val="56"/>
        </w:numPr>
        <w:rPr>
          <w:rFonts w:ascii="Arial" w:cs="Arial" w:eastAsia="Arial" w:hAnsi="Arial"/>
          <w:sz w:val="23"/>
          <w:szCs w:val="23"/>
          <w:color w:val="auto"/>
          <w:vertAlign w:val="superscript"/>
        </w:rPr>
      </w:pPr>
      <w:r>
        <w:rPr>
          <w:rFonts w:ascii="Arial" w:cs="Arial" w:eastAsia="Arial" w:hAnsi="Arial"/>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148"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sell gift cards in stores, online and in third-party retail locations. The gift cards we sell have no expiration dates. A liability for gift cards, which is recorded in accrued expenses and other liabilities on our balance sheets, is established at the time of sale and revenues are recognized as the gift cards are redeemed in stores or on our website.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0"/>
              </w:rPr>
              <w:t>Fiscal Year Ended</w:t>
            </w:r>
          </w:p>
        </w:tc>
        <w:tc>
          <w:tcPr>
            <w:tcW w:w="4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r>
      <w:tr>
        <w:trPr>
          <w:trHeight w:val="223"/>
        </w:trPr>
        <w:tc>
          <w:tcPr>
            <w:tcW w:w="3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29, 2022</w:t>
            </w:r>
          </w:p>
        </w:tc>
        <w:tc>
          <w:tcPr>
            <w:tcW w:w="440" w:type="dxa"/>
            <w:vAlign w:val="bottom"/>
          </w:tcPr>
          <w:p>
            <w:pPr>
              <w:spacing w:after="0"/>
              <w:rPr>
                <w:sz w:val="19"/>
                <w:szCs w:val="19"/>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30, 2021</w:t>
            </w:r>
          </w:p>
        </w:tc>
        <w:tc>
          <w:tcPr>
            <w:tcW w:w="48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February 1, 2020</w:t>
            </w:r>
          </w:p>
        </w:tc>
        <w:tc>
          <w:tcPr>
            <w:tcW w:w="3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3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Gift card liability, beginning balance</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74,253</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67,993</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66,153</w:t>
            </w:r>
          </w:p>
        </w:tc>
        <w:tc>
          <w:tcPr>
            <w:tcW w:w="38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340" w:type="dxa"/>
            <w:vAlign w:val="bottom"/>
          </w:tcPr>
          <w:p>
            <w:pPr>
              <w:ind w:left="560"/>
              <w:spacing w:after="0"/>
              <w:rPr>
                <w:sz w:val="20"/>
                <w:szCs w:val="20"/>
                <w:color w:val="auto"/>
              </w:rPr>
            </w:pPr>
            <w:r>
              <w:rPr>
                <w:rFonts w:ascii="Arial" w:cs="Arial" w:eastAsia="Arial" w:hAnsi="Arial"/>
                <w:sz w:val="18"/>
                <w:szCs w:val="18"/>
                <w:color w:val="auto"/>
              </w:rPr>
              <w:t>Issued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136,553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111,160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134,839</w:t>
            </w:r>
          </w:p>
        </w:tc>
        <w:tc>
          <w:tcPr>
            <w:tcW w:w="38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43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Redeemed</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(119,103)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(128,638)</w:t>
            </w:r>
          </w:p>
        </w:tc>
        <w:tc>
          <w:tcPr>
            <w:tcW w:w="3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43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Recognized as breakage income</w:t>
            </w: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(5,135)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w:t>
            </w:r>
          </w:p>
        </w:tc>
        <w:tc>
          <w:tcPr>
            <w:tcW w:w="380" w:type="dxa"/>
            <w:vAlign w:val="bottom"/>
          </w:tcPr>
          <w:p>
            <w:pPr>
              <w:spacing w:after="0"/>
              <w:rPr>
                <w:sz w:val="19"/>
                <w:szCs w:val="19"/>
                <w:color w:val="auto"/>
              </w:rPr>
            </w:pPr>
          </w:p>
        </w:tc>
      </w:tr>
      <w:tr>
        <w:trPr>
          <w:trHeight w:val="248"/>
        </w:trPr>
        <w:tc>
          <w:tcPr>
            <w:tcW w:w="34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Gift card liability, ending balance</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86,568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74,253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67,993</w:t>
            </w:r>
          </w:p>
        </w:tc>
        <w:tc>
          <w:tcPr>
            <w:tcW w:w="380" w:type="dxa"/>
            <w:vAlign w:val="bottom"/>
          </w:tcPr>
          <w:p>
            <w:pPr>
              <w:spacing w:after="0"/>
              <w:rPr>
                <w:sz w:val="21"/>
                <w:szCs w:val="21"/>
                <w:color w:val="auto"/>
              </w:rPr>
            </w:pPr>
          </w:p>
        </w:tc>
      </w:tr>
      <w:tr>
        <w:trPr>
          <w:trHeight w:val="20"/>
        </w:trPr>
        <w:tc>
          <w:tcPr>
            <w:tcW w:w="34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825"/>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20" w:type="dxa"/>
            <w:vAlign w:val="bottom"/>
          </w:tcPr>
          <w:p>
            <w:pPr>
              <w:jc w:val="right"/>
              <w:ind w:right="77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358"/>
        </w:trPr>
        <w:tc>
          <w:tcPr>
            <w:tcW w:w="34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234"/>
        </w:trPr>
        <w:tc>
          <w:tcPr>
            <w:tcW w:w="6580" w:type="dxa"/>
            <w:vAlign w:val="bottom"/>
            <w:gridSpan w:val="2"/>
          </w:tcPr>
          <w:p>
            <w:pPr>
              <w:spacing w:after="0"/>
              <w:rPr>
                <w:sz w:val="20"/>
                <w:szCs w:val="20"/>
                <w:color w:val="auto"/>
              </w:rPr>
            </w:pPr>
            <w:r>
              <w:rPr>
                <w:rFonts w:ascii="Arial" w:cs="Arial" w:eastAsia="Arial" w:hAnsi="Arial"/>
                <w:sz w:val="18"/>
                <w:szCs w:val="18"/>
                <w:b w:val="1"/>
                <w:bCs w:val="1"/>
                <w:color w:val="auto"/>
              </w:rPr>
              <w:t>4.  Long-Term Debt</w:t>
            </w: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340" w:type="dxa"/>
            <w:vAlign w:val="bottom"/>
          </w:tcPr>
          <w:p>
            <w:pPr>
              <w:spacing w:after="0"/>
              <w:rPr>
                <w:sz w:val="24"/>
                <w:szCs w:val="24"/>
                <w:color w:val="auto"/>
              </w:rPr>
            </w:pPr>
          </w:p>
        </w:tc>
        <w:tc>
          <w:tcPr>
            <w:tcW w:w="6240" w:type="dxa"/>
            <w:vAlign w:val="bottom"/>
          </w:tcPr>
          <w:p>
            <w:pPr>
              <w:ind w:left="320"/>
              <w:spacing w:after="0"/>
              <w:rPr>
                <w:sz w:val="20"/>
                <w:szCs w:val="20"/>
                <w:color w:val="auto"/>
              </w:rPr>
            </w:pPr>
            <w:r>
              <w:rPr>
                <w:rFonts w:ascii="Arial" w:cs="Arial" w:eastAsia="Arial" w:hAnsi="Arial"/>
                <w:sz w:val="18"/>
                <w:szCs w:val="18"/>
                <w:color w:val="auto"/>
              </w:rPr>
              <w:t>Our debt consisted of the following (amounts in thousands) as of:</w:t>
            </w: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6"/>
        </w:trPr>
        <w:tc>
          <w:tcPr>
            <w:tcW w:w="34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29, 2022</w:t>
            </w:r>
          </w:p>
        </w:tc>
        <w:tc>
          <w:tcPr>
            <w:tcW w:w="480" w:type="dxa"/>
            <w:vAlign w:val="bottom"/>
          </w:tcPr>
          <w:p>
            <w:pPr>
              <w:spacing w:after="0"/>
              <w:rPr>
                <w:sz w:val="22"/>
                <w:szCs w:val="22"/>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January 30, 2021</w:t>
            </w:r>
          </w:p>
        </w:tc>
      </w:tr>
      <w:tr>
        <w:trPr>
          <w:trHeight w:val="223"/>
        </w:trPr>
        <w:tc>
          <w:tcPr>
            <w:tcW w:w="340" w:type="dxa"/>
            <w:vAlign w:val="bottom"/>
          </w:tcPr>
          <w:p>
            <w:pPr>
              <w:spacing w:after="0"/>
              <w:rPr>
                <w:sz w:val="19"/>
                <w:szCs w:val="19"/>
                <w:color w:val="auto"/>
              </w:rPr>
            </w:pPr>
          </w:p>
        </w:tc>
        <w:tc>
          <w:tcPr>
            <w:tcW w:w="62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ABL Facility, due November 2025</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4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Term Loan, due November 2027</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297,750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400,000</w:t>
            </w:r>
          </w:p>
        </w:tc>
      </w:tr>
      <w:tr>
        <w:trPr>
          <w:trHeight w:val="230"/>
        </w:trPr>
        <w:tc>
          <w:tcPr>
            <w:tcW w:w="34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due November 2027</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400,000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3"/>
        </w:trPr>
        <w:tc>
          <w:tcPr>
            <w:tcW w:w="340" w:type="dxa"/>
            <w:vAlign w:val="bottom"/>
          </w:tcPr>
          <w:p>
            <w:pPr>
              <w:spacing w:after="0"/>
              <w:rPr>
                <w:sz w:val="19"/>
                <w:szCs w:val="19"/>
                <w:color w:val="auto"/>
              </w:rPr>
            </w:pPr>
          </w:p>
        </w:tc>
        <w:tc>
          <w:tcPr>
            <w:tcW w:w="624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697,750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800,000</w:t>
            </w:r>
          </w:p>
        </w:tc>
      </w:tr>
      <w:tr>
        <w:trPr>
          <w:trHeight w:val="230"/>
        </w:trPr>
        <w:tc>
          <w:tcPr>
            <w:tcW w:w="340" w:type="dxa"/>
            <w:vAlign w:val="bottom"/>
          </w:tcPr>
          <w:p>
            <w:pPr>
              <w:spacing w:after="0"/>
              <w:rPr>
                <w:sz w:val="19"/>
                <w:szCs w:val="19"/>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current maturities</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340" w:type="dxa"/>
            <w:vAlign w:val="bottom"/>
          </w:tcPr>
          <w:p>
            <w:pPr>
              <w:spacing w:after="0"/>
              <w:rPr>
                <w:sz w:val="19"/>
                <w:szCs w:val="19"/>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Less unamortized discount on Term Loan</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(2,463)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(3,861)</w:t>
            </w:r>
          </w:p>
        </w:tc>
      </w:tr>
      <w:tr>
        <w:trPr>
          <w:trHeight w:val="229"/>
        </w:trPr>
        <w:tc>
          <w:tcPr>
            <w:tcW w:w="340" w:type="dxa"/>
            <w:vAlign w:val="bottom"/>
          </w:tcPr>
          <w:p>
            <w:pPr>
              <w:spacing w:after="0"/>
              <w:rPr>
                <w:sz w:val="19"/>
                <w:szCs w:val="19"/>
                <w:color w:val="auto"/>
              </w:rPr>
            </w:pPr>
          </w:p>
        </w:tc>
        <w:tc>
          <w:tcPr>
            <w:tcW w:w="6240" w:type="dxa"/>
            <w:vAlign w:val="bottom"/>
            <w:shd w:val="clear" w:color="auto" w:fill="CCEEFF"/>
          </w:tcPr>
          <w:p>
            <w:pPr>
              <w:ind w:left="340"/>
              <w:spacing w:after="0" w:line="230" w:lineRule="exact"/>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23"/>
                <w:szCs w:val="23"/>
                <w:color w:val="auto"/>
                <w:vertAlign w:val="superscript"/>
              </w:rPr>
              <w:t>(1)</w:t>
            </w: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(8,702)</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(10,650)</w:t>
            </w:r>
          </w:p>
        </w:tc>
      </w:tr>
      <w:tr>
        <w:trPr>
          <w:trHeight w:val="223"/>
        </w:trPr>
        <w:tc>
          <w:tcPr>
            <w:tcW w:w="340" w:type="dxa"/>
            <w:vAlign w:val="bottom"/>
          </w:tcPr>
          <w:p>
            <w:pPr>
              <w:spacing w:after="0"/>
              <w:rPr>
                <w:sz w:val="19"/>
                <w:szCs w:val="19"/>
                <w:color w:val="auto"/>
              </w:rPr>
            </w:pPr>
          </w:p>
        </w:tc>
        <w:tc>
          <w:tcPr>
            <w:tcW w:w="6240" w:type="dxa"/>
            <w:vAlign w:val="bottom"/>
          </w:tcPr>
          <w:p>
            <w:pPr>
              <w:ind w:left="540"/>
              <w:spacing w:after="0"/>
              <w:rPr>
                <w:sz w:val="20"/>
                <w:szCs w:val="20"/>
                <w:color w:val="auto"/>
              </w:rPr>
            </w:pPr>
            <w:r>
              <w:rPr>
                <w:rFonts w:ascii="Arial" w:cs="Arial" w:eastAsia="Arial" w:hAnsi="Arial"/>
                <w:sz w:val="18"/>
                <w:szCs w:val="18"/>
                <w:color w:val="auto"/>
              </w:rPr>
              <w:t>Long-term debt, net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683,585</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781,489</w:t>
            </w:r>
          </w:p>
        </w:tc>
      </w:tr>
      <w:tr>
        <w:trPr>
          <w:trHeight w:val="21"/>
        </w:trPr>
        <w:tc>
          <w:tcPr>
            <w:tcW w:w="34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ind w:left="340"/>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Deferred loan costs are related to the Term Loan and Notes.</w:t>
      </w:r>
    </w:p>
    <w:p>
      <w:pPr>
        <w:spacing w:after="0" w:line="200" w:lineRule="exact"/>
        <w:rPr>
          <w:sz w:val="20"/>
          <w:szCs w:val="20"/>
          <w:color w:val="auto"/>
        </w:rPr>
      </w:pPr>
    </w:p>
    <w:p>
      <w:pPr>
        <w:jc w:val="both"/>
        <w:ind w:left="340" w:firstLine="324"/>
        <w:spacing w:after="0" w:line="279" w:lineRule="auto"/>
        <w:rPr>
          <w:sz w:val="20"/>
          <w:szCs w:val="20"/>
          <w:color w:val="auto"/>
        </w:rPr>
      </w:pPr>
      <w:r>
        <w:rPr>
          <w:rFonts w:ascii="Arial" w:cs="Arial" w:eastAsia="Arial" w:hAnsi="Arial"/>
          <w:sz w:val="17"/>
          <w:szCs w:val="17"/>
          <w:color w:val="auto"/>
        </w:rPr>
        <w:t>As of January 29, 2022 and January 30, 2021, the balance in deferred loan costs related to the ABL Facility (as defined below) was approximately $4.3 million and $5.5 million, respectively, and was included in other noncurrent assets on our consolidated balance sheets. Total amortization of deferred loan costs was $2.7 million, $2.6 million and $2.6 million in 2021, 2020 and 2019, respectively. Total expenses related to accretion of original issuance discount were $0.5 million, $1.0 million and $1.1 million in 2021, 2020 and 2019, respectively.</w:t>
      </w:r>
    </w:p>
    <w:p>
      <w:pPr>
        <w:spacing w:after="0" w:line="117" w:lineRule="exact"/>
        <w:rPr>
          <w:sz w:val="20"/>
          <w:szCs w:val="20"/>
          <w:color w:val="auto"/>
        </w:rPr>
      </w:pPr>
    </w:p>
    <w:p>
      <w:pPr>
        <w:jc w:val="both"/>
        <w:ind w:left="340" w:right="20" w:firstLine="324"/>
        <w:spacing w:after="0" w:line="311" w:lineRule="auto"/>
        <w:rPr>
          <w:sz w:val="20"/>
          <w:szCs w:val="20"/>
          <w:color w:val="auto"/>
        </w:rPr>
      </w:pPr>
      <w:r>
        <w:rPr>
          <w:rFonts w:ascii="Arial" w:cs="Arial" w:eastAsia="Arial" w:hAnsi="Arial"/>
          <w:sz w:val="16"/>
          <w:szCs w:val="16"/>
          <w:color w:val="auto"/>
        </w:rPr>
        <w:t>On November 6, 2020, the Company issued the Notes (as defined below), entered into the 2020 Term Loan (as defined below), and entered into the 2020 ABL Facility (the "Refinancing Transactions"). The Company used the net proceeds from the Notes and the net proceeds from the 2020 Term Loan, together with cash on hand, to repay in full outstanding borrowings under its then-existing term loan, in the amount of $1,431.4 million.</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25, 2021, the Company refinanced its 2020 Term Loan and paid down approximately $99.0 million of the 2020 Term Loan.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u w:val="single" w:color="auto"/>
          <w:color w:val="auto"/>
        </w:rPr>
        <w:t>Term Loan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refer to the 2015 Term Loan, the 2020 Term Loan and the Amendment collectively as the "Term Loan".</w:t>
      </w:r>
    </w:p>
    <w:p>
      <w:pPr>
        <w:spacing w:after="0" w:line="252" w:lineRule="exact"/>
        <w:rPr>
          <w:sz w:val="20"/>
          <w:szCs w:val="20"/>
          <w:color w:val="auto"/>
        </w:rPr>
      </w:pPr>
    </w:p>
    <w:p>
      <w:pPr>
        <w:jc w:val="both"/>
        <w:ind w:left="340" w:firstLine="324"/>
        <w:spacing w:after="0" w:line="291" w:lineRule="auto"/>
        <w:rPr>
          <w:sz w:val="20"/>
          <w:szCs w:val="20"/>
          <w:color w:val="auto"/>
        </w:rPr>
      </w:pPr>
      <w:r>
        <w:rPr>
          <w:rFonts w:ascii="Arial" w:cs="Arial" w:eastAsia="Arial" w:hAnsi="Arial"/>
          <w:sz w:val="16"/>
          <w:szCs w:val="16"/>
          <w:color w:val="auto"/>
        </w:rPr>
        <w:t>On July 2, 2015, Academy, Ltd. entered into a seven-year $1.8 billion senior secured term loan (the "2015 Term Loan") with Morgan Stanley Senior Funding, Inc., as the administrative and collateral agent, and other lenders, and a five-year $650 million secured asset-based revolving credit facility (the "2015 ABL Facility") with JPMorgan Chase Bank, N.A., as administrative agent, and other lenders. Academy, Ltd. received proceeds from the 2015 Term Loan of $1.8 billion, which was net of discount of $9.1 million. The 2015 Term Loan bore interest at our election, at either (1) LIBOR rate with a floor of 1.00%, plus a margin of 4.00%, or (2) a base rate equal to the highest of (a) the federal funds rate plus 0.50%, (b) Morgan Stanley Senior Funding, Inc.'s "prime rate", or (c) the one-month LIBOR rate plus 1.00%, plus a margin of 3.00%. Quarterly principal payments of approximately $4.6 million were required through June 30, 2022, with the balance due in full on the maturity date of July 2, 2022.</w:t>
      </w:r>
    </w:p>
    <w:p>
      <w:pPr>
        <w:spacing w:after="0" w:line="193"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On November 6, 2020, Academy, Ltd. entered into a seven-year $400.0 million senior secured term loan (the "2020 Term Loan") with Credit Suisse AG, Cayman Island Branch ("Credit Suisse"), as the administrative agent and collateral agent and the several other lenders and parties. The 2020 Term Loan will mature on November 6, 2027. The 2020 Term Loan bore interest, at Academy, Ltd.’s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were required through September 30, 2027, with the balance due in full on the maturity date of November 6, 2027.</w:t>
      </w:r>
    </w:p>
    <w:p>
      <w:pPr>
        <w:spacing w:after="0" w:line="2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88" w:name="page89"/>
    <w:bookmarkEnd w:id="88"/>
    <w:p>
      <w:pPr>
        <w:jc w:val="both"/>
        <w:ind w:firstLine="324"/>
        <w:spacing w:after="0" w:line="287" w:lineRule="auto"/>
        <w:rPr>
          <w:sz w:val="20"/>
          <w:szCs w:val="20"/>
          <w:color w:val="auto"/>
        </w:rPr>
      </w:pPr>
      <w:r>
        <w:rPr>
          <w:rFonts w:ascii="Arial" w:cs="Arial" w:eastAsia="Arial" w:hAnsi="Arial"/>
          <w:sz w:val="16"/>
          <w:szCs w:val="16"/>
          <w:color w:val="auto"/>
        </w:rPr>
        <w:t>On May 25, 2021, Academy, Ltd. entered into Amendment No. 4 (the “Amendment”) to the Second Amended and Restated Credit Agreement, dated as of November 6, 2020, among Academy, Ltd., as Borrower, Credit Suisse AG, Cayman Islands Branch, as the administrative agent and collateral agent, the several lenders party thereto and the several other parties named therein (as previously amended, the “Existing Credit Agreement” and as amended by the Amendment, the “Amended Credit Agreement”). Pursuant to the terms of the Amendment, Academy, Ltd. (i) reduced the applicable margin on LIBOR borrowings under the Existing Credit Agreement from 5.00% to 3.75% and (ii) utilized cash on hand to repay $99.0 million of outstanding borrowings under the Existing Credit Agreement, leaving an outstanding principal balance of $300.0 million under the Amended Credit Agreement. Quarterly principal payments of $750.0 thousand are required through September 30, 2027 and borrowings under the Amended Credit Agreement will continue to mature on November 6, 2027. All other material terms and provisions of the 2020 Term Loan remain substantially the same as the terms and provisions in place immediately prior to the effectiveness of the Amendment. As of January 29, 2022, the weighted average interest rate was 4.50%, with interest payable monthly. The terms and conditions of the Amendment also require that the outstanding balance under the Term Loan is prepaid under certain circumstances. In connection with the 2020 Term Loan and the Amendment, the Company capitalized related professional fees of $5.8 million as deferred loan costs.</w:t>
      </w:r>
    </w:p>
    <w:p>
      <w:pPr>
        <w:spacing w:after="0" w:line="1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Amended Credit Agreement contains customary events of default such as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 As of January 29, 2022, no prepayment was due under the terms and conditions of the Term Loan.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Amendment, the Company recognized a non-cash loss on early retirement of debt of $2.2 million in 2021 from the write-off of deferred loan costs and expense related to the original issuance discount associated with our 2020 Term Loan.</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color w:val="auto"/>
        </w:rPr>
        <w:t>Prior to the Refinancing Transactions in 2020, we repurchased principal on our Term Loan. The following table provides further detail regarding these repurchases (amounts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6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Fiscal Year Ended</w:t>
            </w:r>
          </w:p>
        </w:tc>
        <w:tc>
          <w:tcPr>
            <w:tcW w:w="500" w:type="dxa"/>
            <w:vAlign w:val="bottom"/>
            <w:tcBorders>
              <w:bottom w:val="single" w:sz="8" w:color="auto"/>
            </w:tcBorders>
          </w:tcPr>
          <w:p>
            <w:pPr>
              <w:spacing w:after="0"/>
              <w:rPr>
                <w:sz w:val="20"/>
                <w:szCs w:val="20"/>
                <w:color w:val="auto"/>
              </w:rPr>
            </w:pPr>
          </w:p>
        </w:tc>
      </w:tr>
      <w:tr>
        <w:trPr>
          <w:trHeight w:val="223"/>
        </w:trPr>
        <w:tc>
          <w:tcPr>
            <w:tcW w:w="5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January 30, 2021</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February 1, 2020</w:t>
            </w:r>
          </w:p>
        </w:tc>
        <w:tc>
          <w:tcPr>
            <w:tcW w:w="500" w:type="dxa"/>
            <w:vAlign w:val="bottom"/>
            <w:tcBorders>
              <w:bottom w:val="single" w:sz="8" w:color="auto"/>
            </w:tcBorders>
          </w:tcPr>
          <w:p>
            <w:pPr>
              <w:spacing w:after="0"/>
              <w:rPr>
                <w:sz w:val="19"/>
                <w:szCs w:val="19"/>
                <w:color w:val="auto"/>
              </w:rPr>
            </w:pPr>
          </w:p>
        </w:tc>
      </w:tr>
      <w:tr>
        <w:trPr>
          <w:trHeight w:val="22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principal repurchased</w:t>
            </w:r>
          </w:p>
        </w:tc>
        <w:tc>
          <w:tcPr>
            <w:tcW w:w="188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147.7</w:t>
            </w:r>
          </w:p>
        </w:tc>
      </w:tr>
      <w:tr>
        <w:trPr>
          <w:trHeight w:val="230"/>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Reacquisition price of debt</w:t>
            </w:r>
          </w:p>
        </w:tc>
        <w:tc>
          <w:tcPr>
            <w:tcW w:w="1880" w:type="dxa"/>
            <w:vAlign w:val="bottom"/>
          </w:tcPr>
          <w:p>
            <w:pPr>
              <w:jc w:val="right"/>
              <w:ind w:right="16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1840" w:type="dxa"/>
            <w:vAlign w:val="bottom"/>
          </w:tcPr>
          <w:p>
            <w:pPr>
              <w:jc w:val="right"/>
              <w:ind w:right="163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104.6</w:t>
            </w:r>
          </w:p>
        </w:tc>
      </w:tr>
      <w:tr>
        <w:trPr>
          <w:trHeight w:val="229"/>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gain recognized</w:t>
            </w:r>
          </w:p>
        </w:tc>
        <w:tc>
          <w:tcPr>
            <w:tcW w:w="188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6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r>
    </w:tbl>
    <w:p>
      <w:pPr>
        <w:spacing w:after="0" w:line="8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connection with the Refinancing Transactions in 2020, the Company recognized a non-cash loss on early retirement of debt of $4.2 million from the write-off of deferred loan costs and expense related to the original issuance discount associated with our 2015 Term Loan.</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Notes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November 6, 2020, Academy, Ltd. issued $400.0 million of 6.00% senior secured notes which are due November 15, 2027 (the "Notes"), pursuant to an indenture, dated as of November 6, 2020 (the "Indenture"), with Academy, Ltd. the Guarantors (as defined below) and The Bank of New York Mellon Trust Company, N.A., as trustee and collateral agent (in such capacity, the "Notes Collateral Agent"). The Notes will pay interest semi-annually in arrears in cash on May 15 and November 15 of each year at a rate of 6.00% per year, commencing on May 15, 2021. In connection with issuance of the Notes, the Company capitalized related professional fees of $5.2 million as deferred loan costs.</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Notes are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2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89" w:name="page90"/>
    <w:bookmarkEnd w:id="89"/>
    <w:p>
      <w:pPr>
        <w:jc w:val="both"/>
        <w:ind w:firstLine="324"/>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Notes at the redemption prices set forth in the Indenture, plus accrued and unpaid interest, if any, to, but excluding, the applicable redemption date. At any time prior to November 15, 2023, Academy, Ltd. may, at its option and on one or more occasions, redeem all or part of the Notes at a redemption price equal to 100% of the principal amount of the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Notes at a redemption price equal to 106%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4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Notes at a price equal to 101% of the principal amount thereof, plus accrued and unpaid interest, if any, to, but excluding, the repurchase date.</w:t>
      </w:r>
    </w:p>
    <w:p>
      <w:pPr>
        <w:spacing w:after="0" w:line="13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Indenture provides for events of default which include (subject in certain cases to customary grace and cure periods), among others, nonpayment of principal or interest, breach of other agreements in respect of the Notes, acceleration of certain other indebtedness, failure to pay certain final judgments, failure of certain guarantees to be enforceable, failure to perfect certain collateral securing the Notes and certain events of bankruptcy or insolvency, which events of default, if any occur, would permit or require the principal, premium, if any, interest and any other monetary obligations on all the then-outstanding Notes to be due and payable immediately.</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u w:val="single" w:color="auto"/>
          <w:color w:val="auto"/>
        </w:rPr>
        <w:t>ABL Facility</w:t>
      </w:r>
    </w:p>
    <w:p>
      <w:pPr>
        <w:spacing w:after="0" w:line="25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refer to the 2015 ABL Facility and the 2020 ABL Facility collectively as the "ABL Facility".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 2015, Academy, Ltd. entered into a five-year $650 million secured asset-based revolving credit facility (the "2015 ABL Facility"). On May 22, 2018, the Company amended the agreement governing the 2015 ABL Facility, to increase the commitment on the facility from $650 million to $1 billion. In connection with the amendment to the 2015 ABL Facility, the Company capitalized related professional fees of $2.8 million as deferred loan costs and wrote off $0.1 million in previously capitalized deferred loan costs. The 2015 ABL Facility was scheduled to mature on May 22, 2023.</w:t>
      </w:r>
    </w:p>
    <w:p>
      <w:pPr>
        <w:spacing w:after="0" w:line="13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November 6, 2020, Academy, Ltd., as borrower, and the Guarantors, as guarantors, amended the 2015 ABL Facility by entering into an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(the "2020 ABL Facility"), among other things, extended the maturity of Academy, Ltd.’s asset-based revolving credit facility thereunder to November 6, 2025. In connection with the 2020 ABL Facility, the Company capitalized related professional fees of $3.1 million as deferred loan costs.</w:t>
      </w:r>
    </w:p>
    <w:p>
      <w:pPr>
        <w:spacing w:after="0" w:line="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January 29, 2022, we had outstanding letters of credit of approximately $21.4 million, of which $17.8 million were issued under the ABL Facility, and we had no borrowings outstanding under the ABL Facility, leaving the available borrowing capacity under the ABL Facility of $874.8 million.</w:t>
      </w:r>
    </w:p>
    <w:p>
      <w:pPr>
        <w:spacing w:after="0" w:line="20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January 29, 2022, no future prepayments of outstanding loans have been triggered under the terms and conditions of the ABL Facility.</w:t>
      </w:r>
    </w:p>
    <w:p>
      <w:pPr>
        <w:spacing w:after="0" w:line="27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90" w:name="page91"/>
    <w:bookmarkEnd w:id="90"/>
    <w:p>
      <w:pPr>
        <w:jc w:val="both"/>
        <w:ind w:firstLine="324"/>
        <w:spacing w:after="0" w:line="263" w:lineRule="auto"/>
        <w:rPr>
          <w:sz w:val="20"/>
          <w:szCs w:val="20"/>
          <w:color w:val="auto"/>
        </w:rPr>
      </w:pPr>
      <w:r>
        <w:rPr>
          <w:rFonts w:ascii="Arial" w:cs="Arial" w:eastAsia="Arial" w:hAnsi="Arial"/>
          <w:sz w:val="18"/>
          <w:szCs w:val="18"/>
          <w:b w:val="1"/>
          <w:bCs w:val="1"/>
          <w:i w:val="1"/>
          <w:iCs w:val="1"/>
          <w:u w:val="single" w:color="auto"/>
          <w:color w:val="auto"/>
        </w:rPr>
        <w:t>Liens and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ABL Facility has a first priority lien on all Academy, Ltd.'s cash, accounts receivable, inventory, deposit and securities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accounts and proceeds therefrom (the "ABL Collateral"). Additionally, the ABL Facility has a second priority lien on all other collateral of the Term Loan. All obligations under the Term Loan and the guarantees of those obligations are secured by:</w:t>
      </w:r>
    </w:p>
    <w:p>
      <w:pPr>
        <w:spacing w:after="0" w:line="211" w:lineRule="exact"/>
        <w:rPr>
          <w:sz w:val="20"/>
          <w:szCs w:val="20"/>
          <w:color w:val="auto"/>
        </w:rPr>
      </w:pPr>
    </w:p>
    <w:p>
      <w:pPr>
        <w:ind w:left="720" w:hanging="323"/>
        <w:spacing w:after="0"/>
        <w:tabs>
          <w:tab w:leader="none" w:pos="7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second-priority security interest in the ABL Collateral;</w:t>
      </w:r>
    </w:p>
    <w:p>
      <w:pPr>
        <w:spacing w:after="0" w:line="23" w:lineRule="exact"/>
        <w:rPr>
          <w:rFonts w:ascii="Arial" w:cs="Arial" w:eastAsia="Arial" w:hAnsi="Arial"/>
          <w:sz w:val="18"/>
          <w:szCs w:val="18"/>
          <w:color w:val="auto"/>
        </w:rPr>
      </w:pPr>
    </w:p>
    <w:p>
      <w:pPr>
        <w:ind w:left="720" w:right="20" w:hanging="323"/>
        <w:spacing w:after="0" w:line="250" w:lineRule="auto"/>
        <w:tabs>
          <w:tab w:leader="none" w:pos="715"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Ltd and the Guarantors.; and</w:t>
      </w:r>
    </w:p>
    <w:p>
      <w:pPr>
        <w:ind w:left="720" w:right="20" w:hanging="323"/>
        <w:spacing w:after="0" w:line="290" w:lineRule="auto"/>
        <w:tabs>
          <w:tab w:leader="none" w:pos="715" w:val="left"/>
        </w:tabs>
        <w:numPr>
          <w:ilvl w:val="0"/>
          <w:numId w:val="57"/>
        </w:numPr>
        <w:rPr>
          <w:rFonts w:ascii="Arial" w:cs="Arial" w:eastAsia="Arial" w:hAnsi="Arial"/>
          <w:sz w:val="17"/>
          <w:szCs w:val="17"/>
          <w:color w:val="auto"/>
        </w:rPr>
      </w:pPr>
      <w:r>
        <w:rPr>
          <w:rFonts w:ascii="Arial" w:cs="Arial" w:eastAsia="Arial" w:hAnsi="Arial"/>
          <w:sz w:val="17"/>
          <w:szCs w:val="17"/>
          <w:color w:val="auto"/>
        </w:rPr>
        <w:t>a first-priority pledge of 100% of the capital stock of Academy, Ltd. and its domestic subsidiaries and 66% of the voting capital stock of each of Academy, Ltd.'s foreign subsidiaries, if any, that are directly owned by Academy, Ltd. or a future U.S. guarantor, if any.</w:t>
      </w:r>
    </w:p>
    <w:p>
      <w:pPr>
        <w:spacing w:after="0" w:line="10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Term Loan is guaranteed by the Guarantors on a senior secured basis. All obligations under the Term Loan and the guarantees of those obligations will be secured by:</w:t>
      </w:r>
    </w:p>
    <w:p>
      <w:pPr>
        <w:spacing w:after="0" w:line="197" w:lineRule="exact"/>
        <w:rPr>
          <w:sz w:val="20"/>
          <w:szCs w:val="20"/>
          <w:color w:val="auto"/>
        </w:rPr>
      </w:pPr>
    </w:p>
    <w:p>
      <w:pPr>
        <w:ind w:left="720" w:hanging="323"/>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second-priority security interest in the ABL Priority Collateral;</w:t>
      </w:r>
    </w:p>
    <w:p>
      <w:pPr>
        <w:spacing w:after="0" w:line="23" w:lineRule="exact"/>
        <w:rPr>
          <w:rFonts w:ascii="Arial" w:cs="Arial" w:eastAsia="Arial" w:hAnsi="Arial"/>
          <w:sz w:val="18"/>
          <w:szCs w:val="18"/>
          <w:color w:val="auto"/>
        </w:rPr>
      </w:pPr>
    </w:p>
    <w:p>
      <w:pPr>
        <w:ind w:left="720" w:hanging="323"/>
        <w:spacing w:after="0" w:line="250" w:lineRule="auto"/>
        <w:tabs>
          <w:tab w:leader="none" w:pos="7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and the Guarantors; and</w:t>
      </w:r>
    </w:p>
    <w:p>
      <w:pPr>
        <w:ind w:left="720" w:hanging="323"/>
        <w:spacing w:after="0" w:line="260" w:lineRule="auto"/>
        <w:tabs>
          <w:tab w:leader="none" w:pos="71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first-priority pledge of 100% of the capital stock of Academy and its domestic subsidiaries and 66% of the voting capital stock of each of Academy’s foreign subsidiaries, if any, that are directly owned by Academy or a future U.S. guarantor, if any.</w:t>
      </w:r>
    </w:p>
    <w:p>
      <w:pPr>
        <w:spacing w:after="0" w:line="13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order to secure the Notes and the guarantees, Academy, Ltd. and the Guarantors entered into certain security documents with the Notes Collateral Agent, including a security agreement and a pledge agreement, each dated as of November 6, 2020. The Notes and the guarantees are secured by:</w:t>
      </w:r>
    </w:p>
    <w:p>
      <w:pPr>
        <w:spacing w:after="0" w:line="211" w:lineRule="exact"/>
        <w:rPr>
          <w:sz w:val="20"/>
          <w:szCs w:val="20"/>
          <w:color w:val="auto"/>
        </w:rPr>
      </w:pPr>
    </w:p>
    <w:p>
      <w:pPr>
        <w:ind w:left="720" w:hanging="323"/>
        <w:spacing w:after="0"/>
        <w:tabs>
          <w:tab w:leader="none" w:pos="72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first-priority lien on all of Academy, Ltd.’s and the Guarantors’ personal property that secure the Term Loan on a first-priority basis; and</w:t>
      </w:r>
    </w:p>
    <w:p>
      <w:pPr>
        <w:spacing w:after="0" w:line="46" w:lineRule="exact"/>
        <w:rPr>
          <w:rFonts w:ascii="Arial" w:cs="Arial" w:eastAsia="Arial" w:hAnsi="Arial"/>
          <w:sz w:val="16"/>
          <w:szCs w:val="16"/>
          <w:color w:val="auto"/>
        </w:rPr>
      </w:pPr>
    </w:p>
    <w:p>
      <w:pPr>
        <w:jc w:val="both"/>
        <w:ind w:left="720" w:hanging="323"/>
        <w:spacing w:after="0" w:line="277" w:lineRule="auto"/>
        <w:tabs>
          <w:tab w:leader="none" w:pos="71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second-priority lien on Academy, Ltd.’s and the Guarantors’ personal property consisting of accounts and all other rights to payment, inventory, tax refunds, cash, deposit accounts, securities and commodities accounts, and documents and supporting obligations, securing the ABL Facility on a first-priority basis and the Term Loan on a second-priority basis (the "ABL Priority Collateral").</w:t>
      </w:r>
    </w:p>
    <w:p>
      <w:pPr>
        <w:spacing w:after="0" w:line="2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u w:val="single" w:color="auto"/>
          <w:color w:val="auto"/>
        </w:rPr>
        <w:t>Covenants.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ABL Facility, Term Loan and Notes agreements contain covenants, including, among other things, covenants that restrict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ABL Facility is subject to a minimum adjusted fixed charge coverage ratio. These covenants are subject to certain qualifications and limitations. We were in compliance with these covenants as of January 29, 2022.</w:t>
      </w:r>
    </w:p>
    <w:p>
      <w:pPr>
        <w:spacing w:after="0" w:line="215" w:lineRule="exact"/>
        <w:rPr>
          <w:sz w:val="20"/>
          <w:szCs w:val="20"/>
          <w:color w:val="auto"/>
        </w:rPr>
      </w:pPr>
    </w:p>
    <w:tbl>
      <w:tblPr>
        <w:tblLayout w:type="fixed"/>
        <w:tblInd w:w="320" w:type="dxa"/>
        <w:tblCellMar>
          <w:top w:w="0" w:type="dxa"/>
          <w:left w:w="0" w:type="dxa"/>
          <w:bottom w:w="0" w:type="dxa"/>
          <w:right w:w="0" w:type="dxa"/>
        </w:tblCellMar>
      </w:tblPr>
      <w:tr>
        <w:trPr>
          <w:trHeight w:val="230"/>
        </w:trPr>
        <w:tc>
          <w:tcPr>
            <w:tcW w:w="8680" w:type="dxa"/>
            <w:vAlign w:val="bottom"/>
            <w:gridSpan w:val="4"/>
          </w:tcPr>
          <w:p>
            <w:pPr>
              <w:spacing w:after="0"/>
              <w:rPr>
                <w:sz w:val="20"/>
                <w:szCs w:val="20"/>
                <w:color w:val="auto"/>
              </w:rPr>
            </w:pPr>
            <w:r>
              <w:rPr>
                <w:rFonts w:ascii="Arial" w:cs="Arial" w:eastAsia="Arial" w:hAnsi="Arial"/>
                <w:sz w:val="18"/>
                <w:szCs w:val="18"/>
                <w:color w:val="auto"/>
              </w:rPr>
              <w:t>As of January 29, 2022, scheduled principal payments on our debt are as follows (amounts in thousands):</w:t>
            </w:r>
          </w:p>
        </w:tc>
        <w:tc>
          <w:tcPr>
            <w:tcW w:w="8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6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 w:type="dxa"/>
            <w:vAlign w:val="bottom"/>
            <w:vMerge w:val="continue"/>
          </w:tcPr>
          <w:p>
            <w:pPr>
              <w:spacing w:after="0"/>
              <w:rPr>
                <w:sz w:val="19"/>
                <w:szCs w:val="19"/>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74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2023</w:t>
            </w:r>
          </w:p>
        </w:tc>
        <w:tc>
          <w:tcPr>
            <w:tcW w:w="7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7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auto"/>
              </w:rPr>
              <w:t>2025</w:t>
            </w:r>
          </w:p>
        </w:tc>
        <w:tc>
          <w:tcPr>
            <w:tcW w:w="74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1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2026</w:t>
            </w:r>
          </w:p>
        </w:tc>
        <w:tc>
          <w:tcPr>
            <w:tcW w:w="74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8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682,750</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697,750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91" w:name="page92"/>
    <w:bookmarkEnd w:id="91"/>
    <w:p>
      <w:pPr>
        <w:ind w:left="332" w:hanging="332"/>
        <w:spacing w:after="0"/>
        <w:tabs>
          <w:tab w:leader="none" w:pos="3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5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We have historically used interest rate swap agreements to hedge market risk relating to possible adverse changes in interest rates.</w:t>
      </w:r>
    </w:p>
    <w:p>
      <w:pPr>
        <w:spacing w:after="0" w:line="171" w:lineRule="exact"/>
        <w:rPr>
          <w:sz w:val="20"/>
          <w:szCs w:val="20"/>
          <w:color w:val="auto"/>
        </w:rPr>
      </w:pPr>
    </w:p>
    <w:p>
      <w:pPr>
        <w:jc w:val="both"/>
        <w:ind w:left="332" w:firstLine="324"/>
        <w:spacing w:after="0" w:line="272" w:lineRule="auto"/>
        <w:rPr>
          <w:sz w:val="20"/>
          <w:szCs w:val="20"/>
          <w:color w:val="auto"/>
        </w:rPr>
      </w:pPr>
      <w:r>
        <w:rPr>
          <w:rFonts w:ascii="Arial" w:cs="Arial" w:eastAsia="Arial" w:hAnsi="Arial"/>
          <w:sz w:val="17"/>
          <w:szCs w:val="17"/>
          <w:color w:val="auto"/>
        </w:rPr>
        <w:t>All interest rate swaps had been designated as cash flow hedges of variable rate interest payments on borrowings under the Term Loan. On October 28, 2020, we determined that a portion of the underlying cash flows related to $100.0 million of swap notional principal amount was no longer probable of occurring over the remaining term of the interest rate swaps as a result of the Company's Refinancing Transactions. As a result, we reclassified approximately $1.3 million of losses from accumulated other comprehensive loss ("AOCI") to other (income) expense, net in the third quarter of 2020 related to the portion of the forecasted transaction no longer considered probable of occurring. On January 19, 2021, we settled our three remaining outstanding interest rate swaps in full, which were scheduled to expire on various dates during 2021, for $4.1 million. We do not have any derivative financial instruments outstanding as of January 29, 2022 and January 30, 2021, respectively .</w:t>
      </w:r>
    </w:p>
    <w:p>
      <w:pPr>
        <w:spacing w:after="0" w:line="204" w:lineRule="exact"/>
        <w:rPr>
          <w:sz w:val="20"/>
          <w:szCs w:val="20"/>
          <w:color w:val="auto"/>
        </w:rPr>
      </w:pPr>
    </w:p>
    <w:p>
      <w:pPr>
        <w:jc w:val="both"/>
        <w:ind w:left="332" w:firstLine="324"/>
        <w:spacing w:after="0" w:line="308" w:lineRule="auto"/>
        <w:rPr>
          <w:sz w:val="20"/>
          <w:szCs w:val="20"/>
          <w:color w:val="auto"/>
        </w:rPr>
      </w:pPr>
      <w:r>
        <w:rPr>
          <w:rFonts w:ascii="Arial" w:cs="Arial" w:eastAsia="Arial" w:hAnsi="Arial"/>
          <w:sz w:val="17"/>
          <w:szCs w:val="17"/>
          <w:color w:val="auto"/>
        </w:rPr>
        <w:t>For derivatives previously designated as hedging instruments, amounts included in AOCI were reclassified to interest expense in the same period during which the hedged transaction affected earnings, which is as interest expense was recorded on the underlying Term Loan.</w:t>
      </w:r>
    </w:p>
    <w:p>
      <w:pPr>
        <w:spacing w:after="0" w:line="173" w:lineRule="exact"/>
        <w:rPr>
          <w:sz w:val="20"/>
          <w:szCs w:val="20"/>
          <w:color w:val="auto"/>
        </w:rPr>
      </w:pPr>
    </w:p>
    <w:p>
      <w:pPr>
        <w:jc w:val="both"/>
        <w:ind w:left="332" w:right="20" w:firstLine="324"/>
        <w:spacing w:after="0" w:line="271" w:lineRule="auto"/>
        <w:rPr>
          <w:sz w:val="20"/>
          <w:szCs w:val="20"/>
          <w:color w:val="auto"/>
        </w:rPr>
      </w:pPr>
      <w:r>
        <w:rPr>
          <w:rFonts w:ascii="Arial" w:cs="Arial" w:eastAsia="Arial" w:hAnsi="Arial"/>
          <w:sz w:val="18"/>
          <w:szCs w:val="18"/>
          <w:color w:val="auto"/>
        </w:rPr>
        <w:t>The impact of gains and losses related to interest rate swaps that were deferred into AOCI and subsequently reclassified into expense is as follows (amounts in thousands):</w:t>
      </w:r>
    </w:p>
    <w:p>
      <w:pPr>
        <w:spacing w:after="0" w:line="1" w:lineRule="exact"/>
        <w:rPr>
          <w:sz w:val="20"/>
          <w:szCs w:val="20"/>
          <w:color w:val="auto"/>
        </w:rPr>
      </w:pPr>
    </w:p>
    <w:tbl>
      <w:tblPr>
        <w:tblLayout w:type="fixed"/>
        <w:tblInd w:w="332"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8"/>
                <w:szCs w:val="18"/>
                <w:b w:val="1"/>
                <w:bCs w:val="1"/>
                <w:color w:val="auto"/>
                <w:w w:val="90"/>
              </w:rPr>
              <w:t>Fiscal Year Ended</w:t>
            </w:r>
          </w:p>
        </w:tc>
        <w:tc>
          <w:tcPr>
            <w:tcW w:w="1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29, 2022</w:t>
            </w:r>
          </w:p>
        </w:tc>
        <w:tc>
          <w:tcPr>
            <w:tcW w:w="160" w:type="dxa"/>
            <w:vAlign w:val="bottom"/>
          </w:tcPr>
          <w:p>
            <w:pPr>
              <w:spacing w:after="0"/>
              <w:rPr>
                <w:sz w:val="19"/>
                <w:szCs w:val="19"/>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January 30, 2021</w:t>
            </w:r>
          </w:p>
        </w:tc>
        <w:tc>
          <w:tcPr>
            <w:tcW w:w="160" w:type="dxa"/>
            <w:vAlign w:val="bottom"/>
          </w:tcPr>
          <w:p>
            <w:pPr>
              <w:spacing w:after="0"/>
              <w:rPr>
                <w:sz w:val="19"/>
                <w:szCs w:val="19"/>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February 1, 2020</w:t>
            </w:r>
          </w:p>
        </w:tc>
        <w:tc>
          <w:tcPr>
            <w:tcW w:w="0" w:type="dxa"/>
            <w:vAlign w:val="bottom"/>
          </w:tcPr>
          <w:p>
            <w:pPr>
              <w:spacing w:after="0"/>
              <w:rPr>
                <w:sz w:val="1"/>
                <w:szCs w:val="1"/>
                <w:color w:val="auto"/>
              </w:rPr>
            </w:pPr>
          </w:p>
        </w:tc>
      </w:tr>
      <w:tr>
        <w:trPr>
          <w:trHeight w:val="223"/>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Accumulated Other Comprehensive Income (Loss), beginning</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176"/>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w w:val="98"/>
              </w:rPr>
              <w:t>Loss deferred into AOCI (net of tax impact of $0, $350, and</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w w:val="90"/>
              </w:rPr>
              <w:t>$0 for the years ended January 29, 2022, January 30, 2021 and</w:t>
            </w:r>
          </w:p>
        </w:tc>
        <w:tc>
          <w:tcPr>
            <w:tcW w:w="180" w:type="dxa"/>
            <w:vAlign w:val="bottom"/>
          </w:tcPr>
          <w:p>
            <w:pPr>
              <w:spacing w:after="0"/>
              <w:rPr>
                <w:sz w:val="15"/>
                <w:szCs w:val="15"/>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(6,303)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(16,096)</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February 1, 2020, respectively)</w:t>
            </w:r>
          </w:p>
        </w:tc>
        <w:tc>
          <w:tcPr>
            <w:tcW w:w="18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Increase (decrease) to interest expense (net of tax benefit</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(expense) of $980, $(1,000), and $0 for the years ended</w:t>
            </w:r>
          </w:p>
        </w:tc>
        <w:tc>
          <w:tcPr>
            <w:tcW w:w="1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8"/>
              </w:rPr>
              <w:t>January 29, 2022, January 30, 2021 and February 1, 2020,</w:t>
            </w:r>
          </w:p>
        </w:tc>
        <w:tc>
          <w:tcPr>
            <w:tcW w:w="18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10,045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rPr>
              <w:t>Loss on swaps from debt refinancing in other (income)</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w w:val="99"/>
              </w:rPr>
              <w:t>expense, net (net of tax impact of $0, $330, and $0 for the</w:t>
            </w:r>
          </w:p>
        </w:tc>
        <w:tc>
          <w:tcPr>
            <w:tcW w:w="1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20"/>
              <w:spacing w:after="0" w:line="176" w:lineRule="exact"/>
              <w:rPr>
                <w:sz w:val="20"/>
                <w:szCs w:val="20"/>
                <w:color w:val="auto"/>
              </w:rPr>
            </w:pPr>
            <w:r>
              <w:rPr>
                <w:rFonts w:ascii="Arial" w:cs="Arial" w:eastAsia="Arial" w:hAnsi="Arial"/>
                <w:sz w:val="18"/>
                <w:szCs w:val="18"/>
                <w:color w:val="auto"/>
                <w:w w:val="91"/>
              </w:rPr>
              <w:t>years ended January 29, 2022, January 30, 2021 and February</w:t>
            </w:r>
          </w:p>
        </w:tc>
        <w:tc>
          <w:tcPr>
            <w:tcW w:w="180" w:type="dxa"/>
            <w:vAlign w:val="bottom"/>
          </w:tcPr>
          <w:p>
            <w:pPr>
              <w:spacing w:after="0"/>
              <w:rPr>
                <w:sz w:val="15"/>
                <w:szCs w:val="15"/>
                <w:color w:val="auto"/>
              </w:rPr>
            </w:pPr>
          </w:p>
        </w:tc>
        <w:tc>
          <w:tcPr>
            <w:tcW w:w="172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5"/>
                <w:szCs w:val="15"/>
                <w:color w:val="auto"/>
              </w:rPr>
            </w:pPr>
          </w:p>
        </w:tc>
        <w:tc>
          <w:tcPr>
            <w:tcW w:w="1640" w:type="dxa"/>
            <w:vAlign w:val="bottom"/>
            <w:vMerge w:val="restart"/>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20"/>
              <w:spacing w:after="0"/>
              <w:rPr>
                <w:sz w:val="20"/>
                <w:szCs w:val="20"/>
                <w:color w:val="auto"/>
              </w:rPr>
            </w:pPr>
            <w:r>
              <w:rPr>
                <w:rFonts w:ascii="Arial" w:cs="Arial" w:eastAsia="Arial" w:hAnsi="Arial"/>
                <w:sz w:val="18"/>
                <w:szCs w:val="18"/>
                <w:color w:val="auto"/>
              </w:rPr>
              <w:t>1, 2020, respectively)</w:t>
            </w:r>
          </w:p>
        </w:tc>
        <w:tc>
          <w:tcPr>
            <w:tcW w:w="180" w:type="dxa"/>
            <w:vAlign w:val="bottom"/>
          </w:tcPr>
          <w:p>
            <w:pPr>
              <w:spacing w:after="0"/>
              <w:rPr>
                <w:sz w:val="19"/>
                <w:szCs w:val="19"/>
                <w:color w:val="auto"/>
              </w:rPr>
            </w:pPr>
          </w:p>
        </w:tc>
        <w:tc>
          <w:tcPr>
            <w:tcW w:w="17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 ending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(8,066)</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332" w:hanging="332"/>
        <w:spacing w:after="0"/>
        <w:tabs>
          <w:tab w:leader="none" w:pos="33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jc w:val="both"/>
        <w:ind w:left="332" w:firstLine="324"/>
        <w:spacing w:after="0" w:line="254"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fair value measurements are classified as either:</w:t>
      </w:r>
    </w:p>
    <w:p>
      <w:pPr>
        <w:spacing w:after="0" w:line="238" w:lineRule="exact"/>
        <w:rPr>
          <w:sz w:val="20"/>
          <w:szCs w:val="20"/>
          <w:color w:val="auto"/>
        </w:rPr>
      </w:pPr>
    </w:p>
    <w:p>
      <w:pPr>
        <w:ind w:left="892" w:right="580" w:hanging="244"/>
        <w:spacing w:after="0" w:line="258" w:lineRule="auto"/>
        <w:tabs>
          <w:tab w:leader="none" w:pos="8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1" w:lineRule="exact"/>
        <w:rPr>
          <w:rFonts w:ascii="Arial" w:cs="Arial" w:eastAsia="Arial" w:hAnsi="Arial"/>
          <w:sz w:val="18"/>
          <w:szCs w:val="18"/>
          <w:color w:val="auto"/>
        </w:rPr>
      </w:pPr>
    </w:p>
    <w:p>
      <w:pPr>
        <w:jc w:val="both"/>
        <w:ind w:left="892" w:hanging="244"/>
        <w:spacing w:after="0" w:line="250" w:lineRule="auto"/>
        <w:tabs>
          <w:tab w:leader="none" w:pos="8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1" w:lineRule="exact"/>
        <w:rPr>
          <w:rFonts w:ascii="Arial" w:cs="Arial" w:eastAsia="Arial" w:hAnsi="Arial"/>
          <w:sz w:val="18"/>
          <w:szCs w:val="18"/>
          <w:color w:val="auto"/>
        </w:rPr>
      </w:pPr>
    </w:p>
    <w:p>
      <w:pPr>
        <w:ind w:left="892" w:hanging="244"/>
        <w:spacing w:after="0" w:line="260" w:lineRule="auto"/>
        <w:tabs>
          <w:tab w:leader="none" w:pos="887" w:val="left"/>
        </w:tabs>
        <w:numPr>
          <w:ilvl w:val="0"/>
          <w:numId w:val="62"/>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200" w:lineRule="exact"/>
        <w:rPr>
          <w:sz w:val="20"/>
          <w:szCs w:val="20"/>
          <w:color w:val="auto"/>
        </w:rPr>
      </w:pPr>
    </w:p>
    <w:p>
      <w:pPr>
        <w:spacing w:after="0" w:line="323"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34" w:right="339" w:bottom="1440" w:gutter="0" w:footer="0" w:header="0"/>
        </w:sectPr>
      </w:pPr>
    </w:p>
    <w:bookmarkStart w:id="92" w:name="page93"/>
    <w:bookmarkEnd w:id="92"/>
    <w:p>
      <w:pPr>
        <w:jc w:val="both"/>
        <w:ind w:left="340" w:firstLine="324"/>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252"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We held investments in money market funds of $401.0 million and $284.0 million as of January 29, 2022 and January 30, 2021, respectively.</w:t>
      </w:r>
    </w:p>
    <w:p>
      <w:pPr>
        <w:spacing w:after="0" w:line="130"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fair value of the Term Loan and Notes is estimated using a discounted cash flow analysis based on quoted market prices for the instrument in an inactive market and is therefore classified as Level 2 within the fair value hierarchy. As of January 29, 2022 and January 30, 2021, the estimated fair value of the Term Loan and Notes was $0.7 billion and $0.8 billion, respectively. As borrowings on the ABL Facility are generally repaid in less than 12 months, we believe that fair value approximates the carrying value.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7.  Property and Equipment</w:t>
            </w: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340" w:type="dxa"/>
            <w:vAlign w:val="bottom"/>
          </w:tcPr>
          <w:p>
            <w:pPr>
              <w:spacing w:after="0"/>
              <w:rPr>
                <w:sz w:val="24"/>
                <w:szCs w:val="24"/>
                <w:color w:val="auto"/>
              </w:rPr>
            </w:pPr>
          </w:p>
        </w:tc>
        <w:tc>
          <w:tcPr>
            <w:tcW w:w="6300" w:type="dxa"/>
            <w:vAlign w:val="bottom"/>
          </w:tcPr>
          <w:p>
            <w:pPr>
              <w:ind w:left="320"/>
              <w:spacing w:after="0"/>
              <w:rPr>
                <w:sz w:val="20"/>
                <w:szCs w:val="20"/>
                <w:color w:val="auto"/>
              </w:rPr>
            </w:pPr>
            <w:r>
              <w:rPr>
                <w:rFonts w:ascii="Arial" w:cs="Arial" w:eastAsia="Arial" w:hAnsi="Arial"/>
                <w:sz w:val="18"/>
                <w:szCs w:val="18"/>
                <w:color w:val="auto"/>
                <w:w w:val="94"/>
              </w:rPr>
              <w:t>Property and equipment consists of the following (amounts in thousands) as of:</w:t>
            </w: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63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29, 2022</w:t>
            </w:r>
          </w:p>
        </w:tc>
        <w:tc>
          <w:tcPr>
            <w:tcW w:w="480" w:type="dxa"/>
            <w:vAlign w:val="bottom"/>
          </w:tcPr>
          <w:p>
            <w:pPr>
              <w:spacing w:after="0"/>
              <w:rPr>
                <w:sz w:val="22"/>
                <w:szCs w:val="22"/>
                <w:color w:val="auto"/>
              </w:rPr>
            </w:pPr>
          </w:p>
        </w:tc>
        <w:tc>
          <w:tcPr>
            <w:tcW w:w="158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January 30, 2021</w:t>
            </w:r>
          </w:p>
        </w:tc>
      </w:tr>
      <w:tr>
        <w:trPr>
          <w:trHeight w:val="223"/>
        </w:trPr>
        <w:tc>
          <w:tcPr>
            <w:tcW w:w="340" w:type="dxa"/>
            <w:vAlign w:val="bottom"/>
          </w:tcPr>
          <w:p>
            <w:pPr>
              <w:spacing w:after="0"/>
              <w:rPr>
                <w:sz w:val="19"/>
                <w:szCs w:val="19"/>
                <w:color w:val="auto"/>
              </w:rPr>
            </w:pPr>
          </w:p>
        </w:tc>
        <w:tc>
          <w:tcPr>
            <w:tcW w:w="63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Leasehold improvements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456,918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438,287</w:t>
            </w:r>
          </w:p>
        </w:tc>
      </w:tr>
      <w:tr>
        <w:trPr>
          <w:trHeight w:val="229"/>
        </w:trPr>
        <w:tc>
          <w:tcPr>
            <w:tcW w:w="34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Equipment and software</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602,289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561,333</w:t>
            </w:r>
          </w:p>
        </w:tc>
      </w:tr>
      <w:tr>
        <w:trPr>
          <w:trHeight w:val="229"/>
        </w:trPr>
        <w:tc>
          <w:tcPr>
            <w:tcW w:w="340" w:type="dxa"/>
            <w:vAlign w:val="bottom"/>
          </w:tcPr>
          <w:p>
            <w:pPr>
              <w:spacing w:after="0"/>
              <w:rPr>
                <w:sz w:val="19"/>
                <w:szCs w:val="19"/>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Furniture and fixtures</w:t>
            </w:r>
          </w:p>
        </w:tc>
        <w:tc>
          <w:tcPr>
            <w:tcW w:w="5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336,679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319,764</w:t>
            </w:r>
          </w:p>
        </w:tc>
      </w:tr>
      <w:tr>
        <w:trPr>
          <w:trHeight w:val="230"/>
        </w:trPr>
        <w:tc>
          <w:tcPr>
            <w:tcW w:w="340" w:type="dxa"/>
            <w:vAlign w:val="bottom"/>
          </w:tcPr>
          <w:p>
            <w:pPr>
              <w:spacing w:after="0"/>
              <w:rPr>
                <w:sz w:val="19"/>
                <w:szCs w:val="19"/>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Construction in progress</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11,147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23,575</w:t>
            </w:r>
          </w:p>
        </w:tc>
      </w:tr>
      <w:tr>
        <w:trPr>
          <w:trHeight w:val="230"/>
        </w:trPr>
        <w:tc>
          <w:tcPr>
            <w:tcW w:w="340" w:type="dxa"/>
            <w:vAlign w:val="bottom"/>
          </w:tcPr>
          <w:p>
            <w:pPr>
              <w:spacing w:after="0"/>
              <w:rPr>
                <w:sz w:val="19"/>
                <w:szCs w:val="19"/>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Land</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w:t>
            </w:r>
          </w:p>
        </w:tc>
      </w:tr>
      <w:tr>
        <w:trPr>
          <w:trHeight w:val="223"/>
        </w:trPr>
        <w:tc>
          <w:tcPr>
            <w:tcW w:w="340" w:type="dxa"/>
            <w:vAlign w:val="bottom"/>
          </w:tcPr>
          <w:p>
            <w:pPr>
              <w:spacing w:after="0"/>
              <w:rPr>
                <w:sz w:val="19"/>
                <w:szCs w:val="19"/>
                <w:color w:val="auto"/>
              </w:rPr>
            </w:pPr>
          </w:p>
        </w:tc>
        <w:tc>
          <w:tcPr>
            <w:tcW w:w="6300" w:type="dxa"/>
            <w:vAlign w:val="bottom"/>
          </w:tcPr>
          <w:p>
            <w:pPr>
              <w:ind w:left="500"/>
              <w:spacing w:after="0"/>
              <w:rPr>
                <w:sz w:val="20"/>
                <w:szCs w:val="20"/>
                <w:color w:val="auto"/>
              </w:rPr>
            </w:pPr>
            <w:r>
              <w:rPr>
                <w:rFonts w:ascii="Arial" w:cs="Arial" w:eastAsia="Arial" w:hAnsi="Arial"/>
                <w:sz w:val="18"/>
                <w:szCs w:val="18"/>
                <w:color w:val="auto"/>
              </w:rPr>
              <w:t>Total property and equipment</w:t>
            </w:r>
          </w:p>
        </w:tc>
        <w:tc>
          <w:tcPr>
            <w:tcW w:w="5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1,410,731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1,346,658</w:t>
            </w:r>
          </w:p>
        </w:tc>
      </w:tr>
      <w:tr>
        <w:trPr>
          <w:trHeight w:val="230"/>
        </w:trPr>
        <w:tc>
          <w:tcPr>
            <w:tcW w:w="340" w:type="dxa"/>
            <w:vAlign w:val="bottom"/>
          </w:tcPr>
          <w:p>
            <w:pPr>
              <w:spacing w:after="0"/>
              <w:rPr>
                <w:sz w:val="19"/>
                <w:szCs w:val="19"/>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depreciation and amortization</w:t>
            </w:r>
          </w:p>
        </w:tc>
        <w:tc>
          <w:tcPr>
            <w:tcW w:w="5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(1,064,895)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(968,398)</w:t>
            </w:r>
          </w:p>
        </w:tc>
      </w:tr>
      <w:tr>
        <w:trPr>
          <w:trHeight w:val="223"/>
        </w:trPr>
        <w:tc>
          <w:tcPr>
            <w:tcW w:w="340" w:type="dxa"/>
            <w:vAlign w:val="bottom"/>
          </w:tcPr>
          <w:p>
            <w:pPr>
              <w:spacing w:after="0"/>
              <w:rPr>
                <w:sz w:val="19"/>
                <w:szCs w:val="19"/>
                <w:color w:val="auto"/>
              </w:rPr>
            </w:pPr>
          </w:p>
        </w:tc>
        <w:tc>
          <w:tcPr>
            <w:tcW w:w="6300" w:type="dxa"/>
            <w:vAlign w:val="bottom"/>
          </w:tcPr>
          <w:p>
            <w:pPr>
              <w:ind w:left="500"/>
              <w:spacing w:after="0"/>
              <w:rPr>
                <w:sz w:val="20"/>
                <w:szCs w:val="20"/>
                <w:color w:val="auto"/>
              </w:rPr>
            </w:pPr>
            <w:r>
              <w:rPr>
                <w:rFonts w:ascii="Arial" w:cs="Arial" w:eastAsia="Arial" w:hAnsi="Arial"/>
                <w:sz w:val="18"/>
                <w:szCs w:val="18"/>
                <w:color w:val="auto"/>
              </w:rPr>
              <w:t>Property and equipment, net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345,836</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378,260</w:t>
            </w:r>
          </w:p>
        </w:tc>
      </w:tr>
      <w:tr>
        <w:trPr>
          <w:trHeight w:val="20"/>
        </w:trPr>
        <w:tc>
          <w:tcPr>
            <w:tcW w:w="3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340" w:right="20" w:firstLine="324"/>
        <w:spacing w:after="0" w:line="277" w:lineRule="auto"/>
        <w:rPr>
          <w:sz w:val="20"/>
          <w:szCs w:val="20"/>
          <w:color w:val="auto"/>
        </w:rPr>
      </w:pPr>
      <w:r>
        <w:rPr>
          <w:rFonts w:ascii="Arial" w:cs="Arial" w:eastAsia="Arial" w:hAnsi="Arial"/>
          <w:sz w:val="18"/>
          <w:szCs w:val="18"/>
          <w:color w:val="auto"/>
        </w:rPr>
        <w:t>Depreciation expense was $105.3 million, $105.5 million and $117.3 million in 2021, 2020 and 2019, respectively, and is included in selling, general and administrative expenses on the consolidated statements of income.</w:t>
      </w:r>
    </w:p>
    <w:p>
      <w:pPr>
        <w:spacing w:after="0" w:line="200" w:lineRule="exact"/>
        <w:rPr>
          <w:sz w:val="20"/>
          <w:szCs w:val="20"/>
          <w:color w:val="auto"/>
        </w:rPr>
      </w:pPr>
    </w:p>
    <w:p>
      <w:pPr>
        <w:spacing w:after="0" w:line="23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p>
      <w:pPr>
        <w:spacing w:after="0" w:line="289"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80"/>
              <w:spacing w:after="0"/>
              <w:rPr>
                <w:sz w:val="20"/>
                <w:szCs w:val="20"/>
                <w:color w:val="auto"/>
              </w:rPr>
            </w:pPr>
            <w:r>
              <w:rPr>
                <w:rFonts w:ascii="Arial" w:cs="Arial" w:eastAsia="Arial" w:hAnsi="Arial"/>
                <w:sz w:val="18"/>
                <w:szCs w:val="18"/>
                <w:b w:val="1"/>
                <w:bCs w:val="1"/>
                <w:color w:val="auto"/>
              </w:rPr>
              <w:t>January 29, 2022</w:t>
            </w:r>
          </w:p>
        </w:tc>
        <w:tc>
          <w:tcPr>
            <w:tcW w:w="18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30, 2021</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interest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7,684</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Accrued personnel costs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115,073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113,032</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professional fees</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Accrued sales and use tax</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13,054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14,980</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13,471</w:t>
            </w: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Deferred revenue - gift cards and other</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88,713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76,778</w:t>
            </w: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23,730</w:t>
            </w: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17,747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16,978</w:t>
            </w:r>
          </w:p>
        </w:tc>
      </w:tr>
      <w:tr>
        <w:trPr>
          <w:trHeight w:val="22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16,351</w:t>
            </w:r>
          </w:p>
        </w:tc>
      </w:tr>
      <w:tr>
        <w:trPr>
          <w:trHeight w:val="248"/>
        </w:trPr>
        <w:tc>
          <w:tcPr>
            <w:tcW w:w="6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291,351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93" w:name="page94"/>
    <w:bookmarkEnd w:id="93"/>
    <w:p>
      <w:pPr>
        <w:ind w:left="332" w:hanging="332"/>
        <w:spacing w:after="0"/>
        <w:tabs>
          <w:tab w:leader="none" w:pos="332"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January 29, 2022, there were 3,523,690 shares that were authorized and available for grant under the 2020 Omnibus Incentive Plan.</w:t>
      </w:r>
    </w:p>
    <w:p>
      <w:pPr>
        <w:spacing w:after="0" w:line="134"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On September 29, 2020, the ASO, Inc. Board of Directors adopted the 2020 Employee Stock Purchase Plan (the "ESPP"), which became effective on October 1, 2020. We have reserved a total of 2,000,000 shares and as of January 29, 2022, there were 1,885,546 shares authorized and available for future issuance under the ESPP.</w:t>
      </w:r>
    </w:p>
    <w:p>
      <w:pPr>
        <w:spacing w:after="0" w:line="130"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Equity compensation expense was $39.3 million in 2021, which includes approximately $24.9 million in non-cash expenses related to the 2021 Vesting Event, which occurred during the 2021 second quarter. Equity compensation expense was $31.6 million in 2020, including approximately $19.9 million of equity compensation expense associated with the expensing of certain outstanding restricted stock units as a result of the liquidity condition being achieved upon completion of our IPO. Equity compensation expense was $7.9 million in 2019. These costs are included in selling, general and administrative expenses in the consolidated statements of income.</w:t>
      </w:r>
    </w:p>
    <w:p>
      <w:pPr>
        <w:spacing w:after="0" w:line="215"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As of January 29, 2022, unrecognized compensation cost related to Unit Options and Restricted Units of $22.1 million is expected to be recognized over a weighted average life of 3.0 years. The grant date fair value of Restricted Units vested was $24.4 million, $14.4 million and $0.3 million for 2021, 2020 and 2019, respectively.</w:t>
      </w:r>
    </w:p>
    <w:p>
      <w:pPr>
        <w:spacing w:after="0" w:line="130"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71" w:lineRule="exact"/>
        <w:rPr>
          <w:sz w:val="20"/>
          <w:szCs w:val="20"/>
          <w:color w:val="auto"/>
        </w:rPr>
      </w:pPr>
    </w:p>
    <w:p>
      <w:pPr>
        <w:jc w:val="both"/>
        <w:ind w:left="332" w:right="20" w:firstLine="324"/>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130" w:lineRule="exact"/>
        <w:rPr>
          <w:sz w:val="20"/>
          <w:szCs w:val="20"/>
          <w:color w:val="auto"/>
        </w:rPr>
      </w:pPr>
    </w:p>
    <w:p>
      <w:pPr>
        <w:jc w:val="both"/>
        <w:ind w:left="332" w:right="20" w:firstLine="324"/>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130"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134" w:lineRule="exact"/>
        <w:rPr>
          <w:sz w:val="20"/>
          <w:szCs w:val="20"/>
          <w:color w:val="auto"/>
        </w:rPr>
      </w:pPr>
    </w:p>
    <w:p>
      <w:pPr>
        <w:jc w:val="both"/>
        <w:ind w:left="332" w:firstLine="324"/>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pacing w:after="0" w:line="116" w:lineRule="exact"/>
        <w:rPr>
          <w:sz w:val="20"/>
          <w:szCs w:val="20"/>
          <w:color w:val="auto"/>
        </w:rPr>
      </w:pPr>
    </w:p>
    <w:p>
      <w:pPr>
        <w:ind w:left="652"/>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71"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130" w:lineRule="exact"/>
        <w:rPr>
          <w:sz w:val="20"/>
          <w:szCs w:val="20"/>
          <w:color w:val="auto"/>
        </w:rPr>
      </w:pPr>
    </w:p>
    <w:p>
      <w:pPr>
        <w:jc w:val="both"/>
        <w:ind w:left="332" w:firstLine="324"/>
        <w:spacing w:after="0" w:line="277" w:lineRule="auto"/>
        <w:rPr>
          <w:sz w:val="20"/>
          <w:szCs w:val="20"/>
          <w:color w:val="auto"/>
        </w:rPr>
      </w:pPr>
      <w:r>
        <w:rPr>
          <w:rFonts w:ascii="Arial" w:cs="Arial" w:eastAsia="Arial" w:hAnsi="Arial"/>
          <w:sz w:val="18"/>
          <w:szCs w:val="18"/>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116" w:lineRule="exact"/>
        <w:rPr>
          <w:sz w:val="20"/>
          <w:szCs w:val="20"/>
          <w:color w:val="auto"/>
        </w:rPr>
      </w:pPr>
    </w:p>
    <w:p>
      <w:pPr>
        <w:jc w:val="both"/>
        <w:ind w:left="332" w:firstLine="324"/>
        <w:spacing w:after="0" w:line="301" w:lineRule="auto"/>
        <w:rPr>
          <w:sz w:val="20"/>
          <w:szCs w:val="20"/>
          <w:color w:val="auto"/>
        </w:rPr>
      </w:pPr>
      <w:r>
        <w:rPr>
          <w:rFonts w:ascii="Arial" w:cs="Arial" w:eastAsia="Arial" w:hAnsi="Arial"/>
          <w:sz w:val="16"/>
          <w:szCs w:val="16"/>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requirement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252"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34" w:right="339" w:bottom="1440" w:gutter="0" w:footer="0" w:header="0"/>
        </w:sectPr>
      </w:pPr>
    </w:p>
    <w:bookmarkStart w:id="94" w:name="page95"/>
    <w:bookmarkEnd w:id="94"/>
    <w:p>
      <w:pPr>
        <w:ind w:left="320"/>
        <w:spacing w:after="0"/>
        <w:rPr>
          <w:sz w:val="20"/>
          <w:szCs w:val="20"/>
          <w:color w:val="auto"/>
        </w:rPr>
      </w:pPr>
      <w:r>
        <w:rPr>
          <w:rFonts w:ascii="Arial" w:cs="Arial" w:eastAsia="Arial" w:hAnsi="Arial"/>
          <w:sz w:val="18"/>
          <w:szCs w:val="18"/>
          <w:b w:val="1"/>
          <w:bCs w:val="1"/>
          <w:i w:val="1"/>
          <w:iCs w:val="1"/>
          <w:color w:val="auto"/>
        </w:rPr>
        <w:t>ESPP</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ESPP allows eligible employees to contribute up to 15% of their eligible earnings toward the semi-annual purchase of the Company's shares of common stock at a discount of 15% of the closing stock price on the first or last day of the six-month offering period, whichever is lower.</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number of shares reserved for issuance under the ESPP will be increased automatically on the first day of each fiscal year, beginning in fiscal year 2021, by a number equal to the lesser of (1) 1,000,000 shares of common stock, (2) 2.0% of the total number of all classes of the company's common stock outstanding on the last day of the immediately preceding fiscal year, or (3) a lower number of shares determined by the ASO, Inc. Board of Directors.</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Distribution</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 Holders of the outstanding granted equity Awards were entitled to receive value equal to $1.1257 per Award (or $3.5460 as converted using the Contribution Ratio), which was made in the form of cash payments, additional Restricted Unit grants or Unit Option exercise price adjustments. Cash payments due for unvested Awards were paid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124" w:lineRule="exact"/>
        <w:rPr>
          <w:sz w:val="20"/>
          <w:szCs w:val="20"/>
          <w:color w:val="auto"/>
        </w:rPr>
      </w:pPr>
    </w:p>
    <w:p>
      <w:pPr>
        <w:ind w:left="960" w:hanging="320"/>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63" w:lineRule="exact"/>
        <w:rPr>
          <w:rFonts w:ascii="Arial" w:cs="Arial" w:eastAsia="Arial" w:hAnsi="Arial"/>
          <w:sz w:val="18"/>
          <w:szCs w:val="18"/>
          <w:color w:val="auto"/>
        </w:rPr>
      </w:pPr>
    </w:p>
    <w:p>
      <w:pPr>
        <w:ind w:left="960" w:hanging="320"/>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63" w:lineRule="exact"/>
        <w:rPr>
          <w:rFonts w:ascii="Arial" w:cs="Arial" w:eastAsia="Arial" w:hAnsi="Arial"/>
          <w:sz w:val="18"/>
          <w:szCs w:val="18"/>
          <w:color w:val="auto"/>
        </w:rPr>
      </w:pPr>
    </w:p>
    <w:p>
      <w:pPr>
        <w:ind w:left="960" w:hanging="320"/>
        <w:spacing w:after="0" w:line="308" w:lineRule="auto"/>
        <w:tabs>
          <w:tab w:leader="none" w:pos="955" w:val="left"/>
        </w:tabs>
        <w:numPr>
          <w:ilvl w:val="0"/>
          <w:numId w:val="65"/>
        </w:numPr>
        <w:rPr>
          <w:rFonts w:ascii="Arial" w:cs="Arial" w:eastAsia="Arial" w:hAnsi="Arial"/>
          <w:sz w:val="17"/>
          <w:szCs w:val="17"/>
          <w:color w:val="auto"/>
        </w:rPr>
      </w:pPr>
      <w:r>
        <w:rPr>
          <w:rFonts w:ascii="Arial" w:cs="Arial" w:eastAsia="Arial" w:hAnsi="Arial"/>
          <w:sz w:val="17"/>
          <w:szCs w:val="17"/>
          <w:color w:val="auto"/>
        </w:rPr>
        <w:t>Cash payments for vested Unit Options and vested Restricted Units ("Share-Based Award Payments") of $32.2 million were paid in-full as of July 31, 2021. No further Share-Based Award Payments relative to the distribution are payable as of January 29, 2022.</w:t>
      </w:r>
    </w:p>
    <w:p>
      <w:pPr>
        <w:spacing w:after="0" w:line="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These exercise price adjustments did not increase the value of the Unit Options and no related additional equity compensation expense was incurred.</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Service Option and Performance Option Fair Value Assumptions</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2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057" w:right="339" w:bottom="1440" w:gutter="0" w:footer="0" w:header="0"/>
        </w:sectPr>
      </w:pPr>
    </w:p>
    <w:bookmarkStart w:id="95" w:name="page96"/>
    <w:bookmarkEnd w:id="95"/>
    <w:p>
      <w:pPr>
        <w:jc w:val="center"/>
        <w:ind w:right="32"/>
        <w:spacing w:after="0"/>
        <w:rPr>
          <w:sz w:val="20"/>
          <w:szCs w:val="20"/>
          <w:color w:val="auto"/>
        </w:rPr>
      </w:pPr>
      <w:r>
        <w:rPr>
          <w:rFonts w:ascii="Arial" w:cs="Arial" w:eastAsia="Arial" w:hAnsi="Arial"/>
          <w:sz w:val="17"/>
          <w:szCs w:val="17"/>
          <w:color w:val="auto"/>
        </w:rPr>
        <w:t>The following table presents the assumptions and grant date fair values for Service and Performance Options granted in 2021, 2020 and 2019:</w:t>
      </w:r>
    </w:p>
    <w:p>
      <w:pPr>
        <w:spacing w:after="0" w:line="219" w:lineRule="exact"/>
        <w:rPr>
          <w:sz w:val="20"/>
          <w:szCs w:val="20"/>
          <w:color w:val="auto"/>
        </w:rPr>
      </w:pPr>
    </w:p>
    <w:tbl>
      <w:tblPr>
        <w:tblLayout w:type="fixed"/>
        <w:tblInd w:w="8"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3"/>
          </w:tcPr>
          <w:p>
            <w:pPr>
              <w:ind w:left="40"/>
              <w:spacing w:after="0"/>
              <w:rPr>
                <w:sz w:val="20"/>
                <w:szCs w:val="20"/>
                <w:color w:val="auto"/>
              </w:rPr>
            </w:pPr>
            <w:r>
              <w:rPr>
                <w:rFonts w:ascii="Arial" w:cs="Arial" w:eastAsia="Arial" w:hAnsi="Arial"/>
                <w:sz w:val="18"/>
                <w:szCs w:val="18"/>
                <w:b w:val="1"/>
                <w:bCs w:val="1"/>
                <w:color w:val="auto"/>
              </w:rPr>
              <w:t>January 29, 2022</w:t>
            </w:r>
          </w:p>
        </w:tc>
        <w:tc>
          <w:tcPr>
            <w:tcW w:w="120" w:type="dxa"/>
            <w:vAlign w:val="bottom"/>
          </w:tcPr>
          <w:p>
            <w:pPr>
              <w:spacing w:after="0"/>
              <w:rPr>
                <w:sz w:val="19"/>
                <w:szCs w:val="19"/>
                <w:color w:val="auto"/>
              </w:rPr>
            </w:pPr>
          </w:p>
        </w:tc>
        <w:tc>
          <w:tcPr>
            <w:tcW w:w="17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January 30, 2021</w:t>
            </w:r>
          </w:p>
        </w:tc>
        <w:tc>
          <w:tcPr>
            <w:tcW w:w="14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February 1, 2020</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life in years</w:t>
            </w:r>
          </w:p>
        </w:tc>
        <w:tc>
          <w:tcPr>
            <w:tcW w:w="16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87"/>
              </w:rPr>
              <w:t>6.2</w:t>
            </w:r>
          </w:p>
        </w:tc>
        <w:tc>
          <w:tcPr>
            <w:tcW w:w="7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7"/>
              </w:rPr>
              <w:t>6.2</w:t>
            </w:r>
          </w:p>
        </w:tc>
        <w:tc>
          <w:tcPr>
            <w:tcW w:w="7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6.2</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 to</w:t>
            </w:r>
          </w:p>
        </w:tc>
        <w:tc>
          <w:tcPr>
            <w:tcW w:w="720" w:type="dxa"/>
            <w:vAlign w:val="bottom"/>
          </w:tcPr>
          <w:p>
            <w:pPr>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 to</w:t>
            </w:r>
          </w:p>
        </w:tc>
        <w:tc>
          <w:tcPr>
            <w:tcW w:w="740" w:type="dxa"/>
            <w:vAlign w:val="bottom"/>
          </w:tcPr>
          <w:p>
            <w:pPr>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color w:val="auto"/>
                <w:w w:val="94"/>
              </w:rPr>
              <w:t>52%</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volatility</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70"/>
              <w:spacing w:after="0"/>
              <w:rPr>
                <w:sz w:val="20"/>
                <w:szCs w:val="20"/>
                <w:color w:val="auto"/>
              </w:rPr>
            </w:pPr>
            <w:r>
              <w:rPr>
                <w:rFonts w:ascii="Arial" w:cs="Arial" w:eastAsia="Arial" w:hAnsi="Arial"/>
                <w:sz w:val="18"/>
                <w:szCs w:val="18"/>
                <w:b w:val="1"/>
                <w:bCs w:val="1"/>
                <w:color w:val="auto"/>
                <w:w w:val="97"/>
              </w:rPr>
              <w:t>43.7%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0"/>
              </w:rPr>
              <w:t>53.1%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0"/>
              </w:rPr>
              <w:t>52.0%</w:t>
            </w: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 to</w:t>
            </w:r>
          </w:p>
        </w:tc>
        <w:tc>
          <w:tcPr>
            <w:tcW w:w="7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0.4% to</w:t>
            </w:r>
          </w:p>
        </w:tc>
        <w:tc>
          <w:tcPr>
            <w:tcW w:w="740" w:type="dxa"/>
            <w:vAlign w:val="bottom"/>
          </w:tcPr>
          <w:p>
            <w:pPr>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ind w:right="270"/>
              <w:spacing w:after="0"/>
              <w:rPr>
                <w:sz w:val="20"/>
                <w:szCs w:val="20"/>
                <w:color w:val="auto"/>
              </w:rPr>
            </w:pPr>
            <w:r>
              <w:rPr>
                <w:rFonts w:ascii="Arial" w:cs="Arial" w:eastAsia="Arial" w:hAnsi="Arial"/>
                <w:sz w:val="18"/>
                <w:szCs w:val="18"/>
                <w:color w:val="auto"/>
              </w:rPr>
              <w:t>1.4% to 2.5%</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r>
      <w:tr>
        <w:trPr>
          <w:trHeight w:val="229"/>
        </w:trPr>
        <w:tc>
          <w:tcPr>
            <w:tcW w:w="52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Weighted-average grant date fair value - Service Options </w:t>
            </w:r>
            <w:r>
              <w:rPr>
                <w:rFonts w:ascii="Arial" w:cs="Arial" w:eastAsia="Arial" w:hAnsi="Arial"/>
                <w:sz w:val="23"/>
                <w:szCs w:val="23"/>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11.92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8.66</w:t>
            </w:r>
          </w:p>
        </w:tc>
      </w:tr>
      <w:tr>
        <w:trPr>
          <w:trHeight w:val="230"/>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9"/>
              </w:rPr>
              <w:t xml:space="preserve">Weighted-average grant date fair value - Performance Options </w:t>
            </w:r>
            <w:r>
              <w:rPr>
                <w:rFonts w:ascii="Arial" w:cs="Arial" w:eastAsia="Arial" w:hAnsi="Arial"/>
                <w:sz w:val="23"/>
                <w:szCs w:val="23"/>
                <w:color w:val="auto"/>
                <w:w w:val="99"/>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r>
    </w:tbl>
    <w:p>
      <w:pPr>
        <w:spacing w:after="0" w:line="51" w:lineRule="exact"/>
        <w:rPr>
          <w:sz w:val="20"/>
          <w:szCs w:val="20"/>
          <w:color w:val="auto"/>
        </w:rPr>
      </w:pPr>
    </w:p>
    <w:p>
      <w:pPr>
        <w:ind w:left="148" w:hanging="148"/>
        <w:spacing w:after="0"/>
        <w:tabs>
          <w:tab w:leader="none" w:pos="148" w:val="left"/>
        </w:tabs>
        <w:numPr>
          <w:ilvl w:val="0"/>
          <w:numId w:val="66"/>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spacing w:after="0" w:line="227" w:lineRule="exact"/>
        <w:rPr>
          <w:sz w:val="20"/>
          <w:szCs w:val="20"/>
          <w:color w:val="auto"/>
        </w:rPr>
      </w:pPr>
    </w:p>
    <w:p>
      <w:pPr>
        <w:ind w:left="328"/>
        <w:spacing w:after="0"/>
        <w:rPr>
          <w:sz w:val="20"/>
          <w:szCs w:val="20"/>
          <w:color w:val="auto"/>
        </w:rPr>
      </w:pPr>
      <w:r>
        <w:rPr>
          <w:rFonts w:ascii="Arial" w:cs="Arial" w:eastAsia="Arial" w:hAnsi="Arial"/>
          <w:sz w:val="18"/>
          <w:szCs w:val="18"/>
          <w:b w:val="1"/>
          <w:bCs w:val="1"/>
          <w:i w:val="1"/>
          <w:iCs w:val="1"/>
          <w:color w:val="auto"/>
        </w:rPr>
        <w:t>Unit Option Activity</w:t>
      </w:r>
    </w:p>
    <w:p>
      <w:pPr>
        <w:spacing w:after="0" w:line="171" w:lineRule="exact"/>
        <w:rPr>
          <w:sz w:val="20"/>
          <w:szCs w:val="20"/>
          <w:color w:val="auto"/>
        </w:rPr>
      </w:pPr>
    </w:p>
    <w:p>
      <w:pPr>
        <w:jc w:val="both"/>
        <w:ind w:left="8" w:firstLine="324"/>
        <w:spacing w:after="0" w:line="263" w:lineRule="auto"/>
        <w:rPr>
          <w:sz w:val="20"/>
          <w:szCs w:val="20"/>
          <w:color w:val="auto"/>
        </w:rPr>
      </w:pPr>
      <w:r>
        <w:rPr>
          <w:rFonts w:ascii="Arial" w:cs="Arial" w:eastAsia="Arial" w:hAnsi="Arial"/>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30" w:lineRule="exact"/>
        <w:rPr>
          <w:sz w:val="20"/>
          <w:szCs w:val="20"/>
          <w:color w:val="auto"/>
        </w:rPr>
      </w:pPr>
    </w:p>
    <w:p>
      <w:pPr>
        <w:jc w:val="both"/>
        <w:ind w:left="8" w:firstLine="324"/>
        <w:spacing w:after="0" w:line="259" w:lineRule="auto"/>
        <w:rPr>
          <w:sz w:val="20"/>
          <w:szCs w:val="20"/>
          <w:color w:val="auto"/>
        </w:rPr>
      </w:pPr>
      <w:r>
        <w:rPr>
          <w:rFonts w:ascii="Arial" w:cs="Arial" w:eastAsia="Arial" w:hAnsi="Arial"/>
          <w:sz w:val="18"/>
          <w:szCs w:val="18"/>
          <w:color w:val="auto"/>
        </w:rPr>
        <w:t>There have been no Performance Options granted under the 2020 Omnibus Incentive Plan to date. Prior to the 2021 Vesting Event, the Company’s outstanding Performance Options typically vested ratably over a four-year period, after the conclusion of each fiscal year and upon our board of managers’ determination that the Company had achieved certain pre-determined annual earnings before interest, taxes, depreciation and amortization ("EBITDA") targets for such fiscal year.</w:t>
      </w:r>
    </w:p>
    <w:p>
      <w:pPr>
        <w:spacing w:after="0" w:line="214"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3920" w:type="dxa"/>
            <w:vAlign w:val="bottom"/>
            <w:gridSpan w:val="2"/>
          </w:tcPr>
          <w:p>
            <w:pPr>
              <w:ind w:left="320"/>
              <w:spacing w:after="0"/>
              <w:rPr>
                <w:sz w:val="20"/>
                <w:szCs w:val="20"/>
                <w:color w:val="auto"/>
              </w:rPr>
            </w:pPr>
            <w:r>
              <w:rPr>
                <w:rFonts w:ascii="Arial" w:cs="Arial" w:eastAsia="Arial" w:hAnsi="Arial"/>
                <w:sz w:val="18"/>
                <w:szCs w:val="18"/>
                <w:color w:val="auto"/>
              </w:rPr>
              <w:t>Unit Option activity is as follows: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 xml:space="preserve">Service-Based Unit Options </w:t>
            </w:r>
            <w:r>
              <w:rPr>
                <w:rFonts w:ascii="Arial" w:cs="Arial" w:eastAsia="Arial" w:hAnsi="Arial"/>
                <w:sz w:val="23"/>
                <w:szCs w:val="23"/>
                <w:b w:val="1"/>
                <w:bCs w:val="1"/>
                <w:i w:val="1"/>
                <w:iCs w:val="1"/>
                <w:color w:val="auto"/>
                <w:vertAlign w:val="superscript"/>
              </w:rPr>
              <w:t>(1)</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2100" w:type="dxa"/>
            <w:vAlign w:val="bottom"/>
            <w:tcBorders>
              <w:top w:val="single" w:sz="8" w:color="auto"/>
            </w:tcBorders>
          </w:tcPr>
          <w:p>
            <w:pPr>
              <w:spacing w:after="0"/>
              <w:rPr>
                <w:sz w:val="6"/>
                <w:szCs w:val="6"/>
                <w:color w:val="auto"/>
              </w:rPr>
            </w:pPr>
          </w:p>
        </w:tc>
        <w:tc>
          <w:tcPr>
            <w:tcW w:w="18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20" w:type="dxa"/>
            <w:vAlign w:val="bottom"/>
            <w:vMerge w:val="restart"/>
          </w:tcPr>
          <w:p>
            <w:pPr>
              <w:jc w:val="right"/>
              <w:ind w:right="450"/>
              <w:spacing w:after="0"/>
              <w:rPr>
                <w:sz w:val="20"/>
                <w:szCs w:val="20"/>
                <w:color w:val="auto"/>
              </w:rPr>
            </w:pPr>
            <w:r>
              <w:rPr>
                <w:rFonts w:ascii="Arial" w:cs="Arial" w:eastAsia="Arial" w:hAnsi="Arial"/>
                <w:sz w:val="18"/>
                <w:szCs w:val="18"/>
                <w:b w:val="1"/>
                <w:bCs w:val="1"/>
                <w:color w:val="auto"/>
              </w:rPr>
              <w:t>Unit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9"/>
              </w:rPr>
              <w:t>Weighted Average</w:t>
            </w:r>
          </w:p>
        </w:tc>
        <w:tc>
          <w:tcPr>
            <w:tcW w:w="194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1"/>
              </w:rPr>
              <w:t>Remaining</w:t>
            </w:r>
          </w:p>
        </w:tc>
        <w:tc>
          <w:tcPr>
            <w:tcW w:w="156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w w:val="91"/>
              </w:rPr>
              <w:t>Aggregate Intrinsic</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940" w:type="dxa"/>
            <w:vAlign w:val="bottom"/>
            <w:gridSpan w:val="2"/>
          </w:tcPr>
          <w:p>
            <w:pPr>
              <w:ind w:left="260"/>
              <w:spacing w:after="0" w:line="176" w:lineRule="exact"/>
              <w:rPr>
                <w:sz w:val="20"/>
                <w:szCs w:val="20"/>
                <w:color w:val="auto"/>
              </w:rPr>
            </w:pPr>
            <w:r>
              <w:rPr>
                <w:rFonts w:ascii="Arial" w:cs="Arial" w:eastAsia="Arial" w:hAnsi="Arial"/>
                <w:sz w:val="18"/>
                <w:szCs w:val="18"/>
                <w:b w:val="1"/>
                <w:bCs w:val="1"/>
                <w:color w:val="auto"/>
              </w:rPr>
              <w:t>Contractual Life</w:t>
            </w:r>
          </w:p>
        </w:tc>
        <w:tc>
          <w:tcPr>
            <w:tcW w:w="240" w:type="dxa"/>
            <w:vAlign w:val="bottom"/>
          </w:tcPr>
          <w:p>
            <w:pPr>
              <w:spacing w:after="0"/>
              <w:rPr>
                <w:sz w:val="15"/>
                <w:szCs w:val="15"/>
                <w:color w:val="auto"/>
              </w:rPr>
            </w:pPr>
          </w:p>
        </w:tc>
        <w:tc>
          <w:tcPr>
            <w:tcW w:w="1320" w:type="dxa"/>
            <w:vAlign w:val="bottom"/>
          </w:tcPr>
          <w:p>
            <w:pPr>
              <w:jc w:val="right"/>
              <w:ind w:right="350"/>
              <w:spacing w:after="0" w:line="176" w:lineRule="exact"/>
              <w:rPr>
                <w:sz w:val="20"/>
                <w:szCs w:val="20"/>
                <w:color w:val="auto"/>
              </w:rPr>
            </w:pPr>
            <w:r>
              <w:rPr>
                <w:rFonts w:ascii="Arial" w:cs="Arial" w:eastAsia="Arial" w:hAnsi="Arial"/>
                <w:sz w:val="18"/>
                <w:szCs w:val="18"/>
                <w:b w:val="1"/>
                <w:bCs w:val="1"/>
                <w:color w:val="auto"/>
              </w:rPr>
              <w:t>Value (in</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420" w:type="dxa"/>
            <w:vAlign w:val="bottom"/>
          </w:tcPr>
          <w:p>
            <w:pPr>
              <w:jc w:val="right"/>
              <w:ind w:right="230"/>
              <w:spacing w:after="0" w:line="230" w:lineRule="exact"/>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3"/>
                <w:szCs w:val="23"/>
                <w:b w:val="1"/>
                <w:bCs w:val="1"/>
                <w:color w:val="auto"/>
                <w:vertAlign w:val="superscript"/>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gridSpan w:val="2"/>
          </w:tcPr>
          <w:p>
            <w:pPr>
              <w:jc w:val="center"/>
              <w:ind w:right="200"/>
              <w:spacing w:after="0" w:line="230" w:lineRule="exact"/>
              <w:rPr>
                <w:sz w:val="20"/>
                <w:szCs w:val="20"/>
                <w:color w:val="auto"/>
              </w:rPr>
            </w:pPr>
            <w:r>
              <w:rPr>
                <w:rFonts w:ascii="Arial" w:cs="Arial" w:eastAsia="Arial" w:hAnsi="Arial"/>
                <w:sz w:val="18"/>
                <w:szCs w:val="18"/>
                <w:b w:val="1"/>
                <w:bCs w:val="1"/>
                <w:color w:val="auto"/>
                <w:w w:val="85"/>
              </w:rPr>
              <w:t xml:space="preserve">Exercise Price </w:t>
            </w:r>
            <w:r>
              <w:rPr>
                <w:rFonts w:ascii="Arial" w:cs="Arial" w:eastAsia="Arial" w:hAnsi="Arial"/>
                <w:sz w:val="23"/>
                <w:szCs w:val="23"/>
                <w:b w:val="1"/>
                <w:bCs w:val="1"/>
                <w:color w:val="auto"/>
                <w:w w:val="85"/>
                <w:vertAlign w:val="superscript"/>
              </w:rPr>
              <w:t>(2)</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19"/>
                <w:szCs w:val="19"/>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thousands)</w:t>
            </w:r>
          </w:p>
        </w:tc>
        <w:tc>
          <w:tcPr>
            <w:tcW w:w="0" w:type="dxa"/>
            <w:vAlign w:val="bottom"/>
          </w:tcPr>
          <w:p>
            <w:pPr>
              <w:spacing w:after="0"/>
              <w:rPr>
                <w:sz w:val="1"/>
                <w:szCs w:val="1"/>
                <w:color w:val="auto"/>
              </w:rPr>
            </w:pPr>
          </w:p>
        </w:tc>
      </w:tr>
      <w:tr>
        <w:trPr>
          <w:trHeight w:val="223"/>
        </w:trPr>
        <w:tc>
          <w:tcPr>
            <w:tcW w:w="39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February 2, 2019</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4,955,644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33,157</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20" w:type="dxa"/>
            <w:vAlign w:val="bottom"/>
          </w:tcPr>
          <w:p>
            <w:pPr>
              <w:jc w:val="right"/>
              <w:spacing w:after="0"/>
              <w:rPr>
                <w:sz w:val="20"/>
                <w:szCs w:val="20"/>
                <w:color w:val="auto"/>
              </w:rPr>
            </w:pPr>
            <w:r>
              <w:rPr>
                <w:rFonts w:ascii="Arial" w:cs="Arial" w:eastAsia="Arial" w:hAnsi="Arial"/>
                <w:sz w:val="18"/>
                <w:szCs w:val="18"/>
                <w:color w:val="auto"/>
              </w:rPr>
              <w:t>1,385,760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(191,103)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color w:val="auto"/>
              </w:rPr>
              <w:t>(359,993)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920" w:type="dxa"/>
            <w:vAlign w:val="bottom"/>
            <w:gridSpan w:val="2"/>
          </w:tcPr>
          <w:p>
            <w:pPr>
              <w:ind w:left="20"/>
              <w:spacing w:after="0"/>
              <w:rPr>
                <w:sz w:val="20"/>
                <w:szCs w:val="20"/>
                <w:color w:val="auto"/>
              </w:rPr>
            </w:pPr>
            <w:r>
              <w:rPr>
                <w:rFonts w:ascii="Arial" w:cs="Arial" w:eastAsia="Arial" w:hAnsi="Arial"/>
                <w:sz w:val="18"/>
                <w:szCs w:val="18"/>
                <w:b w:val="1"/>
                <w:bCs w:val="1"/>
                <w:color w:val="auto"/>
              </w:rPr>
              <w:t>Outstanding as of February 1, 2020</w:t>
            </w:r>
          </w:p>
        </w:tc>
        <w:tc>
          <w:tcPr>
            <w:tcW w:w="1420" w:type="dxa"/>
            <w:vAlign w:val="bottom"/>
          </w:tcPr>
          <w:p>
            <w:pPr>
              <w:jc w:val="right"/>
              <w:spacing w:after="0"/>
              <w:rPr>
                <w:sz w:val="20"/>
                <w:szCs w:val="20"/>
                <w:color w:val="auto"/>
              </w:rPr>
            </w:pPr>
            <w:r>
              <w:rPr>
                <w:rFonts w:ascii="Arial" w:cs="Arial" w:eastAsia="Arial" w:hAnsi="Arial"/>
                <w:sz w:val="18"/>
                <w:szCs w:val="18"/>
                <w:color w:val="auto"/>
              </w:rPr>
              <w:t>5,790,308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28,855</w:t>
            </w: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 or modified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1,449,900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Canceled or modified</w:t>
            </w:r>
          </w:p>
        </w:tc>
        <w:tc>
          <w:tcPr>
            <w:tcW w:w="1420" w:type="dxa"/>
            <w:vAlign w:val="bottom"/>
          </w:tcPr>
          <w:p>
            <w:pPr>
              <w:jc w:val="right"/>
              <w:spacing w:after="0"/>
              <w:rPr>
                <w:sz w:val="20"/>
                <w:szCs w:val="20"/>
                <w:color w:val="auto"/>
              </w:rPr>
            </w:pPr>
            <w:r>
              <w:rPr>
                <w:rFonts w:ascii="Arial" w:cs="Arial" w:eastAsia="Arial" w:hAnsi="Arial"/>
                <w:sz w:val="18"/>
                <w:szCs w:val="18"/>
                <w:color w:val="auto"/>
              </w:rPr>
              <w:t>(205,894)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(327,836)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(423,696)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23"/>
        </w:trPr>
        <w:tc>
          <w:tcPr>
            <w:tcW w:w="39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January 30, 2021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6,282,782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50,055</w:t>
            </w: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Granted or modified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915,017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27.41</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Canceled or modified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(39,757)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(3,258,329)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81,782</w:t>
            </w:r>
          </w:p>
        </w:tc>
        <w:tc>
          <w:tcPr>
            <w:tcW w:w="0" w:type="dxa"/>
            <w:vAlign w:val="bottom"/>
          </w:tcPr>
          <w:p>
            <w:pPr>
              <w:spacing w:after="0"/>
              <w:rPr>
                <w:sz w:val="1"/>
                <w:szCs w:val="1"/>
                <w:color w:val="auto"/>
              </w:rPr>
            </w:pPr>
          </w:p>
        </w:tc>
      </w:tr>
      <w:tr>
        <w:trPr>
          <w:trHeight w:val="223"/>
        </w:trPr>
        <w:tc>
          <w:tcPr>
            <w:tcW w:w="3920" w:type="dxa"/>
            <w:vAlign w:val="bottom"/>
            <w:tcBorders>
              <w:bottom w:val="single" w:sz="8" w:color="CCEEFF"/>
            </w:tcBorders>
            <w:gridSpan w:val="2"/>
          </w:tcPr>
          <w:p>
            <w:pPr>
              <w:ind w:left="20"/>
              <w:spacing w:after="0" w:line="223" w:lineRule="exact"/>
              <w:rPr>
                <w:sz w:val="20"/>
                <w:szCs w:val="20"/>
                <w:color w:val="auto"/>
              </w:rPr>
            </w:pPr>
            <w:r>
              <w:rPr>
                <w:rFonts w:ascii="Arial" w:cs="Arial" w:eastAsia="Arial" w:hAnsi="Arial"/>
                <w:sz w:val="18"/>
                <w:szCs w:val="18"/>
                <w:b w:val="1"/>
                <w:bCs w:val="1"/>
                <w:color w:val="auto"/>
              </w:rPr>
              <w:t xml:space="preserve">Outstanding as of January 29, 2022 </w:t>
            </w:r>
            <w:r>
              <w:rPr>
                <w:rFonts w:ascii="Arial" w:cs="Arial" w:eastAsia="Arial" w:hAnsi="Arial"/>
                <w:sz w:val="23"/>
                <w:szCs w:val="23"/>
                <w:b w:val="1"/>
                <w:bCs w:val="1"/>
                <w:color w:val="auto"/>
                <w:vertAlign w:val="superscript"/>
              </w:rPr>
              <w:t>(3)</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3,898,214</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72,345</w:t>
            </w:r>
          </w:p>
        </w:tc>
        <w:tc>
          <w:tcPr>
            <w:tcW w:w="0" w:type="dxa"/>
            <w:vAlign w:val="bottom"/>
          </w:tcPr>
          <w:p>
            <w:pPr>
              <w:spacing w:after="0"/>
              <w:rPr>
                <w:sz w:val="1"/>
                <w:szCs w:val="1"/>
                <w:color w:val="auto"/>
              </w:rPr>
            </w:pPr>
          </w:p>
        </w:tc>
      </w:tr>
      <w:tr>
        <w:trPr>
          <w:trHeight w:val="248"/>
        </w:trPr>
        <w:tc>
          <w:tcPr>
            <w:tcW w:w="3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Exercisable as of January 29, 2022</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2,935,237</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60,672</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ind w:left="128" w:hanging="128"/>
        <w:spacing w:after="0"/>
        <w:tabs>
          <w:tab w:leader="none" w:pos="128" w:val="left"/>
        </w:tabs>
        <w:numPr>
          <w:ilvl w:val="0"/>
          <w:numId w:val="67"/>
        </w:numPr>
        <w:rPr>
          <w:rFonts w:ascii="Arial" w:cs="Arial" w:eastAsia="Arial" w:hAnsi="Arial"/>
          <w:sz w:val="9"/>
          <w:szCs w:val="9"/>
          <w:color w:val="auto"/>
        </w:rPr>
      </w:pPr>
      <w:r>
        <w:rPr>
          <w:rFonts w:ascii="Arial" w:cs="Arial" w:eastAsia="Arial" w:hAnsi="Arial"/>
          <w:sz w:val="14"/>
          <w:szCs w:val="14"/>
          <w:color w:val="auto"/>
        </w:rPr>
        <w:t>The fair value of a membership unit</w:t>
      </w:r>
      <w:r>
        <w:rPr>
          <w:rFonts w:ascii="Arial" w:cs="Arial" w:eastAsia="Arial" w:hAnsi="Arial"/>
          <w:sz w:val="9"/>
          <w:szCs w:val="9"/>
          <w:color w:val="auto"/>
        </w:rPr>
        <w:t>(2)</w:t>
      </w:r>
      <w:r>
        <w:rPr>
          <w:rFonts w:ascii="Arial" w:cs="Arial" w:eastAsia="Arial" w:hAnsi="Arial"/>
          <w:sz w:val="14"/>
          <w:szCs w:val="14"/>
          <w:color w:val="auto"/>
        </w:rPr>
        <w:t xml:space="preserve"> as of each period end was $18.62, $17.61, $21.50 and $37.66 for the fiscal years 2018, 2019, 2020 and 2021, respectively.</w:t>
      </w:r>
    </w:p>
    <w:p>
      <w:pPr>
        <w:spacing w:after="0" w:line="13" w:lineRule="exact"/>
        <w:rPr>
          <w:rFonts w:ascii="Arial" w:cs="Arial" w:eastAsia="Arial" w:hAnsi="Arial"/>
          <w:sz w:val="9"/>
          <w:szCs w:val="9"/>
          <w:color w:val="auto"/>
        </w:rPr>
      </w:pPr>
    </w:p>
    <w:p>
      <w:pPr>
        <w:ind w:left="148" w:hanging="148"/>
        <w:spacing w:after="0"/>
        <w:tabs>
          <w:tab w:leader="none" w:pos="148" w:val="left"/>
        </w:tabs>
        <w:numPr>
          <w:ilvl w:val="0"/>
          <w:numId w:val="67"/>
        </w:numPr>
        <w:rPr>
          <w:rFonts w:ascii="Arial" w:cs="Arial" w:eastAsia="Arial" w:hAnsi="Arial"/>
          <w:sz w:val="9"/>
          <w:szCs w:val="9"/>
          <w:color w:val="auto"/>
        </w:rPr>
      </w:pPr>
      <w:r>
        <w:rPr>
          <w:rFonts w:ascii="Arial" w:cs="Arial" w:eastAsia="Arial" w:hAnsi="Arial"/>
          <w:sz w:val="14"/>
          <w:szCs w:val="14"/>
          <w:color w:val="auto"/>
        </w:rPr>
        <w:t>See Retrospective Presentation of Ownership Exchange in Note 2.</w:t>
      </w:r>
    </w:p>
    <w:p>
      <w:pPr>
        <w:spacing w:after="0" w:line="1" w:lineRule="exact"/>
        <w:rPr>
          <w:rFonts w:ascii="Arial" w:cs="Arial" w:eastAsia="Arial" w:hAnsi="Arial"/>
          <w:sz w:val="9"/>
          <w:szCs w:val="9"/>
          <w:color w:val="auto"/>
        </w:rPr>
      </w:pPr>
    </w:p>
    <w:p>
      <w:pPr>
        <w:ind w:left="148" w:hanging="148"/>
        <w:spacing w:after="0"/>
        <w:tabs>
          <w:tab w:leader="none" w:pos="148" w:val="left"/>
        </w:tabs>
        <w:numPr>
          <w:ilvl w:val="0"/>
          <w:numId w:val="67"/>
        </w:numPr>
        <w:rPr>
          <w:rFonts w:ascii="Arial" w:cs="Arial" w:eastAsia="Arial" w:hAnsi="Arial"/>
          <w:sz w:val="9"/>
          <w:szCs w:val="9"/>
          <w:color w:val="auto"/>
        </w:rPr>
      </w:pPr>
      <w:r>
        <w:rPr>
          <w:rFonts w:ascii="Arial" w:cs="Arial" w:eastAsia="Arial" w:hAnsi="Arial"/>
          <w:sz w:val="14"/>
          <w:szCs w:val="14"/>
          <w:color w:val="auto"/>
        </w:rPr>
        <w:t>The Company has elected to recognize forfeitures as they occur. Therefore, the number of awards vested and expected to vest is equal to the awards outstanding.</w:t>
      </w:r>
    </w:p>
    <w:p>
      <w:pPr>
        <w:spacing w:after="0" w:line="304" w:lineRule="exact"/>
        <w:rPr>
          <w:sz w:val="20"/>
          <w:szCs w:val="20"/>
          <w:color w:val="auto"/>
        </w:rPr>
      </w:pPr>
    </w:p>
    <w:p>
      <w:pPr>
        <w:jc w:val="center"/>
        <w:ind w:right="152"/>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224790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05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64"/>
        </w:trPr>
        <w:tc>
          <w:tcPr>
            <w:tcW w:w="402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 xml:space="preserve">Performance-Based Unit Options </w:t>
            </w:r>
            <w:r>
              <w:rPr>
                <w:rFonts w:ascii="Arial" w:cs="Arial" w:eastAsia="Arial" w:hAnsi="Arial"/>
                <w:sz w:val="23"/>
                <w:szCs w:val="23"/>
                <w:b w:val="1"/>
                <w:bCs w:val="1"/>
                <w:i w:val="1"/>
                <w:iCs w:val="1"/>
                <w:color w:val="auto"/>
                <w:vertAlign w:val="superscript"/>
              </w:rPr>
              <w:t>(1)</w:t>
            </w:r>
          </w:p>
        </w:tc>
        <w:tc>
          <w:tcPr>
            <w:tcW w:w="1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89"/>
              </w:rPr>
              <w:t>Weighted Average</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160" w:type="dxa"/>
            <w:vAlign w:val="bottom"/>
            <w:tcBorders>
              <w:top w:val="single" w:sz="8" w:color="auto"/>
            </w:tcBorders>
          </w:tcPr>
          <w:p>
            <w:pPr>
              <w:spacing w:after="0"/>
              <w:rPr>
                <w:sz w:val="8"/>
                <w:szCs w:val="8"/>
                <w:color w:val="auto"/>
              </w:rPr>
            </w:pPr>
          </w:p>
        </w:tc>
        <w:tc>
          <w:tcPr>
            <w:tcW w:w="2320" w:type="dxa"/>
            <w:vAlign w:val="bottom"/>
            <w:tcBorders>
              <w:top w:val="single" w:sz="8" w:color="auto"/>
            </w:tcBorders>
          </w:tcPr>
          <w:p>
            <w:pPr>
              <w:spacing w:after="0"/>
              <w:rPr>
                <w:sz w:val="8"/>
                <w:szCs w:val="8"/>
                <w:color w:val="auto"/>
              </w:rPr>
            </w:pPr>
          </w:p>
        </w:tc>
        <w:tc>
          <w:tcPr>
            <w:tcW w:w="15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0"/>
              </w:rPr>
              <w:t>Aggregate Intrinsic</w:t>
            </w: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Unit</w:t>
            </w:r>
          </w:p>
        </w:tc>
        <w:tc>
          <w:tcPr>
            <w:tcW w:w="140" w:type="dxa"/>
            <w:vAlign w:val="bottom"/>
          </w:tcPr>
          <w:p>
            <w:pPr>
              <w:spacing w:after="0"/>
              <w:rPr>
                <w:sz w:val="15"/>
                <w:szCs w:val="15"/>
                <w:color w:val="auto"/>
              </w:rPr>
            </w:pPr>
          </w:p>
        </w:tc>
        <w:tc>
          <w:tcPr>
            <w:tcW w:w="1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Weighted Average</w:t>
            </w:r>
          </w:p>
        </w:tc>
        <w:tc>
          <w:tcPr>
            <w:tcW w:w="1540" w:type="dxa"/>
            <w:vAlign w:val="bottom"/>
          </w:tcPr>
          <w:p>
            <w:pPr>
              <w:jc w:val="center"/>
              <w:ind w:left="170"/>
              <w:spacing w:after="0" w:line="176" w:lineRule="exact"/>
              <w:rPr>
                <w:sz w:val="20"/>
                <w:szCs w:val="20"/>
                <w:color w:val="auto"/>
              </w:rPr>
            </w:pPr>
            <w:r>
              <w:rPr>
                <w:rFonts w:ascii="Arial" w:cs="Arial" w:eastAsia="Arial" w:hAnsi="Arial"/>
                <w:sz w:val="18"/>
                <w:szCs w:val="18"/>
                <w:b w:val="1"/>
                <w:bCs w:val="1"/>
                <w:color w:val="auto"/>
                <w:w w:val="91"/>
              </w:rPr>
              <w:t>Remaining</w:t>
            </w:r>
          </w:p>
        </w:tc>
        <w:tc>
          <w:tcPr>
            <w:tcW w:w="26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540" w:type="dxa"/>
            <w:vAlign w:val="bottom"/>
          </w:tcPr>
          <w:p>
            <w:pPr>
              <w:jc w:val="center"/>
              <w:ind w:left="130"/>
              <w:spacing w:after="0" w:line="176" w:lineRule="exact"/>
              <w:rPr>
                <w:sz w:val="20"/>
                <w:szCs w:val="20"/>
                <w:color w:val="auto"/>
              </w:rPr>
            </w:pPr>
            <w:r>
              <w:rPr>
                <w:rFonts w:ascii="Arial" w:cs="Arial" w:eastAsia="Arial" w:hAnsi="Arial"/>
                <w:sz w:val="18"/>
                <w:szCs w:val="18"/>
                <w:b w:val="1"/>
                <w:bCs w:val="1"/>
                <w:color w:val="auto"/>
                <w:w w:val="93"/>
              </w:rPr>
              <w:t>Contractual Life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ind w:right="310"/>
              <w:spacing w:after="0" w:line="176" w:lineRule="exact"/>
              <w:rPr>
                <w:sz w:val="20"/>
                <w:szCs w:val="20"/>
                <w:color w:val="auto"/>
              </w:rPr>
            </w:pPr>
            <w:r>
              <w:rPr>
                <w:rFonts w:ascii="Arial" w:cs="Arial" w:eastAsia="Arial" w:hAnsi="Arial"/>
                <w:sz w:val="18"/>
                <w:szCs w:val="18"/>
                <w:b w:val="1"/>
                <w:bCs w:val="1"/>
                <w:color w:val="auto"/>
              </w:rPr>
              <w:t>Value (in</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23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270"/>
              <w:spacing w:after="0" w:line="230" w:lineRule="exact"/>
              <w:rPr>
                <w:sz w:val="20"/>
                <w:szCs w:val="20"/>
                <w:color w:val="auto"/>
              </w:rPr>
            </w:pPr>
            <w:r>
              <w:rPr>
                <w:rFonts w:ascii="Arial" w:cs="Arial" w:eastAsia="Arial" w:hAnsi="Arial"/>
                <w:sz w:val="18"/>
                <w:szCs w:val="18"/>
                <w:b w:val="1"/>
                <w:bCs w:val="1"/>
                <w:color w:val="auto"/>
              </w:rPr>
              <w:t xml:space="preserve">Options </w:t>
            </w:r>
            <w:r>
              <w:rPr>
                <w:rFonts w:ascii="Arial" w:cs="Arial" w:eastAsia="Arial" w:hAnsi="Arial"/>
                <w:sz w:val="23"/>
                <w:szCs w:val="23"/>
                <w:b w:val="1"/>
                <w:bCs w:val="1"/>
                <w:color w:val="auto"/>
                <w:vertAlign w:val="superscript"/>
              </w:rPr>
              <w:t>(2)</w:t>
            </w: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right"/>
              <w:ind w:right="90"/>
              <w:spacing w:after="0" w:line="230" w:lineRule="exact"/>
              <w:rPr>
                <w:sz w:val="20"/>
                <w:szCs w:val="20"/>
                <w:color w:val="auto"/>
              </w:rPr>
            </w:pPr>
            <w:r>
              <w:rPr>
                <w:rFonts w:ascii="Arial" w:cs="Arial" w:eastAsia="Arial" w:hAnsi="Arial"/>
                <w:sz w:val="18"/>
                <w:szCs w:val="18"/>
                <w:b w:val="1"/>
                <w:bCs w:val="1"/>
                <w:color w:val="auto"/>
                <w:w w:val="96"/>
              </w:rPr>
              <w:t xml:space="preserve">Exercise Price </w:t>
            </w:r>
            <w:r>
              <w:rPr>
                <w:rFonts w:ascii="Arial" w:cs="Arial" w:eastAsia="Arial" w:hAnsi="Arial"/>
                <w:sz w:val="23"/>
                <w:szCs w:val="23"/>
                <w:b w:val="1"/>
                <w:bCs w:val="1"/>
                <w:color w:val="auto"/>
                <w:w w:val="96"/>
                <w:vertAlign w:val="superscript"/>
              </w:rPr>
              <w:t>(2)</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89"/>
              </w:rPr>
              <w:t>(in years)</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2, 2019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3,074,504</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4.1$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29,960</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Granted or modified</w:t>
            </w:r>
          </w:p>
        </w:tc>
        <w:tc>
          <w:tcPr>
            <w:tcW w:w="1400" w:type="dxa"/>
            <w:vAlign w:val="bottom"/>
          </w:tcPr>
          <w:p>
            <w:pPr>
              <w:jc w:val="right"/>
              <w:spacing w:after="0"/>
              <w:rPr>
                <w:sz w:val="20"/>
                <w:szCs w:val="20"/>
                <w:color w:val="auto"/>
              </w:rPr>
            </w:pPr>
            <w:r>
              <w:rPr>
                <w:rFonts w:ascii="Arial" w:cs="Arial" w:eastAsia="Arial" w:hAnsi="Arial"/>
                <w:sz w:val="18"/>
                <w:szCs w:val="18"/>
                <w:color w:val="auto"/>
              </w:rPr>
              <w:t>423,948</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16.60</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 or modified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(72,609)</w:t>
            </w:r>
          </w:p>
        </w:tc>
        <w:tc>
          <w:tcPr>
            <w:tcW w:w="140" w:type="dxa"/>
            <w:vAlign w:val="bottom"/>
            <w:tcBorders>
              <w:left w:val="single" w:sz="8" w:color="CCEEFF"/>
            </w:tcBorders>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spacing w:after="0"/>
              <w:rPr>
                <w:sz w:val="20"/>
                <w:szCs w:val="20"/>
                <w:color w:val="auto"/>
              </w:rPr>
            </w:pPr>
            <w:r>
              <w:rPr>
                <w:rFonts w:ascii="Arial" w:cs="Arial" w:eastAsia="Arial" w:hAnsi="Arial"/>
                <w:sz w:val="18"/>
                <w:szCs w:val="18"/>
                <w:color w:val="auto"/>
              </w:rPr>
              <w:t>(178,994)</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16.60</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Outstanding as of February 1, 2020</w:t>
            </w:r>
          </w:p>
        </w:tc>
        <w:tc>
          <w:tcPr>
            <w:tcW w:w="1400" w:type="dxa"/>
            <w:vAlign w:val="bottom"/>
          </w:tcPr>
          <w:p>
            <w:pPr>
              <w:jc w:val="right"/>
              <w:spacing w:after="0"/>
              <w:rPr>
                <w:sz w:val="20"/>
                <w:szCs w:val="20"/>
                <w:color w:val="auto"/>
              </w:rPr>
            </w:pPr>
            <w:r>
              <w:rPr>
                <w:rFonts w:ascii="Arial" w:cs="Arial" w:eastAsia="Arial" w:hAnsi="Arial"/>
                <w:sz w:val="18"/>
                <w:szCs w:val="18"/>
                <w:color w:val="auto"/>
              </w:rPr>
              <w:t>3,246,849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9"/>
              </w:rPr>
              <w:t>3.6$</w:t>
            </w:r>
          </w:p>
        </w:tc>
        <w:tc>
          <w:tcPr>
            <w:tcW w:w="1480" w:type="dxa"/>
            <w:vAlign w:val="bottom"/>
          </w:tcPr>
          <w:p>
            <w:pPr>
              <w:jc w:val="right"/>
              <w:spacing w:after="0"/>
              <w:rPr>
                <w:sz w:val="20"/>
                <w:szCs w:val="20"/>
                <w:color w:val="auto"/>
              </w:rPr>
            </w:pPr>
            <w:r>
              <w:rPr>
                <w:rFonts w:ascii="Arial" w:cs="Arial" w:eastAsia="Arial" w:hAnsi="Arial"/>
                <w:sz w:val="18"/>
                <w:szCs w:val="18"/>
                <w:color w:val="auto"/>
              </w:rPr>
              <w:t>26,838</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Granted or modified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Canceled or modified</w:t>
            </w:r>
          </w:p>
        </w:tc>
        <w:tc>
          <w:tcPr>
            <w:tcW w:w="1400" w:type="dxa"/>
            <w:vAlign w:val="bottom"/>
          </w:tcPr>
          <w:p>
            <w:pPr>
              <w:jc w:val="right"/>
              <w:spacing w:after="0"/>
              <w:rPr>
                <w:sz w:val="20"/>
                <w:szCs w:val="20"/>
                <w:color w:val="auto"/>
              </w:rPr>
            </w:pPr>
            <w:r>
              <w:rPr>
                <w:rFonts w:ascii="Arial" w:cs="Arial" w:eastAsia="Arial" w:hAnsi="Arial"/>
                <w:sz w:val="18"/>
                <w:szCs w:val="18"/>
                <w:color w:val="auto"/>
              </w:rPr>
              <w:t>(97,480)</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(85,564)</w:t>
            </w:r>
          </w:p>
        </w:tc>
        <w:tc>
          <w:tcPr>
            <w:tcW w:w="140" w:type="dxa"/>
            <w:vAlign w:val="bottom"/>
            <w:tcBorders>
              <w:left w:val="single" w:sz="8" w:color="CCEEFF"/>
            </w:tcBorders>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(115,184)</w:t>
            </w:r>
          </w:p>
        </w:tc>
        <w:tc>
          <w:tcPr>
            <w:tcW w:w="14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4.65</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30, 2021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2,948,621</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2.5$</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37,422</w:t>
            </w: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Granted or modified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Canceled or modified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left w:val="single" w:sz="8" w:color="CCEEFF"/>
            </w:tcBorders>
            <w:shd w:val="clear" w:color="auto" w:fill="CCEEFF"/>
          </w:tcPr>
          <w:p>
            <w:pPr>
              <w:spacing w:after="0"/>
              <w:rPr>
                <w:sz w:val="19"/>
                <w:szCs w:val="19"/>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(295,932)</w:t>
            </w:r>
          </w:p>
        </w:tc>
        <w:tc>
          <w:tcPr>
            <w:tcW w:w="1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16.72</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60" w:type="dxa"/>
            <w:vAlign w:val="bottom"/>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(2,255,780)</w:t>
            </w:r>
          </w:p>
        </w:tc>
        <w:tc>
          <w:tcPr>
            <w:tcW w:w="140" w:type="dxa"/>
            <w:vAlign w:val="bottom"/>
            <w:tcBorders>
              <w:left w:val="single" w:sz="8" w:color="CCEEFF"/>
            </w:tcBorders>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55,865</w:t>
            </w:r>
          </w:p>
        </w:tc>
        <w:tc>
          <w:tcPr>
            <w:tcW w:w="0" w:type="dxa"/>
            <w:vAlign w:val="bottom"/>
          </w:tcPr>
          <w:p>
            <w:pPr>
              <w:spacing w:after="0"/>
              <w:rPr>
                <w:sz w:val="1"/>
                <w:szCs w:val="1"/>
                <w:color w:val="auto"/>
              </w:rPr>
            </w:pPr>
          </w:p>
        </w:tc>
      </w:tr>
      <w:tr>
        <w:trPr>
          <w:trHeight w:val="223"/>
        </w:trPr>
        <w:tc>
          <w:tcPr>
            <w:tcW w:w="4020" w:type="dxa"/>
            <w:vAlign w:val="bottom"/>
            <w:gridSpan w:val="3"/>
          </w:tcPr>
          <w:p>
            <w:pPr>
              <w:spacing w:after="0" w:line="223" w:lineRule="exact"/>
              <w:rPr>
                <w:sz w:val="20"/>
                <w:szCs w:val="20"/>
                <w:color w:val="auto"/>
              </w:rPr>
            </w:pPr>
            <w:r>
              <w:rPr>
                <w:rFonts w:ascii="Arial" w:cs="Arial" w:eastAsia="Arial" w:hAnsi="Arial"/>
                <w:sz w:val="18"/>
                <w:szCs w:val="18"/>
                <w:b w:val="1"/>
                <w:bCs w:val="1"/>
                <w:color w:val="auto"/>
              </w:rPr>
              <w:t xml:space="preserve">Outstanding as of January 29, 2022 </w:t>
            </w:r>
            <w:r>
              <w:rPr>
                <w:rFonts w:ascii="Arial" w:cs="Arial" w:eastAsia="Arial" w:hAnsi="Arial"/>
                <w:sz w:val="23"/>
                <w:szCs w:val="23"/>
                <w:b w:val="1"/>
                <w:bCs w:val="1"/>
                <w:color w:val="auto"/>
                <w:vertAlign w:val="superscript"/>
              </w:rPr>
              <w:t>(3)</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396,909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16.48</w:t>
            </w: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w w:val="79"/>
              </w:rPr>
              <w:t>5.8$</w:t>
            </w:r>
          </w:p>
        </w:tc>
        <w:tc>
          <w:tcPr>
            <w:tcW w:w="1480" w:type="dxa"/>
            <w:vAlign w:val="bottom"/>
          </w:tcPr>
          <w:p>
            <w:pPr>
              <w:jc w:val="right"/>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60" w:type="dxa"/>
            <w:vAlign w:val="bottom"/>
          </w:tcPr>
          <w:p>
            <w:pPr>
              <w:spacing w:after="0"/>
              <w:rPr>
                <w:sz w:val="21"/>
                <w:szCs w:val="21"/>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Exercisable as of January 29, 2022</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396,909</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5.8$</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280" w:hanging="128"/>
        <w:spacing w:after="0"/>
        <w:tabs>
          <w:tab w:leader="none" w:pos="280" w:val="left"/>
        </w:tabs>
        <w:numPr>
          <w:ilvl w:val="0"/>
          <w:numId w:val="68"/>
        </w:numPr>
        <w:rPr>
          <w:rFonts w:ascii="Arial" w:cs="Arial" w:eastAsia="Arial" w:hAnsi="Arial"/>
          <w:sz w:val="15"/>
          <w:szCs w:val="15"/>
          <w:color w:val="auto"/>
          <w:vertAlign w:val="superscript"/>
        </w:rPr>
      </w:pPr>
      <w:r>
        <w:rPr>
          <w:rFonts w:ascii="Arial" w:cs="Arial" w:eastAsia="Arial" w:hAnsi="Arial"/>
          <w:sz w:val="11"/>
          <w:szCs w:val="11"/>
          <w:color w:val="auto"/>
        </w:rPr>
        <w:t>The fair value of a membership unit</w:t>
      </w:r>
      <w:r>
        <w:rPr>
          <w:rFonts w:ascii="Arial" w:cs="Arial" w:eastAsia="Arial" w:hAnsi="Arial"/>
          <w:sz w:val="14"/>
          <w:szCs w:val="14"/>
          <w:color w:val="auto"/>
          <w:vertAlign w:val="superscript"/>
        </w:rPr>
        <w:t>(2)</w:t>
      </w:r>
      <w:r>
        <w:rPr>
          <w:rFonts w:ascii="Arial" w:cs="Arial" w:eastAsia="Arial" w:hAnsi="Arial"/>
          <w:sz w:val="11"/>
          <w:szCs w:val="11"/>
          <w:color w:val="auto"/>
        </w:rPr>
        <w:t xml:space="preserve"> as of each period end was $18.62, $17.61, $21.50 and $37.66 for the fiscal years 2018, 2019, and 2020 and 2021, respectively.</w:t>
      </w:r>
    </w:p>
    <w:p>
      <w:pPr>
        <w:spacing w:after="0" w:line="6" w:lineRule="exact"/>
        <w:rPr>
          <w:rFonts w:ascii="Arial" w:cs="Arial" w:eastAsia="Arial" w:hAnsi="Arial"/>
          <w:sz w:val="15"/>
          <w:szCs w:val="15"/>
          <w:color w:val="auto"/>
          <w:vertAlign w:val="superscript"/>
        </w:rPr>
      </w:pPr>
    </w:p>
    <w:p>
      <w:pPr>
        <w:ind w:left="300" w:hanging="148"/>
        <w:spacing w:after="0" w:line="187" w:lineRule="auto"/>
        <w:tabs>
          <w:tab w:leader="none" w:pos="30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See Retrospective Presentation of Ownership Exchange in Note 2.</w:t>
      </w:r>
    </w:p>
    <w:p>
      <w:pPr>
        <w:ind w:left="300" w:hanging="148"/>
        <w:spacing w:after="0" w:line="197" w:lineRule="auto"/>
        <w:tabs>
          <w:tab w:leader="none" w:pos="300"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The Company has elected to recognize forfeitures as they occur. Therefore, the number of awards vested and expected to vest is equal to the awards outstanding.</w:t>
      </w:r>
    </w:p>
    <w:p>
      <w:pPr>
        <w:spacing w:after="0" w:line="22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Restricted Unit Activity</w:t>
      </w:r>
    </w:p>
    <w:p>
      <w:pPr>
        <w:spacing w:after="0" w:line="25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Restricted Unit activity is as follows:</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120" w:type="dxa"/>
            <w:vAlign w:val="bottom"/>
          </w:tcPr>
          <w:p>
            <w:pPr>
              <w:spacing w:after="0"/>
              <w:rPr>
                <w:sz w:val="18"/>
                <w:szCs w:val="18"/>
                <w:color w:val="auto"/>
              </w:rPr>
            </w:pPr>
          </w:p>
        </w:tc>
        <w:tc>
          <w:tcPr>
            <w:tcW w:w="24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Service Restricted Units</w:t>
            </w:r>
          </w:p>
        </w:tc>
        <w:tc>
          <w:tcPr>
            <w:tcW w:w="258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1"/>
              </w:rPr>
              <w:t>Liquidity Event Restricted</w:t>
            </w:r>
          </w:p>
        </w:tc>
        <w:tc>
          <w:tcPr>
            <w:tcW w:w="238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w w:val="91"/>
              </w:rPr>
              <w:t>Performance Restricted Units</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19"/>
                <w:szCs w:val="19"/>
                <w:color w:val="auto"/>
              </w:rPr>
            </w:pPr>
          </w:p>
        </w:tc>
        <w:tc>
          <w:tcPr>
            <w:tcW w:w="2440" w:type="dxa"/>
            <w:vAlign w:val="bottom"/>
            <w:gridSpan w:val="5"/>
            <w:vMerge w:val="continue"/>
          </w:tcPr>
          <w:p>
            <w:pPr>
              <w:spacing w:after="0"/>
              <w:rPr>
                <w:sz w:val="19"/>
                <w:szCs w:val="19"/>
                <w:color w:val="auto"/>
              </w:rPr>
            </w:pPr>
          </w:p>
        </w:tc>
        <w:tc>
          <w:tcPr>
            <w:tcW w:w="144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88"/>
              </w:rPr>
              <w:t>Units</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12"/>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center"/>
              <w:ind w:right="192"/>
              <w:spacing w:after="0" w:line="169"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32"/>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Average Grant</w:t>
            </w:r>
          </w:p>
        </w:tc>
        <w:tc>
          <w:tcPr>
            <w:tcW w:w="0" w:type="dxa"/>
            <w:vAlign w:val="bottom"/>
          </w:tcPr>
          <w:p>
            <w:pPr>
              <w:spacing w:after="0"/>
              <w:rPr>
                <w:sz w:val="1"/>
                <w:szCs w:val="1"/>
                <w:color w:val="auto"/>
              </w:rPr>
            </w:pPr>
          </w:p>
        </w:tc>
      </w:tr>
      <w:tr>
        <w:trPr>
          <w:trHeight w:val="175"/>
        </w:trPr>
        <w:tc>
          <w:tcPr>
            <w:tcW w:w="3120" w:type="dxa"/>
            <w:vAlign w:val="bottom"/>
          </w:tcPr>
          <w:p>
            <w:pPr>
              <w:spacing w:after="0"/>
              <w:rPr>
                <w:sz w:val="15"/>
                <w:szCs w:val="15"/>
                <w:color w:val="auto"/>
              </w:rPr>
            </w:pPr>
          </w:p>
        </w:tc>
        <w:tc>
          <w:tcPr>
            <w:tcW w:w="94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23"/>
                <w:szCs w:val="23"/>
                <w:b w:val="1"/>
                <w:bCs w:val="1"/>
                <w:color w:val="auto"/>
                <w:vertAlign w:val="superscript"/>
              </w:rPr>
              <w:t>(1)</w:t>
            </w:r>
          </w:p>
        </w:tc>
        <w:tc>
          <w:tcPr>
            <w:tcW w:w="80" w:type="dxa"/>
            <w:vAlign w:val="bottom"/>
          </w:tcPr>
          <w:p>
            <w:pPr>
              <w:spacing w:after="0"/>
              <w:rPr>
                <w:sz w:val="15"/>
                <w:szCs w:val="15"/>
                <w:color w:val="auto"/>
              </w:rPr>
            </w:pPr>
          </w:p>
        </w:tc>
        <w:tc>
          <w:tcPr>
            <w:tcW w:w="142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93"/>
              </w:rPr>
              <w:t>Date Fair Value</w:t>
            </w:r>
          </w:p>
        </w:tc>
        <w:tc>
          <w:tcPr>
            <w:tcW w:w="10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23"/>
                <w:szCs w:val="23"/>
                <w:b w:val="1"/>
                <w:bCs w:val="1"/>
                <w:color w:val="auto"/>
                <w:vertAlign w:val="superscript"/>
              </w:rPr>
              <w:t>(1)</w:t>
            </w:r>
          </w:p>
        </w:tc>
        <w:tc>
          <w:tcPr>
            <w:tcW w:w="100" w:type="dxa"/>
            <w:vAlign w:val="bottom"/>
          </w:tcPr>
          <w:p>
            <w:pPr>
              <w:spacing w:after="0"/>
              <w:rPr>
                <w:sz w:val="15"/>
                <w:szCs w:val="15"/>
                <w:color w:val="auto"/>
              </w:rPr>
            </w:pPr>
          </w:p>
        </w:tc>
        <w:tc>
          <w:tcPr>
            <w:tcW w:w="14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Date Fair Value</w:t>
            </w:r>
          </w:p>
        </w:tc>
        <w:tc>
          <w:tcPr>
            <w:tcW w:w="96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 xml:space="preserve">Units </w:t>
            </w:r>
            <w:r>
              <w:rPr>
                <w:rFonts w:ascii="Arial" w:cs="Arial" w:eastAsia="Arial" w:hAnsi="Arial"/>
                <w:sz w:val="23"/>
                <w:szCs w:val="23"/>
                <w:b w:val="1"/>
                <w:bCs w:val="1"/>
                <w:color w:val="auto"/>
                <w:vertAlign w:val="superscript"/>
              </w:rPr>
              <w:t>(1)</w:t>
            </w:r>
          </w:p>
        </w:tc>
        <w:tc>
          <w:tcPr>
            <w:tcW w:w="80" w:type="dxa"/>
            <w:vAlign w:val="bottom"/>
          </w:tcPr>
          <w:p>
            <w:pPr>
              <w:spacing w:after="0"/>
              <w:rPr>
                <w:sz w:val="15"/>
                <w:szCs w:val="15"/>
                <w:color w:val="auto"/>
              </w:rPr>
            </w:pPr>
          </w:p>
        </w:tc>
        <w:tc>
          <w:tcPr>
            <w:tcW w:w="13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3"/>
              </w:rPr>
              <w:t>Date Fair Value</w:t>
            </w:r>
          </w:p>
        </w:tc>
        <w:tc>
          <w:tcPr>
            <w:tcW w:w="0" w:type="dxa"/>
            <w:vAlign w:val="bottom"/>
          </w:tcPr>
          <w:p>
            <w:pPr>
              <w:spacing w:after="0"/>
              <w:rPr>
                <w:sz w:val="1"/>
                <w:szCs w:val="1"/>
                <w:color w:val="auto"/>
              </w:rPr>
            </w:pPr>
          </w:p>
        </w:tc>
      </w:tr>
      <w:tr>
        <w:trPr>
          <w:trHeight w:val="162"/>
        </w:trPr>
        <w:tc>
          <w:tcPr>
            <w:tcW w:w="312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92"/>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12"/>
              <w:spacing w:after="0"/>
              <w:rPr>
                <w:sz w:val="20"/>
                <w:szCs w:val="20"/>
                <w:color w:val="auto"/>
              </w:rPr>
            </w:pPr>
            <w:r>
              <w:rPr>
                <w:rFonts w:ascii="Arial" w:cs="Arial" w:eastAsia="Arial" w:hAnsi="Arial"/>
                <w:sz w:val="12"/>
                <w:szCs w:val="12"/>
                <w:b w:val="1"/>
                <w:bCs w:val="1"/>
                <w:color w:val="auto"/>
                <w:w w:val="95"/>
              </w:rPr>
              <w:t>(1)</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2"/>
                <w:szCs w:val="12"/>
                <w:b w:val="1"/>
                <w:bCs w:val="1"/>
                <w:color w:val="auto"/>
                <w:w w:val="95"/>
              </w:rPr>
              <w:t>(1)</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February 2, 2019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12,070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45,265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February 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1,044,813</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32,049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1,185,474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17.99</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(802,498)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17.37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January 30, 2021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1,339,330</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358,960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196,056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(33,389)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(1,339,330)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(18,741)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27.62</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(4,387)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Non-vested as of January 29, 2022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338,879</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203,918</w:t>
            </w:r>
          </w:p>
        </w:tc>
        <w:tc>
          <w:tcPr>
            <w:tcW w:w="3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0"/>
          <w:szCs w:val="20"/>
          <w:color w:val="auto"/>
        </w:rPr>
      </w:pPr>
    </w:p>
    <w:p>
      <w:pPr>
        <w:ind w:left="280" w:hanging="128"/>
        <w:spacing w:after="0"/>
        <w:tabs>
          <w:tab w:leader="none" w:pos="280" w:val="left"/>
        </w:tabs>
        <w:numPr>
          <w:ilvl w:val="0"/>
          <w:numId w:val="69"/>
        </w:numPr>
        <w:rPr>
          <w:rFonts w:ascii="Arial" w:cs="Arial" w:eastAsia="Arial" w:hAnsi="Arial"/>
          <w:sz w:val="9"/>
          <w:szCs w:val="9"/>
          <w:color w:val="auto"/>
        </w:rPr>
      </w:pPr>
      <w:r>
        <w:rPr>
          <w:rFonts w:ascii="Arial" w:cs="Arial" w:eastAsia="Arial" w:hAnsi="Arial"/>
          <w:sz w:val="14"/>
          <w:szCs w:val="14"/>
          <w:color w:val="auto"/>
        </w:rPr>
        <w:t>See Retrospective Presentation of Ownership Exchange in Note 2.</w:t>
      </w:r>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224790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500" w:top="861" w:right="719" w:bottom="1440" w:gutter="0" w:footer="0" w:header="0"/>
        </w:sectPr>
      </w:pPr>
    </w:p>
    <w:bookmarkStart w:id="97" w:name="page98"/>
    <w:bookmarkEnd w:id="97"/>
    <w:p>
      <w:pPr>
        <w:jc w:val="both"/>
        <w:ind w:left="340" w:firstLine="324"/>
        <w:spacing w:after="0" w:line="259" w:lineRule="auto"/>
        <w:rPr>
          <w:sz w:val="20"/>
          <w:szCs w:val="20"/>
          <w:color w:val="auto"/>
        </w:rPr>
      </w:pPr>
      <w:r>
        <w:rPr>
          <w:rFonts w:ascii="Arial" w:cs="Arial" w:eastAsia="Arial" w:hAnsi="Arial"/>
          <w:sz w:val="18"/>
          <w:szCs w:val="18"/>
          <w:color w:val="auto"/>
        </w:rPr>
        <w:t>The Company’s outstanding and unvested Service Restricted Units typically vest either (i) 100% on the first anniversary of the grant date, or, if earlier, the business day immediately preceding the following annual meeting of stockholders, or (ii) over a four-year period at rates of 25%, 25%, 25% and 25% on the anniversary of their grant date. In the event of certain Company change of control transactions, the Company’s then-outstanding and unvested Service Restricted Units will become fully vested.</w:t>
      </w:r>
    </w:p>
    <w:p>
      <w:pPr>
        <w:spacing w:after="0" w:line="133" w:lineRule="exact"/>
        <w:rPr>
          <w:sz w:val="20"/>
          <w:szCs w:val="20"/>
          <w:color w:val="auto"/>
        </w:rPr>
      </w:pPr>
    </w:p>
    <w:p>
      <w:pPr>
        <w:jc w:val="both"/>
        <w:ind w:left="340" w:firstLine="324"/>
        <w:spacing w:after="0" w:line="259" w:lineRule="auto"/>
        <w:rPr>
          <w:sz w:val="20"/>
          <w:szCs w:val="20"/>
          <w:color w:val="auto"/>
        </w:rPr>
      </w:pPr>
      <w:r>
        <w:rPr>
          <w:rFonts w:ascii="Arial" w:cs="Arial" w:eastAsia="Arial" w:hAnsi="Arial"/>
          <w:sz w:val="18"/>
          <w:szCs w:val="18"/>
          <w:color w:val="auto"/>
        </w:rPr>
        <w:t>The Company’s outstanding and unvested Liquidity Event Restricted Units began being expensed on October 6, 2020, concurrent with the completion of the IPO and the performance objective was met in accordance with ASC 718. Additionally, in connection with the completion of the IPO, the Company issued performance restricted units to key team members which will vest 25% on the first anniversary of the grant date and 75% on the second anniversary of the grant date.</w:t>
      </w:r>
    </w:p>
    <w:p>
      <w:pPr>
        <w:spacing w:after="0" w:line="133"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The Company’s outstanding and unvested Performance Restricted Units typically vest either (i) over a four-year period at rates of 25%, 25%, 25% and 25% per anniversary of the Performance Restricted Unit holder’s vesting commencement date, so long as the Company achieves (a) the performance metric for the grant year, (b) achieves a stated target share price, or (c) a change of control occurring during the grant year, or (ii) immediately at a rate of 100%, upon the completion of certain Company change of control transactions, so long as during the twenty-four month period following such change of control the unit holder's service is terminated without cause or they submit their resignation for good reason, as defined in the award agreement.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Common Share</w:t>
      </w:r>
    </w:p>
    <w:p>
      <w:pPr>
        <w:spacing w:after="0" w:line="175"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38" w:lineRule="exact"/>
        <w:rPr>
          <w:sz w:val="20"/>
          <w:szCs w:val="20"/>
          <w:color w:val="auto"/>
        </w:rPr>
      </w:pPr>
    </w:p>
    <w:p>
      <w:pPr>
        <w:ind w:left="340" w:right="500" w:firstLine="324"/>
        <w:spacing w:after="0" w:line="271" w:lineRule="auto"/>
        <w:rPr>
          <w:sz w:val="20"/>
          <w:szCs w:val="20"/>
          <w:color w:val="auto"/>
        </w:rPr>
      </w:pPr>
      <w:r>
        <w:rPr>
          <w:rFonts w:ascii="Arial" w:cs="Arial" w:eastAsia="Arial" w:hAnsi="Arial"/>
          <w:sz w:val="18"/>
          <w:szCs w:val="18"/>
          <w:color w:val="auto"/>
        </w:rPr>
        <w:t>Basic and dilutive weighted average common shares outstanding and basic and diluted earnings per common share are calculated as follows (amounts in thousands except per share amounts):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0"/>
              </w:rPr>
              <w:t>Fiscal Year Ended</w:t>
            </w:r>
          </w:p>
        </w:tc>
        <w:tc>
          <w:tcPr>
            <w:tcW w:w="5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January 29, 2022</w:t>
            </w:r>
          </w:p>
        </w:tc>
        <w:tc>
          <w:tcPr>
            <w:tcW w:w="520" w:type="dxa"/>
            <w:vAlign w:val="bottom"/>
          </w:tcPr>
          <w:p>
            <w:pPr>
              <w:spacing w:after="0"/>
              <w:rPr>
                <w:sz w:val="19"/>
                <w:szCs w:val="19"/>
                <w:color w:val="auto"/>
              </w:rPr>
            </w:pPr>
          </w:p>
        </w:tc>
        <w:tc>
          <w:tcPr>
            <w:tcW w:w="1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January 30, 2021</w:t>
            </w:r>
          </w:p>
        </w:tc>
        <w:tc>
          <w:tcPr>
            <w:tcW w:w="520" w:type="dxa"/>
            <w:vAlign w:val="bottom"/>
          </w:tcPr>
          <w:p>
            <w:pPr>
              <w:spacing w:after="0"/>
              <w:rPr>
                <w:sz w:val="19"/>
                <w:szCs w:val="19"/>
                <w:color w:val="auto"/>
              </w:rPr>
            </w:pPr>
          </w:p>
        </w:tc>
        <w:tc>
          <w:tcPr>
            <w:tcW w:w="17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February 1, 2020</w:t>
            </w:r>
          </w:p>
        </w:tc>
        <w:tc>
          <w:tcPr>
            <w:tcW w:w="0" w:type="dxa"/>
            <w:vAlign w:val="bottom"/>
          </w:tcPr>
          <w:p>
            <w:pPr>
              <w:spacing w:after="0"/>
              <w:rPr>
                <w:sz w:val="1"/>
                <w:szCs w:val="1"/>
                <w:color w:val="auto"/>
              </w:rPr>
            </w:pPr>
          </w:p>
        </w:tc>
      </w:tr>
      <w:tr>
        <w:trPr>
          <w:trHeight w:val="223"/>
        </w:trPr>
        <w:tc>
          <w:tcPr>
            <w:tcW w:w="360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5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671,381</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308,764</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0" w:type="dxa"/>
            <w:vAlign w:val="bottom"/>
          </w:tcPr>
          <w:p>
            <w:pPr>
              <w:spacing w:after="0"/>
              <w:rPr>
                <w:sz w:val="1"/>
                <w:szCs w:val="1"/>
                <w:color w:val="auto"/>
              </w:rPr>
            </w:pPr>
          </w:p>
        </w:tc>
      </w:tr>
      <w:tr>
        <w:trPr>
          <w:trHeight w:val="270"/>
        </w:trPr>
        <w:tc>
          <w:tcPr>
            <w:tcW w:w="36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Weighted average common shares</w:t>
            </w:r>
          </w:p>
        </w:tc>
        <w:tc>
          <w:tcPr>
            <w:tcW w:w="5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90,956</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77,994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72,477</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outstanding - basic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560"/>
              <w:spacing w:after="0" w:line="176" w:lineRule="exact"/>
              <w:rPr>
                <w:sz w:val="20"/>
                <w:szCs w:val="20"/>
                <w:color w:val="auto"/>
              </w:rPr>
            </w:pPr>
            <w:r>
              <w:rPr>
                <w:rFonts w:ascii="Arial" w:cs="Arial" w:eastAsia="Arial" w:hAnsi="Arial"/>
                <w:sz w:val="18"/>
                <w:szCs w:val="18"/>
                <w:color w:val="auto"/>
              </w:rPr>
              <w:t>Dilutive effect of Service Restricted</w:t>
            </w:r>
          </w:p>
        </w:tc>
        <w:tc>
          <w:tcPr>
            <w:tcW w:w="54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line="230" w:lineRule="exact"/>
              <w:rPr>
                <w:sz w:val="20"/>
                <w:szCs w:val="20"/>
                <w:color w:val="auto"/>
              </w:rPr>
            </w:pPr>
            <w:r>
              <w:rPr>
                <w:rFonts w:ascii="Arial" w:cs="Arial" w:eastAsia="Arial" w:hAnsi="Arial"/>
                <w:sz w:val="18"/>
                <w:szCs w:val="18"/>
                <w:color w:val="auto"/>
                <w:w w:val="96"/>
              </w:rPr>
              <w:t xml:space="preserve">Units and Service Restricted Stock Units </w:t>
            </w:r>
            <w:r>
              <w:rPr>
                <w:rFonts w:ascii="Arial" w:cs="Arial" w:eastAsia="Arial" w:hAnsi="Arial"/>
                <w:sz w:val="23"/>
                <w:szCs w:val="23"/>
                <w:color w:val="auto"/>
                <w:w w:val="96"/>
                <w:vertAlign w:val="superscript"/>
              </w:rPr>
              <w:t>(1)</w:t>
            </w:r>
          </w:p>
        </w:tc>
        <w:tc>
          <w:tcPr>
            <w:tcW w:w="54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Dilutive effect of Performance</w:t>
            </w:r>
          </w:p>
        </w:tc>
        <w:tc>
          <w:tcPr>
            <w:tcW w:w="54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Restricted Stock Units and Liquidity Event</w:t>
            </w:r>
          </w:p>
        </w:tc>
        <w:tc>
          <w:tcPr>
            <w:tcW w:w="5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Restricted Units </w:t>
            </w:r>
            <w:r>
              <w:rPr>
                <w:rFonts w:ascii="Arial" w:cs="Arial" w:eastAsia="Arial" w:hAnsi="Arial"/>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560"/>
              <w:spacing w:after="0" w:line="230" w:lineRule="exact"/>
              <w:rPr>
                <w:sz w:val="20"/>
                <w:szCs w:val="20"/>
                <w:color w:val="auto"/>
              </w:rPr>
            </w:pPr>
            <w:r>
              <w:rPr>
                <w:rFonts w:ascii="Arial" w:cs="Arial" w:eastAsia="Arial" w:hAnsi="Arial"/>
                <w:sz w:val="18"/>
                <w:szCs w:val="18"/>
                <w:color w:val="auto"/>
              </w:rPr>
              <w:t xml:space="preserve">Dilutive effect of Service Options </w:t>
            </w:r>
            <w:r>
              <w:rPr>
                <w:rFonts w:ascii="Arial" w:cs="Arial" w:eastAsia="Arial" w:hAnsi="Arial"/>
                <w:sz w:val="23"/>
                <w:szCs w:val="23"/>
                <w:color w:val="auto"/>
                <w:vertAlign w:val="superscript"/>
              </w:rPr>
              <w:t>(1)</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2,300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175"/>
        </w:trPr>
        <w:tc>
          <w:tcPr>
            <w:tcW w:w="36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Dilutive effect of Performance Unit</w:t>
            </w:r>
          </w:p>
        </w:tc>
        <w:tc>
          <w:tcPr>
            <w:tcW w:w="54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637</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w w:val="97"/>
              </w:rPr>
              <w:t xml:space="preserve">Options and Performance Stock Options </w:t>
            </w:r>
            <w:r>
              <w:rPr>
                <w:rFonts w:ascii="Arial" w:cs="Arial" w:eastAsia="Arial" w:hAnsi="Arial"/>
                <w:sz w:val="23"/>
                <w:szCs w:val="23"/>
                <w:color w:val="auto"/>
                <w:w w:val="97"/>
                <w:vertAlign w:val="superscript"/>
              </w:rPr>
              <w:t>(1)</w:t>
            </w:r>
          </w:p>
        </w:tc>
        <w:tc>
          <w:tcPr>
            <w:tcW w:w="54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560"/>
              <w:spacing w:after="0"/>
              <w:rPr>
                <w:sz w:val="20"/>
                <w:szCs w:val="20"/>
                <w:color w:val="auto"/>
              </w:rPr>
            </w:pPr>
            <w:r>
              <w:rPr>
                <w:rFonts w:ascii="Arial" w:cs="Arial" w:eastAsia="Arial" w:hAnsi="Arial"/>
                <w:sz w:val="18"/>
                <w:szCs w:val="18"/>
                <w:color w:val="auto"/>
              </w:rPr>
              <w:t>Dilutive effect of ESPP Shares</w:t>
            </w: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3600" w:type="dxa"/>
            <w:vAlign w:val="bottom"/>
            <w:tcBorders>
              <w:top w:val="single" w:sz="8" w:color="CCEEFF"/>
            </w:tcBorders>
            <w:shd w:val="clear" w:color="auto" w:fill="CCEEFF"/>
          </w:tcPr>
          <w:p>
            <w:pPr>
              <w:ind w:left="340"/>
              <w:spacing w:after="0" w:line="156" w:lineRule="exact"/>
              <w:rPr>
                <w:sz w:val="20"/>
                <w:szCs w:val="20"/>
                <w:color w:val="auto"/>
              </w:rPr>
            </w:pPr>
            <w:r>
              <w:rPr>
                <w:rFonts w:ascii="Arial" w:cs="Arial" w:eastAsia="Arial" w:hAnsi="Arial"/>
                <w:sz w:val="18"/>
                <w:szCs w:val="18"/>
                <w:color w:val="auto"/>
              </w:rPr>
              <w:t>Weighted average common shares</w:t>
            </w:r>
          </w:p>
        </w:tc>
        <w:tc>
          <w:tcPr>
            <w:tcW w:w="5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94,284</w:t>
            </w:r>
          </w:p>
        </w:tc>
        <w:tc>
          <w:tcPr>
            <w:tcW w:w="8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81,431</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74,795</w:t>
            </w:r>
          </w:p>
        </w:tc>
        <w:tc>
          <w:tcPr>
            <w:tcW w:w="0" w:type="dxa"/>
            <w:vAlign w:val="bottom"/>
          </w:tcPr>
          <w:p>
            <w:pPr>
              <w:spacing w:after="0"/>
              <w:rPr>
                <w:sz w:val="1"/>
                <w:szCs w:val="1"/>
                <w:color w:val="auto"/>
              </w:rPr>
            </w:pPr>
          </w:p>
        </w:tc>
      </w:tr>
      <w:tr>
        <w:trPr>
          <w:trHeight w:val="223"/>
        </w:trPr>
        <w:tc>
          <w:tcPr>
            <w:tcW w:w="36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 xml:space="preserve">outstanding - diluted </w:t>
            </w:r>
            <w:r>
              <w:rPr>
                <w:rFonts w:ascii="Arial" w:cs="Arial" w:eastAsia="Arial" w:hAnsi="Arial"/>
                <w:sz w:val="23"/>
                <w:szCs w:val="23"/>
                <w:color w:val="auto"/>
                <w:vertAlign w:val="superscript"/>
              </w:rPr>
              <w:t>(1)</w:t>
            </w:r>
          </w:p>
        </w:tc>
        <w:tc>
          <w:tcPr>
            <w:tcW w:w="54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per common share - basic</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3600" w:type="dxa"/>
            <w:vAlign w:val="bottom"/>
          </w:tcPr>
          <w:p>
            <w:pPr>
              <w:ind w:left="340"/>
              <w:spacing w:after="0"/>
              <w:rPr>
                <w:sz w:val="20"/>
                <w:szCs w:val="20"/>
                <w:color w:val="auto"/>
              </w:rPr>
            </w:pPr>
            <w:r>
              <w:rPr>
                <w:rFonts w:ascii="Arial" w:cs="Arial" w:eastAsia="Arial" w:hAnsi="Arial"/>
                <w:sz w:val="18"/>
                <w:szCs w:val="18"/>
                <w:color w:val="auto"/>
              </w:rPr>
              <w:t>Earnings per common share - diluted</w:t>
            </w:r>
          </w:p>
        </w:tc>
        <w:tc>
          <w:tcPr>
            <w:tcW w:w="5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spacing w:after="0"/>
              <w:rPr>
                <w:sz w:val="20"/>
                <w:szCs w:val="20"/>
                <w:color w:val="auto"/>
              </w:rPr>
            </w:pPr>
            <w:r>
              <w:rPr>
                <w:rFonts w:ascii="Arial" w:cs="Arial" w:eastAsia="Arial" w:hAnsi="Arial"/>
                <w:sz w:val="18"/>
                <w:szCs w:val="18"/>
                <w:b w:val="1"/>
                <w:bCs w:val="1"/>
                <w:color w:val="auto"/>
              </w:rPr>
              <w:t>7.12</w:t>
            </w:r>
          </w:p>
        </w:tc>
        <w:tc>
          <w:tcPr>
            <w:tcW w:w="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00" w:type="dxa"/>
            <w:vAlign w:val="bottom"/>
          </w:tcPr>
          <w:p>
            <w:pPr>
              <w:ind w:left="340"/>
              <w:spacing w:after="0" w:line="176" w:lineRule="exact"/>
              <w:rPr>
                <w:sz w:val="20"/>
                <w:szCs w:val="20"/>
                <w:color w:val="auto"/>
              </w:rPr>
            </w:pPr>
            <w:r>
              <w:rPr>
                <w:rFonts w:ascii="Arial" w:cs="Arial" w:eastAsia="Arial" w:hAnsi="Arial"/>
                <w:sz w:val="18"/>
                <w:szCs w:val="18"/>
                <w:color w:val="auto"/>
                <w:w w:val="96"/>
              </w:rPr>
              <w:t>Anti-dilutive stock-based awards excluded</w:t>
            </w:r>
          </w:p>
        </w:tc>
        <w:tc>
          <w:tcPr>
            <w:tcW w:w="54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720" w:type="dxa"/>
            <w:vAlign w:val="bottom"/>
            <w:vMerge w:val="restart"/>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304"/>
        </w:trPr>
        <w:tc>
          <w:tcPr>
            <w:tcW w:w="3600" w:type="dxa"/>
            <w:vAlign w:val="bottom"/>
          </w:tcPr>
          <w:p>
            <w:pPr>
              <w:ind w:left="20"/>
              <w:spacing w:after="0"/>
              <w:rPr>
                <w:sz w:val="20"/>
                <w:szCs w:val="20"/>
                <w:color w:val="auto"/>
              </w:rPr>
            </w:pPr>
            <w:r>
              <w:rPr>
                <w:rFonts w:ascii="Arial" w:cs="Arial" w:eastAsia="Arial" w:hAnsi="Arial"/>
                <w:sz w:val="18"/>
                <w:szCs w:val="18"/>
                <w:color w:val="auto"/>
              </w:rPr>
              <w:t xml:space="preserve">from diluted calculation </w:t>
            </w:r>
            <w:r>
              <w:rPr>
                <w:rFonts w:ascii="Arial" w:cs="Arial" w:eastAsia="Arial" w:hAnsi="Arial"/>
                <w:sz w:val="23"/>
                <w:szCs w:val="23"/>
                <w:color w:val="auto"/>
                <w:vertAlign w:val="superscript"/>
              </w:rPr>
              <w:t>(1)</w:t>
            </w:r>
          </w:p>
        </w:tc>
        <w:tc>
          <w:tcPr>
            <w:tcW w:w="54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460" w:hanging="128"/>
        <w:spacing w:after="0"/>
        <w:tabs>
          <w:tab w:leader="none" w:pos="460" w:val="left"/>
        </w:tabs>
        <w:numPr>
          <w:ilvl w:val="0"/>
          <w:numId w:val="70"/>
        </w:numPr>
        <w:rPr>
          <w:rFonts w:ascii="Arial" w:cs="Arial" w:eastAsia="Arial" w:hAnsi="Arial"/>
          <w:sz w:val="15"/>
          <w:szCs w:val="15"/>
          <w:color w:val="auto"/>
          <w:vertAlign w:val="superscript"/>
        </w:rPr>
      </w:pPr>
      <w:r>
        <w:rPr>
          <w:rFonts w:ascii="Arial" w:cs="Arial" w:eastAsia="Arial" w:hAnsi="Arial"/>
          <w:sz w:val="11"/>
          <w:szCs w:val="11"/>
          <w:color w:val="auto"/>
        </w:rPr>
        <w:t>See Retrospective Presentation of Ownership Exchange in Note 2</w:t>
      </w: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jc w:val="both"/>
        <w:ind w:left="340" w:firstLine="324"/>
        <w:spacing w:after="0" w:line="255" w:lineRule="auto"/>
        <w:rPr>
          <w:sz w:val="20"/>
          <w:szCs w:val="20"/>
          <w:color w:val="auto"/>
        </w:rPr>
      </w:pPr>
      <w:r>
        <w:rPr>
          <w:rFonts w:ascii="Arial" w:cs="Arial" w:eastAsia="Arial" w:hAnsi="Arial"/>
          <w:sz w:val="18"/>
          <w:szCs w:val="18"/>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completed on October 1, 2020, as described further in the Prospectus,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138" w:lineRule="exact"/>
        <w:rPr>
          <w:sz w:val="20"/>
          <w:szCs w:val="20"/>
          <w:color w:val="auto"/>
        </w:rPr>
      </w:pPr>
    </w:p>
    <w:p>
      <w:pPr>
        <w:jc w:val="both"/>
        <w:ind w:left="340" w:firstLine="324"/>
        <w:spacing w:after="0" w:line="296" w:lineRule="auto"/>
        <w:rPr>
          <w:sz w:val="20"/>
          <w:szCs w:val="20"/>
          <w:color w:val="auto"/>
        </w:rPr>
      </w:pPr>
      <w:r>
        <w:rPr>
          <w:rFonts w:ascii="Arial" w:cs="Arial" w:eastAsia="Arial" w:hAnsi="Arial"/>
          <w:sz w:val="16"/>
          <w:szCs w:val="16"/>
          <w:color w:val="auto"/>
        </w:rPr>
        <w:t>As a result of the Reorganization Transactions, the Company recorded a net deferred tax liability position of $137.3 million, which consisted of the Company’s difference between the Company's financial statement carrying value and the outside tax basis in its NAHC membership units, immediately following the completion of the Reorganization Transactions, measured at the enacted federal and state income tax rates. Additionally, $4.6 million in current tax liability was assumed by the Company as part of the Reorganization Transactions. The combined entry was recorded as a cumulative adjustment to additional paid-in capital for 2020 equal to $141.9 million, as reflected in the statement of stockholders' equity.</w:t>
      </w:r>
    </w:p>
    <w:p>
      <w:pPr>
        <w:spacing w:after="0" w:line="94"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Effective January 31, 2021, NAHC discontinued partnership treatment for tax purposes. As a result, our deferred tax liability was no longer measured by reference to membership units in NAHC and instead was measured by reference to the underlying assets and liabilities of our operations. No change in the total reported deferred tax liability occurred as a result of the change in tax structure.</w:t>
      </w:r>
    </w:p>
    <w:p>
      <w:pPr>
        <w:spacing w:after="0" w:line="130" w:lineRule="exact"/>
        <w:rPr>
          <w:sz w:val="20"/>
          <w:szCs w:val="20"/>
          <w:color w:val="auto"/>
        </w:rPr>
      </w:pPr>
    </w:p>
    <w:p>
      <w:pPr>
        <w:jc w:val="both"/>
        <w:ind w:left="340" w:firstLine="324"/>
        <w:spacing w:after="0" w:line="263" w:lineRule="auto"/>
        <w:rPr>
          <w:sz w:val="20"/>
          <w:szCs w:val="20"/>
          <w:color w:val="auto"/>
        </w:rPr>
      </w:pPr>
      <w:r>
        <w:rPr>
          <w:rFonts w:ascii="Arial" w:cs="Arial" w:eastAsia="Arial" w:hAnsi="Arial"/>
          <w:sz w:val="18"/>
          <w:szCs w:val="18"/>
          <w:color w:val="auto"/>
        </w:rPr>
        <w:t>The Coronavirus Aid, Relief, and Economic Security Act ("CARES Act") was enacted in the U.S. on March 27, 2020, the Consolidated Appropriations Act of 2021 was enacted on December 27, 2020 and the American Rescue Plan Act of 2021 was enacted on March 11, 2021. These legislative actions did not significantly impact our full year effective tax rate in fiscal 2020 or 2021.</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income tax provision consists of the following (amounts in thousands) as of:</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90"/>
              </w:rPr>
              <w:t>Fiscal Year Ended</w:t>
            </w:r>
          </w:p>
        </w:tc>
        <w:tc>
          <w:tcPr>
            <w:tcW w:w="4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29, 2022</w:t>
            </w:r>
          </w:p>
        </w:tc>
        <w:tc>
          <w:tcPr>
            <w:tcW w:w="44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30, 2021</w:t>
            </w:r>
          </w:p>
        </w:tc>
        <w:tc>
          <w:tcPr>
            <w:tcW w:w="460" w:type="dxa"/>
            <w:vAlign w:val="bottom"/>
          </w:tcPr>
          <w:p>
            <w:pPr>
              <w:spacing w:after="0"/>
              <w:rPr>
                <w:sz w:val="19"/>
                <w:szCs w:val="19"/>
                <w:color w:val="auto"/>
              </w:rPr>
            </w:pPr>
          </w:p>
        </w:tc>
        <w:tc>
          <w:tcPr>
            <w:tcW w:w="152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February 1, 2020</w:t>
            </w:r>
          </w:p>
        </w:tc>
      </w:tr>
      <w:tr>
        <w:trPr>
          <w:trHeight w:val="209"/>
        </w:trPr>
        <w:tc>
          <w:tcPr>
            <w:tcW w:w="4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Current expense:</w:t>
            </w:r>
          </w:p>
        </w:tc>
        <w:tc>
          <w:tcPr>
            <w:tcW w:w="4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r>
      <w:tr>
        <w:trPr>
          <w:trHeight w:val="230"/>
        </w:trPr>
        <w:tc>
          <w:tcPr>
            <w:tcW w:w="4280" w:type="dxa"/>
            <w:vAlign w:val="bottom"/>
          </w:tcPr>
          <w:p>
            <w:pPr>
              <w:ind w:left="460"/>
              <w:spacing w:after="0"/>
              <w:rPr>
                <w:sz w:val="20"/>
                <w:szCs w:val="20"/>
                <w:color w:val="auto"/>
              </w:rPr>
            </w:pPr>
            <w:r>
              <w:rPr>
                <w:rFonts w:ascii="Arial" w:cs="Arial" w:eastAsia="Arial" w:hAnsi="Arial"/>
                <w:sz w:val="18"/>
                <w:szCs w:val="18"/>
                <w:color w:val="auto"/>
              </w:rPr>
              <w:t>Federal</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93,373</w:t>
            </w: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23,403</w:t>
            </w: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15,270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r>
      <w:tr>
        <w:trPr>
          <w:trHeight w:val="230"/>
        </w:trPr>
        <w:tc>
          <w:tcPr>
            <w:tcW w:w="4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expense</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108,669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r>
      <w:tr>
        <w:trPr>
          <w:trHeight w:val="128"/>
        </w:trPr>
        <w:tc>
          <w:tcPr>
            <w:tcW w:w="4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230"/>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expense (benefit):</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4280" w:type="dxa"/>
            <w:vAlign w:val="bottom"/>
          </w:tcPr>
          <w:p>
            <w:pPr>
              <w:ind w:left="460"/>
              <w:spacing w:after="0"/>
              <w:rPr>
                <w:sz w:val="20"/>
                <w:szCs w:val="20"/>
                <w:color w:val="auto"/>
              </w:rPr>
            </w:pPr>
            <w:r>
              <w:rPr>
                <w:rFonts w:ascii="Arial" w:cs="Arial" w:eastAsia="Arial" w:hAnsi="Arial"/>
                <w:sz w:val="18"/>
                <w:szCs w:val="18"/>
                <w:color w:val="auto"/>
              </w:rPr>
              <w:t>Federal</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b w:val="1"/>
                <w:bCs w:val="1"/>
                <w:color w:val="auto"/>
              </w:rPr>
              <w:t>69,353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State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10,139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42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Foreign</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expense</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79,490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r>
      <w:tr>
        <w:trPr>
          <w:trHeight w:val="223"/>
        </w:trPr>
        <w:tc>
          <w:tcPr>
            <w:tcW w:w="428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188,159</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2,817</w:t>
            </w:r>
          </w:p>
        </w:tc>
      </w:tr>
      <w:tr>
        <w:trPr>
          <w:trHeight w:val="21"/>
        </w:trPr>
        <w:tc>
          <w:tcPr>
            <w:tcW w:w="4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99" w:name="page100"/>
    <w:bookmarkEnd w:id="99"/>
    <w:p>
      <w:pPr>
        <w:ind w:left="320"/>
        <w:spacing w:after="0"/>
        <w:rPr>
          <w:sz w:val="20"/>
          <w:szCs w:val="20"/>
          <w:color w:val="auto"/>
        </w:rPr>
      </w:pPr>
      <w:r>
        <w:rPr>
          <w:rFonts w:ascii="Arial" w:cs="Arial" w:eastAsia="Arial" w:hAnsi="Arial"/>
          <w:sz w:val="18"/>
          <w:szCs w:val="18"/>
          <w:color w:val="auto"/>
        </w:rPr>
        <w:t>A reconciliation of the statutory U.S. federal income tax rate to our effective income tax rate is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0"/>
              </w:rPr>
              <w:t>Fiscal Year Ended</w:t>
            </w:r>
          </w:p>
        </w:tc>
        <w:tc>
          <w:tcPr>
            <w:tcW w:w="1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40" w:type="dxa"/>
            <w:vAlign w:val="bottom"/>
          </w:tcPr>
          <w:p>
            <w:pPr>
              <w:spacing w:after="0"/>
              <w:rPr>
                <w:sz w:val="19"/>
                <w:szCs w:val="19"/>
                <w:color w:val="auto"/>
              </w:rPr>
            </w:pPr>
          </w:p>
        </w:tc>
        <w:tc>
          <w:tcPr>
            <w:tcW w:w="2020" w:type="dxa"/>
            <w:vAlign w:val="bottom"/>
            <w:gridSpan w:val="2"/>
          </w:tcPr>
          <w:p>
            <w:pPr>
              <w:ind w:left="300"/>
              <w:spacing w:after="0"/>
              <w:rPr>
                <w:sz w:val="20"/>
                <w:szCs w:val="20"/>
                <w:color w:val="auto"/>
              </w:rPr>
            </w:pPr>
            <w:r>
              <w:rPr>
                <w:rFonts w:ascii="Arial" w:cs="Arial" w:eastAsia="Arial" w:hAnsi="Arial"/>
                <w:sz w:val="18"/>
                <w:szCs w:val="18"/>
                <w:b w:val="1"/>
                <w:bCs w:val="1"/>
                <w:color w:val="auto"/>
              </w:rPr>
              <w:t>January 29, 2022</w:t>
            </w: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January 30, 2021</w:t>
            </w:r>
          </w:p>
        </w:tc>
        <w:tc>
          <w:tcPr>
            <w:tcW w:w="1860" w:type="dxa"/>
            <w:vAlign w:val="bottom"/>
          </w:tcPr>
          <w:p>
            <w:pPr>
              <w:jc w:val="right"/>
              <w:ind w:right="190"/>
              <w:spacing w:after="0"/>
              <w:rPr>
                <w:sz w:val="20"/>
                <w:szCs w:val="20"/>
                <w:color w:val="auto"/>
              </w:rPr>
            </w:pPr>
            <w:r>
              <w:rPr>
                <w:rFonts w:ascii="Arial" w:cs="Arial" w:eastAsia="Arial" w:hAnsi="Arial"/>
                <w:sz w:val="18"/>
                <w:szCs w:val="18"/>
                <w:b w:val="1"/>
                <w:bCs w:val="1"/>
                <w:color w:val="auto"/>
              </w:rPr>
              <w:t>February 1, 2020</w:t>
            </w:r>
          </w:p>
        </w:tc>
        <w:tc>
          <w:tcPr>
            <w:tcW w:w="0" w:type="dxa"/>
            <w:vAlign w:val="bottom"/>
          </w:tcPr>
          <w:p>
            <w:pPr>
              <w:spacing w:after="0"/>
              <w:rPr>
                <w:sz w:val="1"/>
                <w:szCs w:val="1"/>
                <w:color w:val="auto"/>
              </w:rPr>
            </w:pP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income tax at the statutory rate</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1920" w:type="dxa"/>
            <w:vAlign w:val="bottom"/>
          </w:tcPr>
          <w:p>
            <w:pPr>
              <w:jc w:val="right"/>
              <w:ind w:right="170"/>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9"/>
                <w:szCs w:val="19"/>
                <w:color w:val="auto"/>
              </w:rPr>
            </w:pPr>
          </w:p>
        </w:tc>
        <w:tc>
          <w:tcPr>
            <w:tcW w:w="188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76"/>
        </w:trPr>
        <w:tc>
          <w:tcPr>
            <w:tcW w:w="4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Effect of pre-IPO pass-through income allocated to our</w:t>
            </w:r>
          </w:p>
        </w:tc>
        <w:tc>
          <w:tcPr>
            <w:tcW w:w="20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8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5"/>
                <w:szCs w:val="15"/>
                <w:color w:val="auto"/>
              </w:rPr>
            </w:pPr>
          </w:p>
        </w:tc>
        <w:tc>
          <w:tcPr>
            <w:tcW w:w="18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w:t>
            </w:r>
          </w:p>
        </w:tc>
        <w:tc>
          <w:tcPr>
            <w:tcW w:w="2020" w:type="dxa"/>
            <w:vAlign w:val="bottom"/>
            <w:gridSpan w:val="2"/>
            <w:vMerge w:val="continue"/>
            <w:shd w:val="clear" w:color="auto" w:fill="CCEEFF"/>
          </w:tcPr>
          <w:p>
            <w:pPr>
              <w:spacing w:after="0"/>
              <w:rPr>
                <w:sz w:val="19"/>
                <w:szCs w:val="19"/>
                <w:color w:val="auto"/>
              </w:rPr>
            </w:pPr>
          </w:p>
        </w:tc>
        <w:tc>
          <w:tcPr>
            <w:tcW w:w="1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Nondeductible excess compensation</w:t>
            </w:r>
          </w:p>
        </w:tc>
        <w:tc>
          <w:tcPr>
            <w:tcW w:w="1920" w:type="dxa"/>
            <w:vAlign w:val="bottom"/>
          </w:tcPr>
          <w:p>
            <w:pPr>
              <w:jc w:val="right"/>
              <w:ind w:right="17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1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Excess tax benefit for share-based compensation</w:t>
            </w:r>
          </w:p>
        </w:tc>
        <w:tc>
          <w:tcPr>
            <w:tcW w:w="19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9"/>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other permanent items</w:t>
            </w:r>
          </w:p>
        </w:tc>
        <w:tc>
          <w:tcPr>
            <w:tcW w:w="1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Effective income tax rate</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effective tax rate for periods ending January 30, 2021 and February 1, 2020 is less than the U.S. federal tax rate on corporations primarily as a result of the Company’s status as a flow-through entity prior to October 1, 2020. The fiscal year ended January 30, 2021 includes four months of activity subject to U.S. federal and state income tax in addition to the historically reported Texas franchise tax as a result of the Reorganization Transactions. For complete annual periods on and after October 1, 2020, no portion of the Company’s income remains flow-through to the prior members of NAHC. NAHC continued to operate as a tax partnership through January 30, 2021.</w:t>
      </w:r>
    </w:p>
    <w:p>
      <w:pPr>
        <w:spacing w:after="0" w:line="21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Effective January 31, 2021, NAHC discontinued partnership treatment for tax purposes. As a result, our deferred tax liability was no longer measured by reference to membership units in NAHC and instead was measured by reference to the underlying assets and liabilities of our operations. No change in the total reported deferred tax liability occurred as a result of the change in tax structure.</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Components of deferred tax assets and liabilities consist of the following (amounts in thousands) as 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ind w:left="60"/>
              <w:spacing w:after="0"/>
              <w:rPr>
                <w:sz w:val="20"/>
                <w:szCs w:val="20"/>
                <w:color w:val="auto"/>
              </w:rPr>
            </w:pPr>
            <w:r>
              <w:rPr>
                <w:rFonts w:ascii="Arial" w:cs="Arial" w:eastAsia="Arial" w:hAnsi="Arial"/>
                <w:sz w:val="18"/>
                <w:szCs w:val="18"/>
                <w:b w:val="1"/>
                <w:bCs w:val="1"/>
                <w:color w:val="auto"/>
              </w:rPr>
              <w:t>January 29, 2022</w:t>
            </w:r>
          </w:p>
        </w:tc>
        <w:tc>
          <w:tcPr>
            <w:tcW w:w="160" w:type="dxa"/>
            <w:vAlign w:val="bottom"/>
          </w:tcPr>
          <w:p>
            <w:pPr>
              <w:spacing w:after="0"/>
              <w:rPr>
                <w:sz w:val="20"/>
                <w:szCs w:val="20"/>
                <w:color w:val="auto"/>
              </w:rPr>
            </w:pPr>
          </w:p>
        </w:tc>
        <w:tc>
          <w:tcPr>
            <w:tcW w:w="162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January 30, 2021</w:t>
            </w:r>
          </w:p>
        </w:tc>
      </w:tr>
      <w:tr>
        <w:trPr>
          <w:trHeight w:val="210"/>
        </w:trPr>
        <w:tc>
          <w:tcPr>
            <w:tcW w:w="6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18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r>
      <w:tr>
        <w:trPr>
          <w:trHeight w:val="229"/>
        </w:trPr>
        <w:tc>
          <w:tcPr>
            <w:tcW w:w="676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 and reserves</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Equity compensation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8,848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7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deferred tax assets</w:t>
            </w:r>
          </w:p>
        </w:tc>
        <w:tc>
          <w:tcPr>
            <w:tcW w:w="18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33,349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1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tcPr>
          <w:p>
            <w:pPr>
              <w:ind w:left="140"/>
              <w:spacing w:after="0"/>
              <w:rPr>
                <w:sz w:val="20"/>
                <w:szCs w:val="20"/>
                <w:color w:val="auto"/>
              </w:rPr>
            </w:pPr>
            <w:r>
              <w:rPr>
                <w:rFonts w:ascii="Arial" w:cs="Arial" w:eastAsia="Arial" w:hAnsi="Arial"/>
                <w:sz w:val="18"/>
                <w:szCs w:val="18"/>
                <w:color w:val="auto"/>
              </w:rPr>
              <w:t>Prepaid items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(7,505)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tcPr>
          <w:p>
            <w:pPr>
              <w:ind w:left="12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b w:val="1"/>
                <w:bCs w:val="1"/>
                <w:color w:val="auto"/>
              </w:rPr>
              <w:t>(180,891)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6760" w:type="dxa"/>
            <w:vAlign w:val="bottom"/>
          </w:tcPr>
          <w:p>
            <w:pPr>
              <w:ind w:left="120"/>
              <w:spacing w:after="0"/>
              <w:rPr>
                <w:sz w:val="20"/>
                <w:szCs w:val="20"/>
                <w:color w:val="auto"/>
              </w:rPr>
            </w:pPr>
            <w:r>
              <w:rPr>
                <w:rFonts w:ascii="Arial" w:cs="Arial" w:eastAsia="Arial" w:hAnsi="Arial"/>
                <w:sz w:val="18"/>
                <w:szCs w:val="18"/>
                <w:color w:val="auto"/>
              </w:rPr>
              <w:t>Investment in NAHC</w:t>
            </w: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(138,358)</w:t>
            </w:r>
          </w:p>
        </w:tc>
      </w:tr>
      <w:tr>
        <w:trPr>
          <w:trHeight w:val="223"/>
        </w:trPr>
        <w:tc>
          <w:tcPr>
            <w:tcW w:w="67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deferred tax liabilities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(250,561)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(138,703)</w:t>
            </w:r>
          </w:p>
        </w:tc>
      </w:tr>
      <w:tr>
        <w:trPr>
          <w:trHeight w:val="223"/>
        </w:trPr>
        <w:tc>
          <w:tcPr>
            <w:tcW w:w="6760" w:type="dxa"/>
            <w:vAlign w:val="bottom"/>
          </w:tcPr>
          <w:p>
            <w:pPr>
              <w:ind w:left="440"/>
              <w:spacing w:after="0"/>
              <w:rPr>
                <w:sz w:val="20"/>
                <w:szCs w:val="20"/>
                <w:color w:val="auto"/>
              </w:rPr>
            </w:pPr>
            <w:r>
              <w:rPr>
                <w:rFonts w:ascii="Arial" w:cs="Arial" w:eastAsia="Arial" w:hAnsi="Arial"/>
                <w:sz w:val="18"/>
                <w:szCs w:val="18"/>
                <w:color w:val="auto"/>
              </w:rPr>
              <w:t>Net deferred tax liability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(217,212)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(138,703)</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Management evaluates the realizability of the deferred tax assets and the need for additional valuation allowances annually. As of January 29, 2022, based on current facts and circumstances, management believes that it is more likely than not that the Company will realize benefit for its gross deferred tax assets.</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January 29, 2022,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2019 through 2021, and 2018 through 2021, respectively.</w:t>
      </w:r>
    </w:p>
    <w:p>
      <w:pPr>
        <w:spacing w:after="0" w:line="28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224790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89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12. Leases</w:t>
      </w:r>
    </w:p>
    <w:p>
      <w:pPr>
        <w:spacing w:after="0" w:line="256" w:lineRule="exact"/>
        <w:rPr>
          <w:sz w:val="20"/>
          <w:szCs w:val="20"/>
          <w:color w:val="auto"/>
        </w:rPr>
      </w:pPr>
    </w:p>
    <w:p>
      <w:pPr>
        <w:jc w:val="both"/>
        <w:ind w:left="340" w:firstLine="324"/>
        <w:spacing w:after="0" w:line="257" w:lineRule="auto"/>
        <w:rPr>
          <w:sz w:val="20"/>
          <w:szCs w:val="20"/>
          <w:color w:val="auto"/>
        </w:rPr>
      </w:pPr>
      <w:r>
        <w:rPr>
          <w:rFonts w:ascii="Arial" w:cs="Arial" w:eastAsia="Arial" w:hAnsi="Arial"/>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such events require a re-measurement of the lease liability at current discount rates. The life of leasehold improvement assets are limited by the expected lease term. Additionally, we have certain agreements for equipment rentals, which are typically 12 months or less in duration. As of January 29, 2022, all of our leases are classified as operating leases.</w:t>
      </w:r>
    </w:p>
    <w:p>
      <w:pPr>
        <w:spacing w:after="0" w:line="215"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color w:val="auto"/>
        </w:rPr>
        <w:t>In addition, in certain situations, we may sublease real estate to third parties. Our sublease portfolio consists mainly of former store locations for which we are still under lease and existing store leases in which we have excess or unused space.</w:t>
      </w:r>
    </w:p>
    <w:p>
      <w:pPr>
        <w:spacing w:after="0" w:line="116" w:lineRule="exact"/>
        <w:rPr>
          <w:sz w:val="20"/>
          <w:szCs w:val="20"/>
          <w:color w:val="auto"/>
        </w:rPr>
      </w:pPr>
    </w:p>
    <w:p>
      <w:pPr>
        <w:jc w:val="both"/>
        <w:ind w:left="340" w:firstLine="324"/>
        <w:spacing w:after="0" w:line="290" w:lineRule="auto"/>
        <w:rPr>
          <w:sz w:val="20"/>
          <w:szCs w:val="20"/>
          <w:color w:val="auto"/>
        </w:rPr>
      </w:pPr>
      <w:r>
        <w:rPr>
          <w:rFonts w:ascii="Arial" w:cs="Arial" w:eastAsia="Arial" w:hAnsi="Arial"/>
          <w:sz w:val="16"/>
          <w:szCs w:val="16"/>
          <w:color w:val="auto"/>
        </w:rPr>
        <w:t xml:space="preserve">In April 2020, the Financial Accounting Standards Board issued </w:t>
      </w:r>
      <w:r>
        <w:rPr>
          <w:rFonts w:ascii="Arial" w:cs="Arial" w:eastAsia="Arial" w:hAnsi="Arial"/>
          <w:sz w:val="16"/>
          <w:szCs w:val="16"/>
          <w:i w:val="1"/>
          <w:iCs w:val="1"/>
          <w:color w:val="auto"/>
        </w:rPr>
        <w:t>Staff Q&amp;A - Topic 842 and Topic 840: Accounting For Lease Concessions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the Effects of the COVID-19 Pandemic</w:t>
      </w:r>
      <w:r>
        <w:rPr>
          <w:rFonts w:ascii="Arial" w:cs="Arial" w:eastAsia="Arial" w:hAnsi="Arial"/>
          <w:sz w:val="16"/>
          <w:szCs w:val="16"/>
          <w:color w:val="auto"/>
        </w:rPr>
        <w:t>. This guidance provides entities with the option to elect to account for certain lease concessions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 Topic 842, </w:t>
      </w:r>
      <w:r>
        <w:rPr>
          <w:rFonts w:ascii="Arial" w:cs="Arial" w:eastAsia="Arial" w:hAnsi="Arial"/>
          <w:sz w:val="16"/>
          <w:szCs w:val="16"/>
          <w:i w:val="1"/>
          <w:iCs w:val="1"/>
          <w:color w:val="auto"/>
        </w:rPr>
        <w:t>Leases</w:t>
      </w:r>
      <w:r>
        <w:rPr>
          <w:rFonts w:ascii="Arial" w:cs="Arial" w:eastAsia="Arial" w:hAnsi="Arial"/>
          <w:sz w:val="16"/>
          <w:szCs w:val="16"/>
          <w:color w:val="auto"/>
        </w:rPr>
        <w:t>, to those contracts. During the year ended January 30, 2021, the Company received $2.5 million in lease expense credit related to landlord abated rent as a result of the elections made under this guidance. Additionally, during the year ended January 30, 2021, the Company signed 46 lease extensions requiring lease modification accounting treatment. There were no lease expense credits or extensions requiring lease modification accounting treatment related to COVID-19 during the year ended January 29, 2022.</w:t>
      </w:r>
    </w:p>
    <w:p>
      <w:pPr>
        <w:spacing w:after="0" w:line="192" w:lineRule="exact"/>
        <w:rPr>
          <w:sz w:val="20"/>
          <w:szCs w:val="20"/>
          <w:color w:val="auto"/>
        </w:rPr>
      </w:pPr>
    </w:p>
    <w:p>
      <w:pPr>
        <w:ind w:left="340" w:right="320" w:firstLine="324"/>
        <w:spacing w:after="0" w:line="271" w:lineRule="auto"/>
        <w:rPr>
          <w:sz w:val="20"/>
          <w:szCs w:val="20"/>
          <w:color w:val="auto"/>
        </w:rPr>
      </w:pPr>
      <w:r>
        <w:rPr>
          <w:rFonts w:ascii="Arial" w:cs="Arial" w:eastAsia="Arial" w:hAnsi="Arial"/>
          <w:sz w:val="18"/>
          <w:szCs w:val="18"/>
          <w:color w:val="auto"/>
        </w:rPr>
        <w:t>The components of lease expense and sublease income included in selling, general and administrative ("SG&amp;A") expenses on our statement of income is as follows (amounts in thousands):</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right"/>
              <w:ind w:right="1130"/>
              <w:spacing w:after="0"/>
              <w:rPr>
                <w:sz w:val="20"/>
                <w:szCs w:val="20"/>
                <w:color w:val="auto"/>
              </w:rPr>
            </w:pPr>
            <w:r>
              <w:rPr>
                <w:rFonts w:ascii="Arial" w:cs="Arial" w:eastAsia="Arial" w:hAnsi="Arial"/>
                <w:sz w:val="18"/>
                <w:szCs w:val="18"/>
                <w:b w:val="1"/>
                <w:bCs w:val="1"/>
                <w:color w:val="auto"/>
              </w:rPr>
              <w:t>Fiscal Year Ended</w:t>
            </w:r>
          </w:p>
        </w:tc>
      </w:tr>
      <w:tr>
        <w:trPr>
          <w:trHeight w:val="223"/>
        </w:trPr>
        <w:tc>
          <w:tcPr>
            <w:tcW w:w="6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January 29, 2022</w:t>
            </w:r>
          </w:p>
        </w:tc>
        <w:tc>
          <w:tcPr>
            <w:tcW w:w="48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January 30, 2021</w:t>
            </w:r>
          </w:p>
        </w:tc>
      </w:tr>
      <w:tr>
        <w:trPr>
          <w:trHeight w:val="223"/>
        </w:trPr>
        <w:tc>
          <w:tcPr>
            <w:tcW w:w="63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expense</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197,321</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196,794</w:t>
            </w:r>
          </w:p>
        </w:tc>
      </w:tr>
      <w:tr>
        <w:trPr>
          <w:trHeight w:val="230"/>
        </w:trPr>
        <w:tc>
          <w:tcPr>
            <w:tcW w:w="6340" w:type="dxa"/>
            <w:vAlign w:val="bottom"/>
          </w:tcPr>
          <w:p>
            <w:pPr>
              <w:ind w:left="340"/>
              <w:spacing w:after="0"/>
              <w:rPr>
                <w:sz w:val="20"/>
                <w:szCs w:val="20"/>
                <w:color w:val="auto"/>
              </w:rPr>
            </w:pPr>
            <w:r>
              <w:rPr>
                <w:rFonts w:ascii="Arial" w:cs="Arial" w:eastAsia="Arial" w:hAnsi="Arial"/>
                <w:sz w:val="18"/>
                <w:szCs w:val="18"/>
                <w:color w:val="auto"/>
              </w:rPr>
              <w:t>Short-term lease expense</w:t>
            </w:r>
          </w:p>
        </w:tc>
        <w:tc>
          <w:tcPr>
            <w:tcW w:w="4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Variable lease expense</w:t>
            </w: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5,410</w:t>
            </w:r>
          </w:p>
        </w:tc>
      </w:tr>
      <w:tr>
        <w:trPr>
          <w:trHeight w:val="230"/>
        </w:trPr>
        <w:tc>
          <w:tcPr>
            <w:tcW w:w="63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Sublease income</w:t>
            </w: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r>
      <w:tr>
        <w:trPr>
          <w:trHeight w:val="248"/>
        </w:trPr>
        <w:tc>
          <w:tcPr>
            <w:tcW w:w="63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lease expense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204,592</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201,448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about our operating leases is as follows (dollar amounts in thousands):</w:t>
      </w:r>
    </w:p>
    <w:p>
      <w:pPr>
        <w:spacing w:after="0" w:line="4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gridSpan w:val="5"/>
          </w:tcPr>
          <w:p>
            <w:pPr>
              <w:ind w:left="1380"/>
              <w:spacing w:after="0"/>
              <w:rPr>
                <w:sz w:val="20"/>
                <w:szCs w:val="20"/>
                <w:color w:val="auto"/>
              </w:rPr>
            </w:pPr>
            <w:r>
              <w:rPr>
                <w:rFonts w:ascii="Arial" w:cs="Arial" w:eastAsia="Arial" w:hAnsi="Arial"/>
                <w:sz w:val="18"/>
                <w:szCs w:val="18"/>
                <w:b w:val="1"/>
                <w:bCs w:val="1"/>
                <w:color w:val="auto"/>
              </w:rPr>
              <w:t>Fiscal Year Ended</w:t>
            </w: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2"/>
              </w:rPr>
              <w:t>January 29, 2022</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1"/>
              </w:rPr>
              <w:t>January 30, 2021</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52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w w:val="98"/>
              </w:rPr>
              <w:t>Right-of-use assets obtained in exchange for new operating lease</w:t>
            </w: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26,253</w:t>
            </w:r>
          </w:p>
        </w:tc>
        <w:tc>
          <w:tcPr>
            <w:tcW w:w="10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86,782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580" w:type="dxa"/>
            <w:vAlign w:val="bottom"/>
            <w:vMerge w:val="continue"/>
            <w:shd w:val="clear" w:color="auto" w:fill="CCEEFF"/>
          </w:tcPr>
          <w:p>
            <w:pPr>
              <w:spacing w:after="0"/>
              <w:rPr>
                <w:sz w:val="19"/>
                <w:szCs w:val="19"/>
                <w:color w:val="auto"/>
              </w:rPr>
            </w:pPr>
          </w:p>
        </w:tc>
        <w:tc>
          <w:tcPr>
            <w:tcW w:w="18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8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520" w:type="dxa"/>
            <w:vAlign w:val="bottom"/>
          </w:tcPr>
          <w:p>
            <w:pPr>
              <w:ind w:left="340"/>
              <w:spacing w:after="0" w:line="176" w:lineRule="exact"/>
              <w:rPr>
                <w:sz w:val="20"/>
                <w:szCs w:val="20"/>
                <w:color w:val="auto"/>
              </w:rPr>
            </w:pPr>
            <w:r>
              <w:rPr>
                <w:rFonts w:ascii="Arial" w:cs="Arial" w:eastAsia="Arial" w:hAnsi="Arial"/>
                <w:sz w:val="18"/>
                <w:szCs w:val="18"/>
                <w:color w:val="auto"/>
                <w:w w:val="91"/>
              </w:rPr>
              <w:t>Cash paid for amounts included in the measurement of operating lease</w:t>
            </w: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18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203,554</w:t>
            </w:r>
          </w:p>
        </w:tc>
        <w:tc>
          <w:tcPr>
            <w:tcW w:w="100" w:type="dxa"/>
            <w:vAlign w:val="bottom"/>
          </w:tcPr>
          <w:p>
            <w:pPr>
              <w:spacing w:after="0"/>
              <w:rPr>
                <w:sz w:val="15"/>
                <w:szCs w:val="15"/>
                <w:color w:val="auto"/>
              </w:rPr>
            </w:pPr>
          </w:p>
        </w:tc>
        <w:tc>
          <w:tcPr>
            <w:tcW w:w="58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18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179,723</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580" w:type="dxa"/>
            <w:vAlign w:val="bottom"/>
            <w:vMerge w:val="continue"/>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18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552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2"/>
              </w:rPr>
              <w:t>January 29, 2022</w:t>
            </w: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1"/>
              </w:rPr>
              <w:t>January 30, 2021</w:t>
            </w: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Weighted-average remaining lease term in years</w:t>
            </w:r>
          </w:p>
        </w:tc>
        <w:tc>
          <w:tcPr>
            <w:tcW w:w="5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1"/>
              </w:rPr>
              <w:t>10.2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11.0</w:t>
            </w: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Arial" w:cs="Arial" w:eastAsia="Arial" w:hAnsi="Arial"/>
                <w:sz w:val="18"/>
                <w:szCs w:val="18"/>
                <w:color w:val="auto"/>
              </w:rPr>
              <w:t>Weighted-average incremental borrowing rate</w:t>
            </w:r>
          </w:p>
        </w:tc>
        <w:tc>
          <w:tcPr>
            <w:tcW w:w="5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rPr>
              <w:t>9.0</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9.1</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right="20" w:firstLine="324"/>
        <w:spacing w:after="0" w:line="342" w:lineRule="auto"/>
        <w:rPr>
          <w:sz w:val="20"/>
          <w:szCs w:val="20"/>
          <w:color w:val="auto"/>
        </w:rPr>
      </w:pPr>
      <w:r>
        <w:rPr>
          <w:rFonts w:ascii="Arial" w:cs="Arial" w:eastAsia="Arial" w:hAnsi="Arial"/>
          <w:sz w:val="16"/>
          <w:szCs w:val="16"/>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01" w:name="page102"/>
    <w:bookmarkEnd w:id="101"/>
    <w:p>
      <w:pPr>
        <w:ind w:left="652"/>
        <w:spacing w:after="0"/>
        <w:rPr>
          <w:sz w:val="20"/>
          <w:szCs w:val="20"/>
          <w:color w:val="auto"/>
        </w:rPr>
      </w:pPr>
      <w:r>
        <w:rPr>
          <w:rFonts w:ascii="Arial" w:cs="Arial" w:eastAsia="Arial" w:hAnsi="Arial"/>
          <w:sz w:val="18"/>
          <w:szCs w:val="18"/>
          <w:color w:val="auto"/>
        </w:rPr>
        <w:t>The remaining maturities of lease liabilities by fiscal year as of January 29, 2022 are as follows (amounts in thousands):</w:t>
      </w:r>
    </w:p>
    <w:p>
      <w:pPr>
        <w:spacing w:after="0" w:line="50"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2022</w:t>
            </w:r>
          </w:p>
        </w:tc>
        <w:tc>
          <w:tcPr>
            <w:tcW w:w="9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198,725</w:t>
            </w:r>
          </w:p>
        </w:tc>
      </w:tr>
      <w:tr>
        <w:trPr>
          <w:trHeight w:val="229"/>
        </w:trPr>
        <w:tc>
          <w:tcPr>
            <w:tcW w:w="8300" w:type="dxa"/>
            <w:vAlign w:val="bottom"/>
          </w:tcPr>
          <w:p>
            <w:pPr>
              <w:ind w:left="340"/>
              <w:spacing w:after="0"/>
              <w:rPr>
                <w:sz w:val="20"/>
                <w:szCs w:val="20"/>
                <w:color w:val="auto"/>
              </w:rPr>
            </w:pPr>
            <w:r>
              <w:rPr>
                <w:rFonts w:ascii="Arial" w:cs="Arial" w:eastAsia="Arial" w:hAnsi="Arial"/>
                <w:sz w:val="18"/>
                <w:szCs w:val="18"/>
                <w:color w:val="auto"/>
              </w:rPr>
              <w:t>2023</w:t>
            </w: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192,775</w:t>
            </w:r>
          </w:p>
        </w:tc>
      </w:tr>
      <w:tr>
        <w:trPr>
          <w:trHeight w:val="229"/>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2024</w:t>
            </w:r>
          </w:p>
        </w:tc>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184,030</w:t>
            </w:r>
          </w:p>
        </w:tc>
      </w:tr>
      <w:tr>
        <w:trPr>
          <w:trHeight w:val="230"/>
        </w:trPr>
        <w:tc>
          <w:tcPr>
            <w:tcW w:w="8300" w:type="dxa"/>
            <w:vAlign w:val="bottom"/>
          </w:tcPr>
          <w:p>
            <w:pPr>
              <w:ind w:left="340"/>
              <w:spacing w:after="0"/>
              <w:rPr>
                <w:sz w:val="20"/>
                <w:szCs w:val="20"/>
                <w:color w:val="auto"/>
              </w:rPr>
            </w:pPr>
            <w:r>
              <w:rPr>
                <w:rFonts w:ascii="Arial" w:cs="Arial" w:eastAsia="Arial" w:hAnsi="Arial"/>
                <w:sz w:val="18"/>
                <w:szCs w:val="18"/>
                <w:color w:val="auto"/>
              </w:rPr>
              <w:t>2025</w:t>
            </w:r>
          </w:p>
        </w:tc>
        <w:tc>
          <w:tcPr>
            <w:tcW w:w="9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177,496</w:t>
            </w:r>
          </w:p>
        </w:tc>
      </w:tr>
      <w:tr>
        <w:trPr>
          <w:trHeight w:val="229"/>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2026</w:t>
            </w:r>
          </w:p>
        </w:tc>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169,563</w:t>
            </w:r>
          </w:p>
        </w:tc>
      </w:tr>
      <w:tr>
        <w:trPr>
          <w:trHeight w:val="229"/>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After 2026</w:t>
            </w:r>
          </w:p>
        </w:tc>
        <w:tc>
          <w:tcPr>
            <w:tcW w:w="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902,083</w:t>
            </w:r>
          </w:p>
        </w:tc>
      </w:tr>
      <w:tr>
        <w:trPr>
          <w:trHeight w:val="223"/>
        </w:trPr>
        <w:tc>
          <w:tcPr>
            <w:tcW w:w="8300" w:type="dxa"/>
            <w:vAlign w:val="bottom"/>
            <w:shd w:val="clear" w:color="auto" w:fill="CCEEFF"/>
          </w:tcPr>
          <w:p>
            <w:pPr>
              <w:ind w:left="540"/>
              <w:spacing w:after="0" w:line="223" w:lineRule="exact"/>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23"/>
                <w:szCs w:val="23"/>
                <w:color w:val="auto"/>
                <w:vertAlign w:val="superscript"/>
              </w:rPr>
              <w:t>(1)</w:t>
            </w:r>
          </w:p>
        </w:tc>
        <w:tc>
          <w:tcPr>
            <w:tcW w:w="9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1,824,672</w:t>
            </w:r>
          </w:p>
        </w:tc>
      </w:tr>
      <w:tr>
        <w:trPr>
          <w:trHeight w:val="229"/>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Less: Interest</w:t>
            </w:r>
          </w:p>
        </w:tc>
        <w:tc>
          <w:tcPr>
            <w:tcW w:w="9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(663,928)</w:t>
            </w:r>
          </w:p>
        </w:tc>
      </w:tr>
      <w:tr>
        <w:trPr>
          <w:trHeight w:val="248"/>
        </w:trPr>
        <w:tc>
          <w:tcPr>
            <w:tcW w:w="83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Present value of lease liabilities</w:t>
            </w:r>
          </w:p>
        </w:tc>
        <w:tc>
          <w:tcPr>
            <w:tcW w:w="9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1,160,744</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592" w:hanging="187"/>
        <w:spacing w:after="0"/>
        <w:tabs>
          <w:tab w:leader="none" w:pos="592" w:val="left"/>
        </w:tabs>
        <w:numPr>
          <w:ilvl w:val="1"/>
          <w:numId w:val="71"/>
        </w:numPr>
        <w:rPr>
          <w:rFonts w:ascii="Arial" w:cs="Arial" w:eastAsia="Arial" w:hAnsi="Arial"/>
          <w:sz w:val="22"/>
          <w:szCs w:val="22"/>
          <w:color w:val="auto"/>
          <w:vertAlign w:val="superscript"/>
        </w:rPr>
      </w:pPr>
      <w:r>
        <w:rPr>
          <w:rFonts w:ascii="Arial" w:cs="Arial" w:eastAsia="Arial" w:hAnsi="Arial"/>
          <w:sz w:val="17"/>
          <w:szCs w:val="17"/>
          <w:color w:val="auto"/>
        </w:rPr>
        <w:t>Minimum lease payments have not been reduced by sublease rentals of $1.1 million due in the future under non-cancelable subleases.</w:t>
      </w:r>
    </w:p>
    <w:p>
      <w:pPr>
        <w:spacing w:after="0" w:line="200" w:lineRule="exact"/>
        <w:rPr>
          <w:rFonts w:ascii="Arial" w:cs="Arial" w:eastAsia="Arial" w:hAnsi="Arial"/>
          <w:sz w:val="22"/>
          <w:szCs w:val="22"/>
          <w:color w:val="auto"/>
          <w:vertAlign w:val="superscript"/>
        </w:rPr>
      </w:pPr>
    </w:p>
    <w:p>
      <w:pPr>
        <w:spacing w:after="0" w:line="267" w:lineRule="exact"/>
        <w:rPr>
          <w:rFonts w:ascii="Arial" w:cs="Arial" w:eastAsia="Arial" w:hAnsi="Arial"/>
          <w:sz w:val="22"/>
          <w:szCs w:val="22"/>
          <w:color w:val="auto"/>
          <w:vertAlign w:val="superscript"/>
        </w:rPr>
      </w:pPr>
    </w:p>
    <w:p>
      <w:pPr>
        <w:ind w:left="332" w:right="8820" w:hanging="332"/>
        <w:spacing w:after="0" w:line="566" w:lineRule="auto"/>
        <w:tabs>
          <w:tab w:leader="none" w:pos="327"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Monitoring Agreement</w:t>
      </w:r>
    </w:p>
    <w:p>
      <w:pPr>
        <w:ind w:left="652"/>
        <w:spacing w:after="0"/>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w:t>
      </w:r>
    </w:p>
    <w:p>
      <w:pPr>
        <w:spacing w:after="0" w:line="46" w:lineRule="exact"/>
        <w:rPr>
          <w:sz w:val="20"/>
          <w:szCs w:val="20"/>
          <w:color w:val="auto"/>
        </w:rPr>
      </w:pPr>
    </w:p>
    <w:p>
      <w:pPr>
        <w:jc w:val="both"/>
        <w:ind w:left="332" w:hanging="8"/>
        <w:spacing w:after="0" w:line="271" w:lineRule="auto"/>
        <w:tabs>
          <w:tab w:leader="none" w:pos="528"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 L.P. (the "Adviser") pursuant to which the Adviser provided advisory, consulting and financial services to us. In accordance with the terms of the Monitoring Agreement, we paid an aggregate annual advisory fee which increased by 5.0% annually on each anniversary of the Effective Date. The Adviser also charged us a customary fee for services rendered in connection with securing, structuring and negotiating equity and debt financings by us. Additionally, we were required to reimburse the Adviser for any out-of-pocket expenses in connection with these services. The Monitoring Agreement continued in effect from year-to-year, unless amended or terminated by the Adviser and us.</w:t>
      </w:r>
    </w:p>
    <w:p>
      <w:pPr>
        <w:spacing w:after="0" w:line="124" w:lineRule="exact"/>
        <w:rPr>
          <w:sz w:val="20"/>
          <w:szCs w:val="20"/>
          <w:color w:val="auto"/>
        </w:rPr>
      </w:pPr>
    </w:p>
    <w:p>
      <w:pPr>
        <w:jc w:val="both"/>
        <w:ind w:left="332" w:firstLine="324"/>
        <w:spacing w:after="0" w:line="275" w:lineRule="auto"/>
        <w:rPr>
          <w:sz w:val="20"/>
          <w:szCs w:val="20"/>
          <w:color w:val="auto"/>
        </w:rPr>
      </w:pPr>
      <w:r>
        <w:rPr>
          <w:rFonts w:ascii="Arial" w:cs="Arial" w:eastAsia="Arial" w:hAnsi="Arial"/>
          <w:sz w:val="17"/>
          <w:szCs w:val="17"/>
          <w:color w:val="auto"/>
        </w:rPr>
        <w:t>Upon the completion of the IPO, in the third quarter of 2020 the Monitoring Agreement terminated and we recognized the final termination fee of $12.3 million. The termination fee was equal to the net present value of the advisory fees that would have been paid from the termination date through the twelfth anniversary of the Effective Date of the Monitoring Agreement. We recognized advisory fees related to the Monitoring Agreement, including reimbursement of expenses, of approximately $14.8 million and $3.6 million in 2020 and 2019, respectively. These expenses are included in selling, general and administrative expenses in the consolidated statements of income.</w:t>
      </w:r>
    </w:p>
    <w:p>
      <w:pPr>
        <w:spacing w:after="0" w:line="176"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Transaction and Other Fee Arrangements</w:t>
      </w:r>
    </w:p>
    <w:p>
      <w:pPr>
        <w:spacing w:after="0" w:line="171" w:lineRule="exact"/>
        <w:rPr>
          <w:sz w:val="20"/>
          <w:szCs w:val="20"/>
          <w:color w:val="auto"/>
        </w:rPr>
      </w:pPr>
    </w:p>
    <w:p>
      <w:pPr>
        <w:jc w:val="both"/>
        <w:ind w:left="332" w:firstLine="324"/>
        <w:spacing w:after="0" w:line="277" w:lineRule="auto"/>
        <w:rPr>
          <w:sz w:val="20"/>
          <w:szCs w:val="20"/>
          <w:color w:val="auto"/>
        </w:rPr>
      </w:pPr>
      <w:r>
        <w:rPr>
          <w:rFonts w:ascii="Arial" w:cs="Arial" w:eastAsia="Arial" w:hAnsi="Arial"/>
          <w:sz w:val="18"/>
          <w:szCs w:val="18"/>
          <w:color w:val="auto"/>
        </w:rPr>
        <w:t>On October 6, 2020, ASO, Inc. completed the IPO. The Company paid $2.7 million in fees to KKR Capital Markets LLC ("KCM"), an affiliate of KKR, for underwriting services in connection with the IPO.</w:t>
      </w:r>
    </w:p>
    <w:p>
      <w:pPr>
        <w:spacing w:after="0" w:line="197" w:lineRule="exact"/>
        <w:rPr>
          <w:sz w:val="20"/>
          <w:szCs w:val="20"/>
          <w:color w:val="auto"/>
        </w:rPr>
      </w:pPr>
    </w:p>
    <w:p>
      <w:pPr>
        <w:jc w:val="both"/>
        <w:ind w:left="332" w:firstLine="324"/>
        <w:spacing w:after="0" w:line="277" w:lineRule="auto"/>
        <w:rPr>
          <w:sz w:val="20"/>
          <w:szCs w:val="20"/>
          <w:color w:val="auto"/>
        </w:rPr>
      </w:pPr>
      <w:r>
        <w:rPr>
          <w:rFonts w:ascii="Arial" w:cs="Arial" w:eastAsia="Arial" w:hAnsi="Arial"/>
          <w:sz w:val="18"/>
          <w:szCs w:val="18"/>
          <w:color w:val="auto"/>
        </w:rPr>
        <w:t>On November 3, 2020, ASO, Inc. completed the IPO Over-Allotment Exercise. The Company paid $0.3 million in fees to KCM for underwriting services in connection with the IPO Over-Allotment Exercise.</w:t>
      </w:r>
    </w:p>
    <w:p>
      <w:pPr>
        <w:spacing w:after="0" w:line="197"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On November 6, 2020, the Company issued the Notes, entered into the 2020 Term Loan, and entered into the 2020 ABL Facility. The Company paid $2.5 million in fees to KCM in connection with the Refinancing Transactions. These fees are recorded as deferred loan costs, net of amortization, within the long-term debt on the balance sheets.</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252" w:lineRule="exact"/>
        <w:rPr>
          <w:sz w:val="20"/>
          <w:szCs w:val="20"/>
          <w:color w:val="auto"/>
        </w:rPr>
      </w:pPr>
    </w:p>
    <w:p>
      <w:pPr>
        <w:jc w:val="both"/>
        <w:ind w:left="332" w:firstLine="324"/>
        <w:spacing w:after="0" w:line="275" w:lineRule="auto"/>
        <w:rPr>
          <w:sz w:val="20"/>
          <w:szCs w:val="20"/>
          <w:color w:val="auto"/>
        </w:rPr>
      </w:pPr>
      <w:r>
        <w:rPr>
          <w:rFonts w:ascii="Arial" w:cs="Arial" w:eastAsia="Arial" w:hAnsi="Arial"/>
          <w:sz w:val="17"/>
          <w:szCs w:val="17"/>
          <w:color w:val="auto"/>
        </w:rPr>
        <w:t>On January 27, 2021, May 5, 2021, and September 14, 2021, in connection with the Secondary Offering, the May 2021 Secondary Offering, and the September 2021 Secondary Offering, respectively, the Company entered into Underwriting Agreements with affiliates of KKR (as selling stockholders), the several other selling stockholders named therein, and the several underwriters named therein, including KCM (as underwriter). The Secondary Offering, May 2021 Secondary Offering, and September 2021 Secondary Offering were completed on February 1, 2021, May 10, 2021, and September 17, 2021, respectively. The Company did not pay KCM any fees in connection with these secondary offerings.</w:t>
      </w:r>
    </w:p>
    <w:p>
      <w:pPr>
        <w:spacing w:after="0" w:line="271" w:lineRule="exact"/>
        <w:rPr>
          <w:sz w:val="20"/>
          <w:szCs w:val="20"/>
          <w:color w:val="auto"/>
        </w:rPr>
      </w:pPr>
    </w:p>
    <w:p>
      <w:pPr>
        <w:jc w:val="center"/>
        <w:ind w:right="-171"/>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5" w:right="339" w:bottom="1440" w:gutter="0" w:footer="0" w:header="0"/>
        </w:sectPr>
      </w:pPr>
    </w:p>
    <w:bookmarkStart w:id="102" w:name="page103"/>
    <w:bookmarkEnd w:id="102"/>
    <w:p>
      <w:pPr>
        <w:jc w:val="both"/>
        <w:ind w:left="332" w:firstLine="324"/>
        <w:spacing w:after="0" w:line="311" w:lineRule="auto"/>
        <w:rPr>
          <w:sz w:val="20"/>
          <w:szCs w:val="20"/>
          <w:color w:val="auto"/>
        </w:rPr>
      </w:pPr>
      <w:r>
        <w:rPr>
          <w:rFonts w:ascii="Arial" w:cs="Arial" w:eastAsia="Arial" w:hAnsi="Arial"/>
          <w:sz w:val="16"/>
          <w:szCs w:val="16"/>
          <w:color w:val="auto"/>
        </w:rPr>
        <w:t>In connection with the September 2021 Secondary Offering and the May 2021 Secondary Offering, we repurchased from the underwriters (1) 4,500,000 shares of ASO, Inc. common stock at approximately $43.52 for approximately $195.8 million and (2) 3,229,974 shares of ASO, Inc. common stock at $30.96 per share for approximately $100.0 million. The shares repurchased were immediately retired by the Company (see Note 1).</w:t>
      </w:r>
    </w:p>
    <w:p>
      <w:pPr>
        <w:spacing w:after="0" w:line="95" w:lineRule="exact"/>
        <w:rPr>
          <w:sz w:val="20"/>
          <w:szCs w:val="20"/>
          <w:color w:val="auto"/>
        </w:rPr>
      </w:pPr>
    </w:p>
    <w:p>
      <w:pPr>
        <w:jc w:val="both"/>
        <w:ind w:left="332" w:firstLine="324"/>
        <w:spacing w:after="0" w:line="286" w:lineRule="auto"/>
        <w:rPr>
          <w:sz w:val="20"/>
          <w:szCs w:val="20"/>
          <w:color w:val="auto"/>
        </w:rPr>
      </w:pPr>
      <w:r>
        <w:rPr>
          <w:rFonts w:ascii="Arial" w:cs="Arial" w:eastAsia="Arial" w:hAnsi="Arial"/>
          <w:sz w:val="17"/>
          <w:szCs w:val="17"/>
          <w:color w:val="auto"/>
        </w:rPr>
        <w:t>Additionally, KKR has ownership interest in a broad range of portfolio companies and we may have entered into commercial transactions for goods or services in the ordinary course of business with these companies. We do not believe such transactions are material to our business. Upon completion of the September 2021 Secondary Offering, KKR no longer holds an ownership interest in the Company.</w:t>
      </w:r>
    </w:p>
    <w:p>
      <w:pPr>
        <w:spacing w:after="0" w:line="111"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Fidelity Investments Institutional Operations Company, LLC ("Fidelity") provides the Company with plan administration services on its 401(k) Plan and stock compensation programs (including the Company's Employee Stock Purchase Program). The Company incurred expenses of approximately $0.2 million from Fidelity during the fiscal year ended January 29, 2022, which are included in selling, general and administrative expenses in the consolidated statements of income. Fidelity is an affiliate of FMR LLC, which reported beneficial ownership of shares representing approximately 12.9% of the Company's common stock as of January 29, 2022.</w:t>
      </w:r>
    </w:p>
    <w:p>
      <w:pPr>
        <w:spacing w:after="0" w:line="215"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252" w:lineRule="exact"/>
        <w:rPr>
          <w:sz w:val="20"/>
          <w:szCs w:val="20"/>
          <w:color w:val="auto"/>
        </w:rPr>
      </w:pPr>
    </w:p>
    <w:p>
      <w:pPr>
        <w:jc w:val="both"/>
        <w:ind w:left="332" w:firstLine="324"/>
        <w:spacing w:after="0" w:line="259" w:lineRule="auto"/>
        <w:rPr>
          <w:sz w:val="20"/>
          <w:szCs w:val="20"/>
          <w:color w:val="auto"/>
        </w:rPr>
      </w:pPr>
      <w:r>
        <w:rPr>
          <w:rFonts w:ascii="Arial" w:cs="Arial" w:eastAsia="Arial" w:hAnsi="Arial"/>
          <w:sz w:val="18"/>
          <w:szCs w:val="18"/>
          <w:color w:val="auto"/>
        </w:rPr>
        <w:t>For the fiscal year ended February 1, 2020, executives and directors of the Company made cash purchases of Redeemable Membership Units in Managers for approximately $0.1 million. The cash consideration paid for the Redeemable Membership Units was concurrently contributed to NAHC by Managers in exchange for a number of NAHC Membership Units equal to the number of Redeemable Membership Units purchased. There were no investments in Managers for the fiscal year ended January 30, 2021.</w:t>
      </w:r>
    </w:p>
    <w:p>
      <w:pPr>
        <w:spacing w:after="0" w:line="133" w:lineRule="exact"/>
        <w:rPr>
          <w:sz w:val="20"/>
          <w:szCs w:val="20"/>
          <w:color w:val="auto"/>
        </w:rPr>
      </w:pPr>
    </w:p>
    <w:p>
      <w:pPr>
        <w:jc w:val="both"/>
        <w:ind w:left="332" w:firstLine="324"/>
        <w:spacing w:after="0" w:line="257" w:lineRule="auto"/>
        <w:rPr>
          <w:sz w:val="20"/>
          <w:szCs w:val="20"/>
          <w:color w:val="auto"/>
        </w:rPr>
      </w:pPr>
      <w:r>
        <w:rPr>
          <w:rFonts w:ascii="Arial" w:cs="Arial" w:eastAsia="Arial" w:hAnsi="Arial"/>
          <w:sz w:val="18"/>
          <w:szCs w:val="18"/>
          <w:color w:val="auto"/>
        </w:rPr>
        <w:t>During the year ended January 30, 2021, Managers repurchased at fair market value approximately $37.0 thousand of Redeemable Membership Units from a director of the Company for cash. During the year ended February 1, 2020 Managers repurchased at fair market value approximately $0.5 million of Redeemable Membership Units from a director and an executive of the Company for cash. NAHC concurrently repurchased from Managers for cash, at fair market value, a number of NAHC membership units equal to the number of Redeemable Membership Units repurchased from the director and executive.</w:t>
      </w:r>
    </w:p>
    <w:p>
      <w:pPr>
        <w:spacing w:after="0" w:line="13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Managers was dissolved and its assets were distributed to its members on December 23, 2020.</w:t>
      </w:r>
    </w:p>
    <w:p>
      <w:pPr>
        <w:spacing w:after="0" w:line="252"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Note Receivable from Member and Distribution</w:t>
      </w:r>
    </w:p>
    <w:p>
      <w:pPr>
        <w:spacing w:after="0" w:line="171" w:lineRule="exact"/>
        <w:rPr>
          <w:sz w:val="20"/>
          <w:szCs w:val="20"/>
          <w:color w:val="auto"/>
        </w:rPr>
      </w:pPr>
    </w:p>
    <w:p>
      <w:pPr>
        <w:jc w:val="both"/>
        <w:ind w:left="332" w:firstLine="324"/>
        <w:spacing w:after="0" w:line="259" w:lineRule="auto"/>
        <w:rPr>
          <w:sz w:val="20"/>
          <w:szCs w:val="20"/>
          <w:color w:val="auto"/>
        </w:rPr>
      </w:pPr>
      <w:r>
        <w:rPr>
          <w:rFonts w:ascii="Arial" w:cs="Arial" w:eastAsia="Arial" w:hAnsi="Arial"/>
          <w:sz w:val="18"/>
          <w:szCs w:val="18"/>
          <w:color w:val="auto"/>
        </w:rPr>
        <w:t>Prior to October 1, 2020, under NAHC's LLC agreement, certain members could require the Company to provide a tax loan on their behalf under certain circumstances. On April 10, 2019, the Company loaned $4.0 million with a note receivable issued to a member of NAHC. The note receivable bore semi-annual compounding interest at 2.5% with outstanding principal and interest due on April 10, 2022. This note receivable was recorded in other non-current assets on the balance sheet.</w:t>
      </w:r>
    </w:p>
    <w:p>
      <w:pPr>
        <w:spacing w:after="0" w:line="133"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of NAHC. The note receivable bore semi-annual compounding interest at 2.1%, with outstanding principal and interest due on April 5, 2021, and was recorded in prepaid expenses and other non-current assets on the balance sheet.</w:t>
      </w:r>
    </w:p>
    <w:p>
      <w:pPr>
        <w:spacing w:after="0" w:line="130" w:lineRule="exact"/>
        <w:rPr>
          <w:sz w:val="20"/>
          <w:szCs w:val="20"/>
          <w:color w:val="auto"/>
        </w:rPr>
      </w:pPr>
    </w:p>
    <w:p>
      <w:pPr>
        <w:jc w:val="both"/>
        <w:ind w:left="332" w:right="20" w:firstLine="324"/>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9). Of the $257.0 million, $8.5 million was used to offset and satisfy the remaining balances of the notes receivable and related interest receivable from a member of NAHC.</w:t>
      </w:r>
    </w:p>
    <w:p>
      <w:pPr>
        <w:spacing w:after="0" w:line="200" w:lineRule="exact"/>
        <w:rPr>
          <w:sz w:val="20"/>
          <w:szCs w:val="20"/>
          <w:color w:val="auto"/>
        </w:rPr>
      </w:pPr>
    </w:p>
    <w:p>
      <w:pPr>
        <w:spacing w:after="0" w:line="250" w:lineRule="exact"/>
        <w:rPr>
          <w:sz w:val="20"/>
          <w:szCs w:val="20"/>
          <w:color w:val="auto"/>
        </w:rPr>
      </w:pPr>
    </w:p>
    <w:p>
      <w:pPr>
        <w:ind w:left="332" w:right="7580" w:hanging="332"/>
        <w:spacing w:after="0" w:line="641" w:lineRule="auto"/>
        <w:tabs>
          <w:tab w:leader="none" w:pos="327"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Technology Related Commitments and Other</w:t>
      </w:r>
    </w:p>
    <w:p>
      <w:pPr>
        <w:spacing w:after="0" w:line="1" w:lineRule="exact"/>
        <w:rPr>
          <w:sz w:val="20"/>
          <w:szCs w:val="20"/>
          <w:color w:val="auto"/>
        </w:rPr>
      </w:pPr>
    </w:p>
    <w:p>
      <w:pPr>
        <w:ind w:left="332" w:firstLine="324"/>
        <w:spacing w:after="0" w:line="277" w:lineRule="auto"/>
        <w:rPr>
          <w:sz w:val="20"/>
          <w:szCs w:val="20"/>
          <w:color w:val="auto"/>
        </w:rPr>
      </w:pPr>
      <w:r>
        <w:rPr>
          <w:rFonts w:ascii="Arial" w:cs="Arial" w:eastAsia="Arial" w:hAnsi="Arial"/>
          <w:sz w:val="18"/>
          <w:szCs w:val="18"/>
          <w:color w:val="auto"/>
        </w:rPr>
        <w:t>As of January 29, 2022, we have obligations under technology-related, construction and other contractual commitments in the amount of $22.6 million. Of such commitments, approximately $14.3 million is payable in the next 12 months.</w:t>
      </w:r>
    </w:p>
    <w:p>
      <w:pPr>
        <w:spacing w:after="0" w:line="200" w:lineRule="exact"/>
        <w:rPr>
          <w:sz w:val="20"/>
          <w:szCs w:val="20"/>
          <w:color w:val="auto"/>
        </w:rPr>
      </w:pPr>
    </w:p>
    <w:p>
      <w:pPr>
        <w:spacing w:after="0" w:line="308"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57" w:right="339" w:bottom="1440" w:gutter="0" w:footer="0" w:header="0"/>
        </w:sectPr>
      </w:pPr>
    </w:p>
    <w:bookmarkStart w:id="103" w:name="page104"/>
    <w:bookmarkEnd w:id="103"/>
    <w:p>
      <w:pPr>
        <w:ind w:left="332"/>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252" w:lineRule="exact"/>
        <w:rPr>
          <w:sz w:val="20"/>
          <w:szCs w:val="20"/>
          <w:color w:val="auto"/>
        </w:rPr>
      </w:pPr>
    </w:p>
    <w:p>
      <w:pPr>
        <w:jc w:val="both"/>
        <w:ind w:left="332" w:firstLine="324"/>
        <w:spacing w:after="0" w:line="263" w:lineRule="auto"/>
        <w:rPr>
          <w:sz w:val="20"/>
          <w:szCs w:val="20"/>
          <w:color w:val="auto"/>
        </w:rPr>
      </w:pPr>
      <w:r>
        <w:rPr>
          <w:rFonts w:ascii="Arial" w:cs="Arial" w:eastAsia="Arial" w:hAnsi="Arial"/>
          <w:sz w:val="18"/>
          <w:szCs w:val="18"/>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11"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left="332" w:firstLine="324"/>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04" w:lineRule="exact"/>
        <w:rPr>
          <w:sz w:val="20"/>
          <w:szCs w:val="20"/>
          <w:color w:val="auto"/>
        </w:rPr>
      </w:pPr>
    </w:p>
    <w:p>
      <w:pPr>
        <w:ind w:left="332"/>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252" w:lineRule="exact"/>
        <w:rPr>
          <w:sz w:val="20"/>
          <w:szCs w:val="20"/>
          <w:color w:val="auto"/>
        </w:rPr>
      </w:pPr>
    </w:p>
    <w:p>
      <w:pPr>
        <w:jc w:val="both"/>
        <w:ind w:left="332" w:firstLine="324"/>
        <w:spacing w:after="0" w:line="275"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January 29, 2022, we have $20.7 million in related commitments through 2027, of which $7.7 million is payable in next 12 months.</w:t>
      </w:r>
    </w:p>
    <w:p>
      <w:pPr>
        <w:spacing w:after="0" w:line="200" w:lineRule="exact"/>
        <w:rPr>
          <w:sz w:val="20"/>
          <w:szCs w:val="20"/>
          <w:color w:val="auto"/>
        </w:rPr>
      </w:pPr>
    </w:p>
    <w:p>
      <w:pPr>
        <w:spacing w:after="0" w:line="242" w:lineRule="exact"/>
        <w:rPr>
          <w:sz w:val="20"/>
          <w:szCs w:val="20"/>
          <w:color w:val="auto"/>
        </w:rPr>
      </w:pPr>
    </w:p>
    <w:p>
      <w:pPr>
        <w:ind w:left="332" w:right="9100" w:hanging="332"/>
        <w:spacing w:after="0" w:line="534" w:lineRule="auto"/>
        <w:tabs>
          <w:tab w:leader="none" w:pos="327"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401(k) Plan</w:t>
      </w:r>
    </w:p>
    <w:p>
      <w:pPr>
        <w:spacing w:after="0" w:line="1" w:lineRule="exact"/>
        <w:rPr>
          <w:sz w:val="20"/>
          <w:szCs w:val="20"/>
          <w:color w:val="auto"/>
        </w:rPr>
      </w:pPr>
    </w:p>
    <w:p>
      <w:pPr>
        <w:jc w:val="both"/>
        <w:ind w:left="332" w:firstLine="324"/>
        <w:spacing w:after="0" w:line="272" w:lineRule="auto"/>
        <w:rPr>
          <w:sz w:val="20"/>
          <w:szCs w:val="20"/>
          <w:color w:val="auto"/>
        </w:rPr>
      </w:pPr>
      <w:r>
        <w:rPr>
          <w:rFonts w:ascii="Arial" w:cs="Arial" w:eastAsia="Arial" w:hAnsi="Arial"/>
          <w:sz w:val="17"/>
          <w:szCs w:val="17"/>
          <w:color w:val="auto"/>
        </w:rPr>
        <w:t>We sponsor a safe harbor defined contribution 401(k) profit sharing plan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the money contributed by a plan participant to the 401(k) Plan each pay period, on a dollar-for-dollar basis, up to 6% of a plan participant’s eligible compensation during such pay period. Annual Company profit sharing contributions are made at the discretion of our board of directors, subject to certain limitations. The 401(k) Plan may be amended or terminated at our discretion. Employer contributions related to the 401(k) Plan totaled $15.6 million, $13.2 million and $12.4 million in 2021, 2020 and 2019, respectively.</w:t>
      </w:r>
    </w:p>
    <w:p>
      <w:pPr>
        <w:spacing w:after="0" w:line="200" w:lineRule="exact"/>
        <w:rPr>
          <w:sz w:val="20"/>
          <w:szCs w:val="20"/>
          <w:color w:val="auto"/>
        </w:rPr>
      </w:pPr>
    </w:p>
    <w:p>
      <w:pPr>
        <w:spacing w:after="0" w:line="315"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224790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895" w:right="339" w:bottom="1440" w:gutter="0" w:footer="0" w:header="0"/>
        </w:sectPr>
      </w:pPr>
    </w:p>
    <w:bookmarkStart w:id="104" w:name="page105"/>
    <w:bookmarkEnd w:id="104"/>
    <w:p>
      <w:pPr>
        <w:ind w:left="64"/>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56" w:lineRule="exact"/>
        <w:rPr>
          <w:sz w:val="20"/>
          <w:szCs w:val="20"/>
          <w:color w:val="auto"/>
        </w:rPr>
      </w:pPr>
    </w:p>
    <w:p>
      <w:pPr>
        <w:ind w:left="404" w:right="320" w:firstLine="324"/>
        <w:spacing w:after="0" w:line="271" w:lineRule="auto"/>
        <w:rPr>
          <w:sz w:val="20"/>
          <w:szCs w:val="20"/>
          <w:color w:val="auto"/>
        </w:rPr>
      </w:pPr>
      <w:r>
        <w:rPr>
          <w:rFonts w:ascii="Arial" w:cs="Arial" w:eastAsia="Arial" w:hAnsi="Arial"/>
          <w:sz w:val="18"/>
          <w:szCs w:val="18"/>
          <w:color w:val="auto"/>
        </w:rPr>
        <w:t>The summarized quarterly financial information for the fiscal years ended 2021 and 2020 are reflected in the table below (in thousands, except earnings per share data):</w:t>
      </w:r>
    </w:p>
    <w:p>
      <w:pPr>
        <w:spacing w:after="0" w:line="1" w:lineRule="exact"/>
        <w:rPr>
          <w:sz w:val="20"/>
          <w:szCs w:val="20"/>
          <w:color w:val="auto"/>
        </w:rPr>
      </w:pPr>
    </w:p>
    <w:tbl>
      <w:tblPr>
        <w:tblLayout w:type="fixed"/>
        <w:tblInd w:w="404"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4"/>
              </w:rPr>
              <w:t>1st</w:t>
            </w:r>
          </w:p>
        </w:tc>
        <w:tc>
          <w:tcPr>
            <w:tcW w:w="600" w:type="dxa"/>
            <w:vAlign w:val="bottom"/>
          </w:tcPr>
          <w:p>
            <w:pPr>
              <w:spacing w:after="0"/>
              <w:rPr>
                <w:sz w:val="19"/>
                <w:szCs w:val="19"/>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2nd</w:t>
            </w:r>
          </w:p>
        </w:tc>
        <w:tc>
          <w:tcPr>
            <w:tcW w:w="620" w:type="dxa"/>
            <w:vAlign w:val="bottom"/>
          </w:tcPr>
          <w:p>
            <w:pPr>
              <w:spacing w:after="0"/>
              <w:rPr>
                <w:sz w:val="19"/>
                <w:szCs w:val="19"/>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3rd</w:t>
            </w:r>
          </w:p>
        </w:tc>
        <w:tc>
          <w:tcPr>
            <w:tcW w:w="620" w:type="dxa"/>
            <w:vAlign w:val="bottom"/>
          </w:tcPr>
          <w:p>
            <w:pPr>
              <w:spacing w:after="0"/>
              <w:rPr>
                <w:sz w:val="19"/>
                <w:szCs w:val="19"/>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b w:val="1"/>
                <w:bCs w:val="1"/>
                <w:color w:val="auto"/>
              </w:rPr>
              <w:t>4th</w:t>
            </w:r>
          </w:p>
        </w:tc>
        <w:tc>
          <w:tcPr>
            <w:tcW w:w="0" w:type="dxa"/>
            <w:vAlign w:val="bottom"/>
          </w:tcPr>
          <w:p>
            <w:pPr>
              <w:spacing w:after="0"/>
              <w:rPr>
                <w:sz w:val="1"/>
                <w:szCs w:val="1"/>
                <w:color w:val="auto"/>
              </w:rPr>
            </w:pPr>
          </w:p>
        </w:tc>
      </w:tr>
      <w:tr>
        <w:trPr>
          <w:trHeight w:val="234"/>
        </w:trPr>
        <w:tc>
          <w:tcPr>
            <w:tcW w:w="2740" w:type="dxa"/>
            <w:vAlign w:val="bottom"/>
          </w:tcPr>
          <w:p>
            <w:pPr>
              <w:ind w:left="340"/>
              <w:spacing w:after="0"/>
              <w:rPr>
                <w:sz w:val="20"/>
                <w:szCs w:val="20"/>
                <w:color w:val="auto"/>
              </w:rPr>
            </w:pPr>
            <w:r>
              <w:rPr>
                <w:rFonts w:ascii="Arial" w:cs="Arial" w:eastAsia="Arial" w:hAnsi="Arial"/>
                <w:sz w:val="16"/>
                <w:szCs w:val="16"/>
                <w:i w:val="1"/>
                <w:iCs w:val="1"/>
                <w:color w:val="auto"/>
              </w:rPr>
              <w:t>(amounts in thousands)</w:t>
            </w:r>
          </w:p>
        </w:tc>
        <w:tc>
          <w:tcPr>
            <w:tcW w:w="60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Quarter</w:t>
            </w:r>
          </w:p>
        </w:tc>
        <w:tc>
          <w:tcPr>
            <w:tcW w:w="60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Quarter</w:t>
            </w:r>
          </w:p>
        </w:tc>
        <w:tc>
          <w:tcPr>
            <w:tcW w:w="62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8"/>
              </w:rPr>
              <w:t>Quarter</w:t>
            </w:r>
          </w:p>
        </w:tc>
        <w:tc>
          <w:tcPr>
            <w:tcW w:w="62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Quarter</w:t>
            </w: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2021:</w:t>
            </w:r>
          </w:p>
        </w:tc>
        <w:tc>
          <w:tcPr>
            <w:tcW w:w="6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340"/>
              <w:spacing w:after="0"/>
              <w:rPr>
                <w:sz w:val="20"/>
                <w:szCs w:val="20"/>
                <w:color w:val="auto"/>
              </w:rPr>
            </w:pPr>
            <w:r>
              <w:rPr>
                <w:rFonts w:ascii="Arial" w:cs="Arial" w:eastAsia="Arial" w:hAnsi="Arial"/>
                <w:sz w:val="18"/>
                <w:szCs w:val="18"/>
                <w:color w:val="auto"/>
              </w:rPr>
              <w:t>Net sales</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1,580,333</w:t>
            </w:r>
          </w:p>
        </w:tc>
        <w:tc>
          <w:tcPr>
            <w:tcW w:w="12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1,791,530</w:t>
            </w:r>
          </w:p>
        </w:tc>
        <w:tc>
          <w:tcPr>
            <w:tcW w:w="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1,592,795</w:t>
            </w:r>
          </w:p>
        </w:tc>
        <w:tc>
          <w:tcPr>
            <w:tcW w:w="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1,808,470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margin</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563,701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642,496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560,838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584,060</w:t>
            </w:r>
          </w:p>
        </w:tc>
        <w:tc>
          <w:tcPr>
            <w:tcW w:w="0" w:type="dxa"/>
            <w:vAlign w:val="bottom"/>
          </w:tcPr>
          <w:p>
            <w:pPr>
              <w:spacing w:after="0"/>
              <w:rPr>
                <w:sz w:val="1"/>
                <w:szCs w:val="1"/>
                <w:color w:val="auto"/>
              </w:rPr>
            </w:pPr>
          </w:p>
        </w:tc>
      </w:tr>
      <w:tr>
        <w:trPr>
          <w:trHeight w:val="229"/>
        </w:trPr>
        <w:tc>
          <w:tcPr>
            <w:tcW w:w="2740" w:type="dxa"/>
            <w:vAlign w:val="bottom"/>
          </w:tcPr>
          <w:p>
            <w:pPr>
              <w:ind w:left="340"/>
              <w:spacing w:after="0"/>
              <w:rPr>
                <w:sz w:val="20"/>
                <w:szCs w:val="20"/>
                <w:color w:val="auto"/>
              </w:rPr>
            </w:pPr>
            <w:r>
              <w:rPr>
                <w:rFonts w:ascii="Arial" w:cs="Arial" w:eastAsia="Arial" w:hAnsi="Arial"/>
                <w:sz w:val="18"/>
                <w:szCs w:val="18"/>
                <w:color w:val="auto"/>
              </w:rPr>
              <w:t>Operating income</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239,074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254,558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216,113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198,202</w:t>
            </w:r>
          </w:p>
        </w:tc>
        <w:tc>
          <w:tcPr>
            <w:tcW w:w="0" w:type="dxa"/>
            <w:vAlign w:val="bottom"/>
          </w:tcPr>
          <w:p>
            <w:pPr>
              <w:spacing w:after="0"/>
              <w:rPr>
                <w:sz w:val="1"/>
                <w:szCs w:val="1"/>
                <w:color w:val="auto"/>
              </w:rPr>
            </w:pPr>
          </w:p>
        </w:tc>
      </w:tr>
      <w:tr>
        <w:trPr>
          <w:trHeight w:val="176"/>
        </w:trPr>
        <w:tc>
          <w:tcPr>
            <w:tcW w:w="27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Loss on early retirement of</w:t>
            </w:r>
          </w:p>
        </w:tc>
        <w:tc>
          <w:tcPr>
            <w:tcW w:w="600" w:type="dxa"/>
            <w:vAlign w:val="bottom"/>
            <w:shd w:val="clear" w:color="auto" w:fill="CCEEFF"/>
          </w:tcPr>
          <w:p>
            <w:pPr>
              <w:spacing w:after="0"/>
              <w:rPr>
                <w:sz w:val="15"/>
                <w:szCs w:val="15"/>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2,239</w:t>
            </w: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net</w:t>
            </w:r>
          </w:p>
        </w:tc>
        <w:tc>
          <w:tcPr>
            <w:tcW w:w="6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177,796</w:t>
            </w:r>
          </w:p>
        </w:tc>
        <w:tc>
          <w:tcPr>
            <w:tcW w:w="12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190,510</w:t>
            </w:r>
          </w:p>
        </w:tc>
        <w:tc>
          <w:tcPr>
            <w:tcW w:w="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161,305</w:t>
            </w:r>
          </w:p>
        </w:tc>
        <w:tc>
          <w:tcPr>
            <w:tcW w:w="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141,770</w:t>
            </w:r>
          </w:p>
        </w:tc>
        <w:tc>
          <w:tcPr>
            <w:tcW w:w="0" w:type="dxa"/>
            <w:vAlign w:val="bottom"/>
          </w:tcPr>
          <w:p>
            <w:pPr>
              <w:spacing w:after="0"/>
              <w:rPr>
                <w:sz w:val="1"/>
                <w:szCs w:val="1"/>
                <w:color w:val="auto"/>
              </w:rPr>
            </w:pPr>
          </w:p>
        </w:tc>
      </w:tr>
      <w:tr>
        <w:trPr>
          <w:trHeight w:val="95"/>
        </w:trPr>
        <w:tc>
          <w:tcPr>
            <w:tcW w:w="27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340"/>
              <w:spacing w:after="0" w:line="176" w:lineRule="exact"/>
              <w:rPr>
                <w:sz w:val="20"/>
                <w:szCs w:val="20"/>
                <w:color w:val="auto"/>
              </w:rPr>
            </w:pPr>
            <w:r>
              <w:rPr>
                <w:rFonts w:ascii="Arial" w:cs="Arial" w:eastAsia="Arial" w:hAnsi="Arial"/>
                <w:sz w:val="18"/>
                <w:szCs w:val="18"/>
                <w:color w:val="auto"/>
              </w:rPr>
              <w:t>Earnings (loss) per common</w:t>
            </w:r>
          </w:p>
        </w:tc>
        <w:tc>
          <w:tcPr>
            <w:tcW w:w="6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share:</w:t>
            </w: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c>
          <w:tcPr>
            <w:tcW w:w="0" w:type="dxa"/>
            <w:vAlign w:val="bottom"/>
          </w:tcPr>
          <w:p>
            <w:pPr>
              <w:spacing w:after="0"/>
              <w:rPr>
                <w:sz w:val="1"/>
                <w:szCs w:val="1"/>
                <w:color w:val="auto"/>
              </w:rPr>
            </w:pPr>
          </w:p>
        </w:tc>
      </w:tr>
      <w:tr>
        <w:trPr>
          <w:trHeight w:val="230"/>
        </w:trPr>
        <w:tc>
          <w:tcPr>
            <w:tcW w:w="2740" w:type="dxa"/>
            <w:vAlign w:val="bottom"/>
          </w:tcPr>
          <w:p>
            <w:pPr>
              <w:ind w:left="560"/>
              <w:spacing w:after="0"/>
              <w:rPr>
                <w:sz w:val="20"/>
                <w:szCs w:val="20"/>
                <w:color w:val="auto"/>
              </w:rPr>
            </w:pPr>
            <w:r>
              <w:rPr>
                <w:rFonts w:ascii="Arial" w:cs="Arial" w:eastAsia="Arial" w:hAnsi="Arial"/>
                <w:sz w:val="18"/>
                <w:szCs w:val="18"/>
                <w:color w:val="auto"/>
              </w:rPr>
              <w:t>Diluted</w:t>
            </w: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1.84</w:t>
            </w:r>
          </w:p>
        </w:tc>
        <w:tc>
          <w:tcPr>
            <w:tcW w:w="12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1.99</w:t>
            </w:r>
          </w:p>
        </w:tc>
        <w:tc>
          <w:tcPr>
            <w:tcW w:w="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0" w:type="dxa"/>
            <w:vAlign w:val="bottom"/>
          </w:tcPr>
          <w:p>
            <w:pPr>
              <w:spacing w:after="0"/>
              <w:rPr>
                <w:sz w:val="1"/>
                <w:szCs w:val="1"/>
                <w:color w:val="auto"/>
              </w:rPr>
            </w:pPr>
          </w:p>
        </w:tc>
      </w:tr>
      <w:tr>
        <w:trPr>
          <w:trHeight w:val="108"/>
        </w:trPr>
        <w:tc>
          <w:tcPr>
            <w:tcW w:w="4600" w:type="dxa"/>
            <w:vAlign w:val="bottom"/>
            <w:gridSpan w:val="3"/>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720" w:type="dxa"/>
            <w:vAlign w:val="bottom"/>
            <w:gridSpan w:val="4"/>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Basic</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92,088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92,627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91,140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87,970</w:t>
            </w:r>
          </w:p>
        </w:tc>
        <w:tc>
          <w:tcPr>
            <w:tcW w:w="0" w:type="dxa"/>
            <w:vAlign w:val="bottom"/>
          </w:tcPr>
          <w:p>
            <w:pPr>
              <w:spacing w:after="0"/>
              <w:rPr>
                <w:sz w:val="1"/>
                <w:szCs w:val="1"/>
                <w:color w:val="auto"/>
              </w:rPr>
            </w:pPr>
          </w:p>
        </w:tc>
      </w:tr>
      <w:tr>
        <w:trPr>
          <w:trHeight w:val="229"/>
        </w:trPr>
        <w:tc>
          <w:tcPr>
            <w:tcW w:w="2740" w:type="dxa"/>
            <w:vAlign w:val="bottom"/>
          </w:tcPr>
          <w:p>
            <w:pPr>
              <w:ind w:left="560"/>
              <w:spacing w:after="0"/>
              <w:rPr>
                <w:sz w:val="20"/>
                <w:szCs w:val="20"/>
                <w:color w:val="auto"/>
              </w:rPr>
            </w:pPr>
            <w:r>
              <w:rPr>
                <w:rFonts w:ascii="Arial" w:cs="Arial" w:eastAsia="Arial" w:hAnsi="Arial"/>
                <w:sz w:val="18"/>
                <w:szCs w:val="18"/>
                <w:color w:val="auto"/>
              </w:rPr>
              <w:t>Diluted</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96,472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95,891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93,844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90,475</w:t>
            </w:r>
          </w:p>
        </w:tc>
        <w:tc>
          <w:tcPr>
            <w:tcW w:w="0" w:type="dxa"/>
            <w:vAlign w:val="bottom"/>
          </w:tcPr>
          <w:p>
            <w:pPr>
              <w:spacing w:after="0"/>
              <w:rPr>
                <w:sz w:val="1"/>
                <w:szCs w:val="1"/>
                <w:color w:val="auto"/>
              </w:rPr>
            </w:pPr>
          </w:p>
        </w:tc>
      </w:tr>
      <w:tr>
        <w:trPr>
          <w:trHeight w:val="257"/>
        </w:trPr>
        <w:tc>
          <w:tcPr>
            <w:tcW w:w="27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740" w:type="dxa"/>
            <w:vAlign w:val="bottom"/>
          </w:tcPr>
          <w:p>
            <w:pPr>
              <w:ind w:left="340"/>
              <w:spacing w:after="0"/>
              <w:rPr>
                <w:sz w:val="20"/>
                <w:szCs w:val="20"/>
                <w:color w:val="auto"/>
              </w:rPr>
            </w:pPr>
            <w:r>
              <w:rPr>
                <w:rFonts w:ascii="Arial" w:cs="Arial" w:eastAsia="Arial" w:hAnsi="Arial"/>
                <w:sz w:val="18"/>
                <w:szCs w:val="18"/>
                <w:b w:val="1"/>
                <w:bCs w:val="1"/>
                <w:color w:val="auto"/>
              </w:rPr>
              <w:t>2020:</w:t>
            </w:r>
          </w:p>
        </w:tc>
        <w:tc>
          <w:tcPr>
            <w:tcW w:w="6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sales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1,136,301</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1,606,420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1,349,076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1,597,436</w:t>
            </w:r>
          </w:p>
        </w:tc>
        <w:tc>
          <w:tcPr>
            <w:tcW w:w="0" w:type="dxa"/>
            <w:vAlign w:val="bottom"/>
          </w:tcPr>
          <w:p>
            <w:pPr>
              <w:spacing w:after="0"/>
              <w:rPr>
                <w:sz w:val="1"/>
                <w:szCs w:val="1"/>
                <w:color w:val="auto"/>
              </w:rPr>
            </w:pPr>
          </w:p>
        </w:tc>
      </w:tr>
      <w:tr>
        <w:trPr>
          <w:trHeight w:val="229"/>
        </w:trPr>
        <w:tc>
          <w:tcPr>
            <w:tcW w:w="2740" w:type="dxa"/>
            <w:vAlign w:val="bottom"/>
          </w:tcPr>
          <w:p>
            <w:pPr>
              <w:ind w:left="340"/>
              <w:spacing w:after="0"/>
              <w:rPr>
                <w:sz w:val="20"/>
                <w:szCs w:val="20"/>
                <w:color w:val="auto"/>
              </w:rPr>
            </w:pPr>
            <w:r>
              <w:rPr>
                <w:rFonts w:ascii="Arial" w:cs="Arial" w:eastAsia="Arial" w:hAnsi="Arial"/>
                <w:sz w:val="18"/>
                <w:szCs w:val="18"/>
                <w:color w:val="auto"/>
              </w:rPr>
              <w:t>Gross margin</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297,945</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496,501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440,511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499,088</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income</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183,788</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141,032</w:t>
            </w:r>
          </w:p>
        </w:tc>
        <w:tc>
          <w:tcPr>
            <w:tcW w:w="0" w:type="dxa"/>
            <w:vAlign w:val="bottom"/>
          </w:tcPr>
          <w:p>
            <w:pPr>
              <w:spacing w:after="0"/>
              <w:rPr>
                <w:sz w:val="1"/>
                <w:szCs w:val="1"/>
                <w:color w:val="auto"/>
              </w:rPr>
            </w:pPr>
          </w:p>
        </w:tc>
      </w:tr>
      <w:tr>
        <w:trPr>
          <w:trHeight w:val="175"/>
        </w:trPr>
        <w:tc>
          <w:tcPr>
            <w:tcW w:w="2740" w:type="dxa"/>
            <w:vAlign w:val="bottom"/>
          </w:tcPr>
          <w:p>
            <w:pPr>
              <w:ind w:left="340"/>
              <w:spacing w:after="0" w:line="176" w:lineRule="exact"/>
              <w:rPr>
                <w:sz w:val="20"/>
                <w:szCs w:val="20"/>
                <w:color w:val="auto"/>
              </w:rPr>
            </w:pPr>
            <w:r>
              <w:rPr>
                <w:rFonts w:ascii="Arial" w:cs="Arial" w:eastAsia="Arial" w:hAnsi="Arial"/>
                <w:sz w:val="18"/>
                <w:szCs w:val="18"/>
                <w:color w:val="auto"/>
                <w:w w:val="98"/>
              </w:rPr>
              <w:t>(Gain) loss on early retirement</w:t>
            </w:r>
          </w:p>
        </w:tc>
        <w:tc>
          <w:tcPr>
            <w:tcW w:w="600" w:type="dxa"/>
            <w:vAlign w:val="bottom"/>
          </w:tcPr>
          <w:p>
            <w:pPr>
              <w:spacing w:after="0"/>
              <w:rPr>
                <w:sz w:val="15"/>
                <w:szCs w:val="15"/>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4,249</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of debt, net</w:t>
            </w:r>
          </w:p>
        </w:tc>
        <w:tc>
          <w:tcPr>
            <w:tcW w:w="6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167,676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59,586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91,522</w:t>
            </w:r>
          </w:p>
        </w:tc>
        <w:tc>
          <w:tcPr>
            <w:tcW w:w="0" w:type="dxa"/>
            <w:vAlign w:val="bottom"/>
          </w:tcPr>
          <w:p>
            <w:pPr>
              <w:spacing w:after="0"/>
              <w:rPr>
                <w:sz w:val="1"/>
                <w:szCs w:val="1"/>
                <w:color w:val="auto"/>
              </w:rPr>
            </w:pPr>
          </w:p>
        </w:tc>
      </w:tr>
      <w:tr>
        <w:trPr>
          <w:trHeight w:val="108"/>
        </w:trPr>
        <w:tc>
          <w:tcPr>
            <w:tcW w:w="27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CEEFF"/>
          </w:tcPr>
          <w:p>
            <w:pPr>
              <w:ind w:left="340"/>
              <w:spacing w:after="0" w:line="176" w:lineRule="exact"/>
              <w:rPr>
                <w:sz w:val="20"/>
                <w:szCs w:val="20"/>
                <w:color w:val="auto"/>
              </w:rPr>
            </w:pPr>
            <w:r>
              <w:rPr>
                <w:rFonts w:ascii="Arial" w:cs="Arial" w:eastAsia="Arial" w:hAnsi="Arial"/>
                <w:sz w:val="18"/>
                <w:szCs w:val="18"/>
                <w:color w:val="auto"/>
              </w:rPr>
              <w:t>Earnings (loss) per common</w:t>
            </w:r>
          </w:p>
        </w:tc>
        <w:tc>
          <w:tcPr>
            <w:tcW w:w="6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56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95"/>
        </w:trPr>
        <w:tc>
          <w:tcPr>
            <w:tcW w:w="460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720" w:type="dxa"/>
            <w:vAlign w:val="bottom"/>
            <w:gridSpan w:val="4"/>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560"/>
              <w:spacing w:after="0" w:line="230" w:lineRule="exact"/>
              <w:rPr>
                <w:sz w:val="20"/>
                <w:szCs w:val="20"/>
                <w:color w:val="auto"/>
              </w:rPr>
            </w:pPr>
            <w:r>
              <w:rPr>
                <w:rFonts w:ascii="Arial" w:cs="Arial" w:eastAsia="Arial" w:hAnsi="Arial"/>
                <w:sz w:val="18"/>
                <w:szCs w:val="18"/>
                <w:color w:val="auto"/>
              </w:rPr>
              <w:t xml:space="preserve">Basic </w:t>
            </w:r>
            <w:r>
              <w:rPr>
                <w:rFonts w:ascii="Arial" w:cs="Arial" w:eastAsia="Arial" w:hAnsi="Arial"/>
                <w:sz w:val="23"/>
                <w:szCs w:val="23"/>
                <w:color w:val="auto"/>
                <w:vertAlign w:val="superscript"/>
              </w:rPr>
              <w:t>(1)</w:t>
            </w:r>
          </w:p>
        </w:tc>
        <w:tc>
          <w:tcPr>
            <w:tcW w:w="6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72,474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72,478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76,771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90,253</w:t>
            </w: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560"/>
              <w:spacing w:after="0" w:line="230"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6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74,439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80,714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94,377</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04"/>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See Retrospective Presentation of Ownership Exchange in Note 2.</w:t>
      </w:r>
    </w:p>
    <w:p>
      <w:pPr>
        <w:spacing w:after="0" w:line="200" w:lineRule="exact"/>
        <w:rPr>
          <w:sz w:val="20"/>
          <w:szCs w:val="20"/>
          <w:color w:val="auto"/>
        </w:rPr>
      </w:pPr>
    </w:p>
    <w:p>
      <w:pPr>
        <w:spacing w:after="0" w:line="246" w:lineRule="exact"/>
        <w:rPr>
          <w:sz w:val="20"/>
          <w:szCs w:val="20"/>
          <w:color w:val="auto"/>
        </w:rPr>
      </w:pPr>
    </w:p>
    <w:p>
      <w:pPr>
        <w:ind w:left="384" w:hanging="384"/>
        <w:spacing w:after="0"/>
        <w:tabs>
          <w:tab w:leader="none" w:pos="38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6" w:lineRule="exact"/>
        <w:rPr>
          <w:sz w:val="20"/>
          <w:szCs w:val="20"/>
          <w:color w:val="auto"/>
        </w:rPr>
      </w:pPr>
    </w:p>
    <w:p>
      <w:pPr>
        <w:ind w:left="404" w:firstLine="324"/>
        <w:spacing w:after="0" w:line="277" w:lineRule="auto"/>
        <w:rPr>
          <w:sz w:val="20"/>
          <w:szCs w:val="20"/>
          <w:color w:val="auto"/>
        </w:rPr>
      </w:pPr>
      <w:r>
        <w:rPr>
          <w:rFonts w:ascii="Arial" w:cs="Arial" w:eastAsia="Arial" w:hAnsi="Arial"/>
          <w:sz w:val="18"/>
          <w:szCs w:val="18"/>
          <w:color w:val="auto"/>
        </w:rPr>
        <w:t>Our management evaluated events or transactions that occurred after January 29, 2022 through March 29, 2022 the issuance date of the consolidated financial statements, and identified the following matter to report:</w:t>
      </w:r>
    </w:p>
    <w:p>
      <w:pPr>
        <w:spacing w:after="0" w:line="197" w:lineRule="exact"/>
        <w:rPr>
          <w:sz w:val="20"/>
          <w:szCs w:val="20"/>
          <w:color w:val="auto"/>
        </w:rPr>
      </w:pPr>
    </w:p>
    <w:p>
      <w:pPr>
        <w:ind w:left="404" w:firstLine="324"/>
        <w:spacing w:after="0" w:line="277" w:lineRule="auto"/>
        <w:rPr>
          <w:sz w:val="20"/>
          <w:szCs w:val="20"/>
          <w:color w:val="auto"/>
        </w:rPr>
      </w:pPr>
      <w:r>
        <w:rPr>
          <w:rFonts w:ascii="Arial" w:cs="Arial" w:eastAsia="Arial" w:hAnsi="Arial"/>
          <w:sz w:val="18"/>
          <w:szCs w:val="18"/>
          <w:color w:val="auto"/>
        </w:rPr>
        <w:t>On March 3, 2022, the Company's Board of Directors declared a quarterly cash dividend in the amount of $0.075 per share on the Company's common stock, payable on April 14, 2022 to stockholders of record as of the close of business on March 17, 2022.</w:t>
      </w:r>
    </w:p>
    <w:p>
      <w:pPr>
        <w:spacing w:after="0" w:line="200" w:lineRule="exact"/>
        <w:rPr>
          <w:sz w:val="20"/>
          <w:szCs w:val="20"/>
          <w:color w:val="auto"/>
        </w:rPr>
      </w:pPr>
    </w:p>
    <w:p>
      <w:pPr>
        <w:spacing w:after="0" w:line="236" w:lineRule="exact"/>
        <w:rPr>
          <w:sz w:val="20"/>
          <w:szCs w:val="20"/>
          <w:color w:val="auto"/>
        </w:rPr>
      </w:pPr>
    </w:p>
    <w:p>
      <w:pPr>
        <w:ind w:left="64"/>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ind w:left="404"/>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04"/>
          </w:cols>
          <w:pgMar w:left="256"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43"/>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247015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4"/>
          </w:cols>
          <w:pgMar w:left="256" w:top="1134" w:right="339" w:bottom="1440"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30"/>
        </w:trPr>
        <w:tc>
          <w:tcPr>
            <w:tcW w:w="242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Index to Exhibits</w:t>
            </w:r>
          </w:p>
        </w:tc>
        <w:tc>
          <w:tcPr>
            <w:tcW w:w="8820" w:type="dxa"/>
            <w:vAlign w:val="bottom"/>
          </w:tcPr>
          <w:p>
            <w:pPr>
              <w:spacing w:after="0"/>
              <w:rPr>
                <w:sz w:val="20"/>
                <w:szCs w:val="20"/>
                <w:color w:val="auto"/>
              </w:rPr>
            </w:pPr>
          </w:p>
        </w:tc>
      </w:tr>
      <w:tr>
        <w:trPr>
          <w:trHeight w:val="499"/>
        </w:trPr>
        <w:tc>
          <w:tcPr>
            <w:tcW w:w="20" w:type="dxa"/>
            <w:vAlign w:val="bottom"/>
          </w:tcPr>
          <w:p>
            <w:pPr>
              <w:spacing w:after="0"/>
              <w:rPr>
                <w:sz w:val="24"/>
                <w:szCs w:val="24"/>
                <w:color w:val="auto"/>
              </w:rPr>
            </w:pPr>
          </w:p>
        </w:tc>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340" w:type="dxa"/>
            <w:vAlign w:val="bottom"/>
            <w:tcBorders>
              <w:top w:val="single" w:sz="8" w:color="auto"/>
            </w:tcBorders>
            <w:gridSpan w:val="3"/>
            <w:shd w:val="clear" w:color="auto" w:fill="CCEEFF"/>
          </w:tcPr>
          <w:p>
            <w:pPr>
              <w:ind w:left="20"/>
              <w:spacing w:after="0" w:line="182" w:lineRule="exact"/>
              <w:rPr>
                <w:rFonts w:ascii="Arial" w:cs="Arial" w:eastAsia="Arial" w:hAnsi="Arial"/>
                <w:sz w:val="18"/>
                <w:szCs w:val="18"/>
                <w:color w:val="0000FF"/>
              </w:rPr>
            </w:pPr>
            <w:hyperlink r:id="rId138">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Amended and Restated Certificate of Incorporation of the Registrant (incorporated by reference to Exhibit 3.1 to the</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Registrant’s Current Report on Form 8-K filed on October 6, 2020).</w:t>
            </w:r>
          </w:p>
        </w:tc>
      </w:tr>
      <w:tr>
        <w:trPr>
          <w:trHeight w:val="189"/>
        </w:trPr>
        <w:tc>
          <w:tcPr>
            <w:tcW w:w="340" w:type="dxa"/>
            <w:vAlign w:val="bottom"/>
            <w:gridSpan w:val="3"/>
          </w:tcPr>
          <w:p>
            <w:pPr>
              <w:ind w:left="20"/>
              <w:spacing w:after="0" w:line="189" w:lineRule="exact"/>
              <w:rPr>
                <w:rFonts w:ascii="Arial" w:cs="Arial" w:eastAsia="Arial" w:hAnsi="Arial"/>
                <w:sz w:val="18"/>
                <w:szCs w:val="18"/>
                <w:color w:val="0000FF"/>
              </w:rPr>
            </w:pPr>
            <w:hyperlink r:id="rId139">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Amended and Restated Bylaws of the Registrant (incorporated by reference to Exhibit 3.2 to the Registrant’s Current</w:t>
            </w:r>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Report on Form 8-K filed on October 6, 2020).</w:t>
            </w:r>
          </w:p>
        </w:tc>
      </w:tr>
      <w:tr>
        <w:trPr>
          <w:trHeight w:val="189"/>
        </w:trPr>
        <w:tc>
          <w:tcPr>
            <w:tcW w:w="340" w:type="dxa"/>
            <w:vAlign w:val="bottom"/>
            <w:gridSpan w:val="3"/>
            <w:shd w:val="clear" w:color="auto" w:fill="CCEEFF"/>
          </w:tcPr>
          <w:p>
            <w:pPr>
              <w:ind w:left="20"/>
              <w:spacing w:after="0" w:line="189" w:lineRule="exact"/>
              <w:rPr>
                <w:rFonts w:ascii="Arial" w:cs="Arial" w:eastAsia="Arial" w:hAnsi="Arial"/>
                <w:sz w:val="18"/>
                <w:szCs w:val="18"/>
                <w:color w:val="0000FF"/>
              </w:rPr>
            </w:pPr>
            <w:hyperlink r:id="rId140">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0"/>
              </w:rPr>
              <w:t>Indenture, dated as of November 6, 2020, by and among Academy, Ltd., as issuer, the guarantors named therein and The</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Bank of New York Mellon Trust Company, N.A., as trustee and notes collateral agent (incorporated by reference to</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Exhibit 4.1 to the Registrant’s Current Report on Form 8-K filed on November 6, 2020).</w:t>
            </w:r>
          </w:p>
        </w:tc>
      </w:tr>
      <w:tr>
        <w:trPr>
          <w:trHeight w:val="189"/>
        </w:trPr>
        <w:tc>
          <w:tcPr>
            <w:tcW w:w="340" w:type="dxa"/>
            <w:vAlign w:val="bottom"/>
            <w:gridSpan w:val="3"/>
          </w:tcPr>
          <w:p>
            <w:pPr>
              <w:ind w:left="20"/>
              <w:spacing w:after="0" w:line="189" w:lineRule="exact"/>
              <w:rPr>
                <w:rFonts w:ascii="Arial" w:cs="Arial" w:eastAsia="Arial" w:hAnsi="Arial"/>
                <w:sz w:val="18"/>
                <w:szCs w:val="18"/>
                <w:color w:val="0000FF"/>
              </w:rPr>
            </w:pPr>
            <w:hyperlink r:id="rId141">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Description of Securities Registered Under Section 12 of the Exchange Act. (incorporated by reference to Exhibit 4.3 to</w:t>
            </w:r>
          </w:p>
        </w:tc>
      </w:tr>
      <w:tr>
        <w:trPr>
          <w:trHeight w:val="196"/>
        </w:trPr>
        <w:tc>
          <w:tcPr>
            <w:tcW w:w="20" w:type="dxa"/>
            <w:vAlign w:val="bottom"/>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the Registrant’s Annual Report on Form 10-K filed on April 7, 2021).</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42">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Second Amended and Restated Credit Agreement, dated as of November 6, 2020, among Academy, Ltd., as Borrower,</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New Academy Holding Company, LLC, as Holdings, Associated Investors L.L.C. and Academy Managing Co., L.L.C.,</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as Texas Intermediate Holdcos, the several lenders from time to time party thereto, Credit Suisse AG, Cayman Islands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Branch, as the administrative agent and collateral agent and the several other parties named therein (incorporated by</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reference to Exhibit 10.1 to the Registrant’s Current Report on Form 8-K filed on November 6, 2020).</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43">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Amendment No. 4, dated May 25, 2021, to the Second Amended and Restated Credit Agreement among Academy, Ltd.,</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as Borrower, Credit Suisse AG, Cayman Islands Branch, as the administrative agent and collateral agent, the several</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7"/>
              </w:rPr>
              <w:t>lenders party thereto and the several other parties named therein (incorporated by reference to Exhibit 10.1 to the</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Registrant’s Current Report on Form 8-K filed on May 25, 2021).</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44">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Amended and Restated Term Loan Security Agreement, dated as of July 2, 2015, among Academy, Ltd., as Borrower,</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each of the subsidiaries listed on the signature pages thereto, and Morgan Stanley Senior Funding, Inc., as collateral agent</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for the benefit of the secured parties (incorporated by reference to Exhibit 10.2 to the Registrant’s Registration Statement</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Form S-1 filed on September 23, 2020).</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45">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8"/>
              </w:rPr>
              <w:t>Amended and Restated Term Loan Pledge Agreement, dated as of July 2, 2015, among New Academy Holding</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Company, LLC, as Holdings, Associated Investors L.L.C. and Academy Managing Co., L.L.C, as Texas Intermediate</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1"/>
              </w:rPr>
              <w:t>Holdcos, Academy, Ltd., as Borrower, each of the subsidiaries listed on the signature pages thereto and Morgan Stanley</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0"/>
              </w:rPr>
              <w:t>Senior Funding, Inc., as collateral agent for the benefit of the secured parties (incorporated by reference to Exhibit 10.3 to</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the Registrant’s Registration Statement on Form S-1 filed on September 23, 2020).</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46">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ABL Intercreditor Agreement, dated July 2, 2015, among JPMorgan Chase Bank, N.A., as agent for the ABL Secured</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Parties referred to therein, Morgan Stanley Senior Funding, Inc., as administrative agent and collateral agent for the Term</w:t>
            </w:r>
          </w:p>
        </w:tc>
      </w:tr>
      <w:tr>
        <w:trPr>
          <w:trHeight w:val="176"/>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Loan Secured Parties referred to therein, New Academy Holding Company, LLC, as Holdings, Associated Investors</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L.L.C. and Academy Managing Co., L.L.C, as Texas Intermediate Holdcos, Academy, Ltd., as Borrower, and each of the</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subsidiaries of the Borrower listed on the signature pages thereto (incorporated by reference to Exhibit 10.4 to the</w:t>
            </w:r>
          </w:p>
        </w:tc>
      </w:tr>
      <w:tr>
        <w:trPr>
          <w:trHeight w:val="230"/>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47">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Joinder to ABL Intercreditor Agreement, dated November 6, 2020, among JPMorgan Chase Bank, N.A., as agent for the</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ABL Secured Parties referred to therein, Credit Suisse AG, Cayman Islands Branch, as agent for the Term Loan Secured</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rPr>
              <w:t>Parties referred to therein, and The Bank of New York Mellon Trust Company, N.A., as collateral agent for the</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8"/>
              </w:rPr>
              <w:t>Additional Debt Secured Parties referred to therein (incorporated by reference to Exhibit 10.5 to the Registrant’s</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Registration Statement on Form S-1 filed on January 25, 2021).</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r:id="rId148">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Joinder to ABL Intercreditor Agreement, dated November 6, 2020, among JPMorgan Chase Bank, N.A., as agent for the</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9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ABL Secured Parties referred to therein, and Credit Suisse AG, Cayman Islands Branch, as agent for the Term Loan</w:t>
            </w:r>
          </w:p>
        </w:tc>
      </w:tr>
      <w:tr>
        <w:trPr>
          <w:trHeight w:val="175"/>
        </w:trPr>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Secured Parties referred to therein (incorporated by reference to Exhibit 10.6 to the Registrant’s Registration Statement</w:t>
            </w:r>
          </w:p>
        </w:tc>
      </w:tr>
      <w:tr>
        <w:trPr>
          <w:trHeight w:val="229"/>
        </w:trPr>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 Form S-1 filed on January 25, 2021).</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r:id="rId149">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1"/>
              </w:rPr>
              <w:t>First Lien Intercreditor Agreement, dated November 6, 2020, among Credit Suisse AG, Cayman Islands Branch, as First</w:t>
            </w:r>
          </w:p>
        </w:tc>
      </w:tr>
      <w:tr>
        <w:trPr>
          <w:trHeight w:val="142"/>
        </w:trPr>
        <w:tc>
          <w:tcPr>
            <w:tcW w:w="20" w:type="dxa"/>
            <w:vAlign w:val="bottom"/>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Lien Collateral Agent and Authorized Representative for the Credit Agreement Secured Parties referred to therein, The</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Bank of New York Mellon Trust (incorporated by reference to Exhibit 10.7 to the Registrant’s Registration Statement on</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Form S-1 filed on January 25, 2021).</w:t>
            </w:r>
          </w:p>
        </w:tc>
      </w:tr>
      <w:tr>
        <w:trPr>
          <w:trHeight w:val="62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8"/>
                <w:szCs w:val="18"/>
                <w:color w:val="auto"/>
              </w:rPr>
              <w:t>106</w:t>
            </w:r>
          </w:p>
        </w:tc>
      </w:tr>
      <w:tr>
        <w:trPr>
          <w:trHeight w:val="358"/>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gridSpan w:val="6"/>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420" w:type="dxa"/>
            <w:vAlign w:val="bottom"/>
            <w:tcBorders>
              <w:top w:val="single" w:sz="8" w:color="auto"/>
            </w:tcBorders>
            <w:gridSpan w:val="3"/>
            <w:shd w:val="clear" w:color="auto" w:fill="CCEEFF"/>
          </w:tcPr>
          <w:p>
            <w:pPr>
              <w:ind w:left="20"/>
              <w:spacing w:after="0" w:line="182" w:lineRule="exact"/>
              <w:rPr>
                <w:rFonts w:ascii="Arial" w:cs="Arial" w:eastAsia="Arial" w:hAnsi="Arial"/>
                <w:sz w:val="18"/>
                <w:szCs w:val="18"/>
                <w:color w:val="0000FF"/>
              </w:rPr>
            </w:pPr>
            <w:hyperlink r:id="rId152">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6"/>
              </w:rPr>
              <w:t>First Amended and Restated ABL Credit Agreement, dated July 2, 2015, among Academy, Ltd., as Borrower, New</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Academy Holding Company, LLC, as Holdings, Associated Investors L.L.C. and Academy Managing Co., L.L.C, as</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Texas Intermediate Holdcos, the lending institutions from time to time party thereto and JPMorgan Chase Bank, N.A., as</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the Administrative Agent, the Collateral Agent, the Letter of Credit Issuer and the Swingline Lender (incorporated by</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reference to Exhibit 10.5 to the Registrant’s Registration Statement on Form S-1 filed on September 23, 2020).</w:t>
            </w:r>
          </w:p>
        </w:tc>
      </w:tr>
      <w:tr>
        <w:trPr>
          <w:trHeight w:val="189"/>
        </w:trPr>
        <w:tc>
          <w:tcPr>
            <w:tcW w:w="520" w:type="dxa"/>
            <w:vAlign w:val="bottom"/>
            <w:gridSpan w:val="5"/>
          </w:tcPr>
          <w:p>
            <w:pPr>
              <w:ind w:left="20"/>
              <w:spacing w:after="0" w:line="189" w:lineRule="exact"/>
              <w:rPr>
                <w:rFonts w:ascii="Arial" w:cs="Arial" w:eastAsia="Arial" w:hAnsi="Arial"/>
                <w:sz w:val="18"/>
                <w:szCs w:val="18"/>
                <w:color w:val="0000FF"/>
              </w:rPr>
            </w:pPr>
            <w:hyperlink r:id="rId153">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Amendment No. 1 to First Amended and Restated ABL Credit Agreement, dated as of May 22, 2018, among Academy,</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Ltd., as Borrower, New Academy Holding Company, LLC, as Holdings, Associated Investors L.L.C. and Academy</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4"/>
              </w:rPr>
              <w:t>Managing Co., L.L.C, as Texas Intermediate Holdcos, each of the Guarantors party thereto, each of the lenders party</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3"/>
              </w:rPr>
              <w:t>thereto and JPMorgan Chase Bank, N.A., as the Administrative Agent, the Collateral Agent, the Letter of Credit Issuer</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and the Swingline Lender (incorporated by reference to Exhibit 10.6 to the Registrant’s Registration Statement on Form</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S-1 filed on September 23, 2020).</w:t>
            </w:r>
          </w:p>
        </w:tc>
      </w:tr>
      <w:tr>
        <w:trPr>
          <w:trHeight w:val="189"/>
        </w:trPr>
        <w:tc>
          <w:tcPr>
            <w:tcW w:w="440" w:type="dxa"/>
            <w:vAlign w:val="bottom"/>
            <w:gridSpan w:val="4"/>
            <w:shd w:val="clear" w:color="auto" w:fill="CCEEFF"/>
          </w:tcPr>
          <w:p>
            <w:pPr>
              <w:ind w:left="20"/>
              <w:spacing w:after="0" w:line="189" w:lineRule="exact"/>
              <w:rPr>
                <w:rFonts w:ascii="Arial" w:cs="Arial" w:eastAsia="Arial" w:hAnsi="Arial"/>
                <w:sz w:val="18"/>
                <w:szCs w:val="18"/>
                <w:color w:val="0000FF"/>
                <w:w w:val="88"/>
              </w:rPr>
            </w:pPr>
            <w:hyperlink r:id="rId15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11</w:t>
              </w:r>
            </w:hyperlink>
          </w:p>
        </w:tc>
        <w:tc>
          <w:tcPr>
            <w:tcW w:w="80" w:type="dxa"/>
            <w:vAlign w:val="bottom"/>
            <w:shd w:val="clear" w:color="auto" w:fill="CCEEFF"/>
          </w:tcPr>
          <w:p>
            <w:pPr>
              <w:spacing w:after="0"/>
              <w:rPr>
                <w:sz w:val="16"/>
                <w:szCs w:val="16"/>
                <w:color w:val="auto"/>
              </w:rPr>
            </w:pPr>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7"/>
              </w:rPr>
              <w:t>Amendment No. 2 to First Amended and Restated ABL Credit Agreement, dated as of November 6, 2020, among</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Academy, Ltd., as Borrower, New Academy Holding Company, LLC, as Holdings, Associated Investors, L.L.C. and</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Academy Managing Co., L.L.C., as Texas Intermediate Holdcos, the several lenders from time to time party thereto,</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JPMorgan Chase Bank, N.A., as the letter of credit issuer, administrative agent and collateral agent (incorporated by</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reference to Exhibit 10.2 to the Registrant’s Current Report on Form 8-K filed on November 6, 2020).</w:t>
            </w:r>
          </w:p>
        </w:tc>
      </w:tr>
      <w:tr>
        <w:trPr>
          <w:trHeight w:val="189"/>
        </w:trPr>
        <w:tc>
          <w:tcPr>
            <w:tcW w:w="520" w:type="dxa"/>
            <w:vAlign w:val="bottom"/>
            <w:gridSpan w:val="5"/>
          </w:tcPr>
          <w:p>
            <w:pPr>
              <w:ind w:left="20"/>
              <w:spacing w:after="0" w:line="189" w:lineRule="exact"/>
              <w:rPr>
                <w:rFonts w:ascii="Arial" w:cs="Arial" w:eastAsia="Arial" w:hAnsi="Arial"/>
                <w:sz w:val="18"/>
                <w:szCs w:val="18"/>
                <w:color w:val="0000FF"/>
              </w:rPr>
            </w:pPr>
            <w:hyperlink r:id="rId155">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Amended and Restated ABL Security Agreement, dated as of July 2, 2015, among Academy, Ltd., as Borrower, each of</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the subsidiaries listed on the signature pages thereto, and JPMorgan Chase Bank, N.A., as collateral agent for the benefit</w:t>
            </w:r>
          </w:p>
        </w:tc>
      </w:tr>
      <w:tr>
        <w:trPr>
          <w:trHeight w:val="175"/>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of the secured parties (incorporated by reference to Exhibit 10.7 to the Registrant’s Registration Statement on Form S-1</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filed on September 23, 2020).</w:t>
            </w:r>
          </w:p>
        </w:tc>
      </w:tr>
      <w:tr>
        <w:trPr>
          <w:trHeight w:val="189"/>
        </w:trPr>
        <w:tc>
          <w:tcPr>
            <w:tcW w:w="520" w:type="dxa"/>
            <w:vAlign w:val="bottom"/>
            <w:gridSpan w:val="5"/>
            <w:shd w:val="clear" w:color="auto" w:fill="CCEEFF"/>
          </w:tcPr>
          <w:p>
            <w:pPr>
              <w:ind w:left="20"/>
              <w:spacing w:after="0" w:line="189" w:lineRule="exact"/>
              <w:rPr>
                <w:rFonts w:ascii="Arial" w:cs="Arial" w:eastAsia="Arial" w:hAnsi="Arial"/>
                <w:sz w:val="18"/>
                <w:szCs w:val="18"/>
                <w:color w:val="0000FF"/>
              </w:rPr>
            </w:pPr>
            <w:hyperlink r:id="rId156">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Amended and Restated ABL Pledge Agreement, dated July 2, 2015, among New Academy Holding Company, LLC, as</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Holdings, Associated Investors L.L.C. and Academy Managing Co., L.L.C, as Texas Intermediate Holdcos, Academy,</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Ltd., as Borrower, each of the subsidiaries listed on the signature pages thereto and JPMorgan Chase Bank, N.A., as</w:t>
            </w:r>
          </w:p>
        </w:tc>
      </w:tr>
      <w:tr>
        <w:trPr>
          <w:trHeight w:val="176"/>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collateral agent for the benefit of the secured parties (incorporated by reference to Exhibit 10.8 to the Registrant’s</w:t>
            </w:r>
          </w:p>
        </w:tc>
      </w:tr>
      <w:tr>
        <w:trPr>
          <w:trHeight w:val="229"/>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 Statement on Form S-1 filed on September 23, 2020).</w:t>
            </w:r>
          </w:p>
        </w:tc>
      </w:tr>
      <w:tr>
        <w:trPr>
          <w:trHeight w:val="189"/>
        </w:trPr>
        <w:tc>
          <w:tcPr>
            <w:tcW w:w="520" w:type="dxa"/>
            <w:vAlign w:val="bottom"/>
            <w:gridSpan w:val="5"/>
          </w:tcPr>
          <w:p>
            <w:pPr>
              <w:ind w:left="20"/>
              <w:spacing w:after="0" w:line="189" w:lineRule="exact"/>
              <w:rPr>
                <w:rFonts w:ascii="Arial" w:cs="Arial" w:eastAsia="Arial" w:hAnsi="Arial"/>
                <w:sz w:val="18"/>
                <w:szCs w:val="18"/>
                <w:color w:val="0000FF"/>
              </w:rPr>
            </w:pPr>
            <w:hyperlink r:id="rId157">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0"/>
              </w:rPr>
              <w:t>Notes Security Agreement, dated as of November 6, 2020, among Academy, Ltd., as Issuer, each of the guarantors listed</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on the signature pages thereto, and The Bank of New York Mellon Trust Company, N.A., as collateral agent for the</w:t>
            </w: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9"/>
              </w:rPr>
              <w:t>benefit of the Secured Parties referred to therein (incorporated by reference to Exhibit 10.13 to the Registrant’s</w:t>
            </w:r>
          </w:p>
        </w:tc>
      </w:tr>
      <w:tr>
        <w:trPr>
          <w:trHeight w:val="22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Registration Statement on Form S-1 filed on January 25, 2021).</w:t>
            </w:r>
          </w:p>
        </w:tc>
      </w:tr>
      <w:tr>
        <w:trPr>
          <w:trHeight w:val="189"/>
        </w:trPr>
        <w:tc>
          <w:tcPr>
            <w:tcW w:w="520" w:type="dxa"/>
            <w:vAlign w:val="bottom"/>
            <w:gridSpan w:val="5"/>
            <w:shd w:val="clear" w:color="auto" w:fill="CCEEFF"/>
          </w:tcPr>
          <w:p>
            <w:pPr>
              <w:ind w:left="20"/>
              <w:spacing w:after="0" w:line="189" w:lineRule="exact"/>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p>
        </w:tc>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Notes Pledge Agreement, dated as of November 6, 2020, among Academy, Ltd., as Issuer, each of the guarantors listed</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on the signature pages thereto, and The Bank of New York Mellon Trust Company, N.A., as collateral agent for the</w:t>
            </w:r>
          </w:p>
        </w:tc>
      </w:tr>
      <w:tr>
        <w:trPr>
          <w:trHeight w:val="175"/>
        </w:trPr>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benefit of the Secured Parties referred to therein (incorporated by reference to Exhibit 10.14 to the Registrant’s</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Registration Statement on Form S-1 filed on January 25, 2021).</w:t>
            </w:r>
          </w:p>
        </w:tc>
      </w:tr>
      <w:tr>
        <w:trPr>
          <w:trHeight w:val="189"/>
        </w:trPr>
        <w:tc>
          <w:tcPr>
            <w:tcW w:w="520" w:type="dxa"/>
            <w:vAlign w:val="bottom"/>
            <w:gridSpan w:val="5"/>
          </w:tcPr>
          <w:p>
            <w:pPr>
              <w:ind w:left="20"/>
              <w:spacing w:after="0" w:line="189" w:lineRule="exact"/>
              <w:rPr>
                <w:rFonts w:ascii="Arial" w:cs="Arial" w:eastAsia="Arial" w:hAnsi="Arial"/>
                <w:sz w:val="18"/>
                <w:szCs w:val="18"/>
                <w:color w:val="0000FF"/>
              </w:rPr>
            </w:pPr>
            <w:hyperlink r:id="rId159">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Amendment to the Registration Rights Agreement, dated as of October 6, 2020, by and among the Registrant, Allstar</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LLC and New Academy Holding Company, LLC (incorporated by reference to Exhibit 4.1 to the Registrant’s Current</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Report on Form 8-K filed on October 6,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spacing w:after="0" w:line="189" w:lineRule="exact"/>
              <w:rPr>
                <w:rFonts w:ascii="Arial" w:cs="Arial" w:eastAsia="Arial" w:hAnsi="Arial"/>
                <w:sz w:val="18"/>
                <w:szCs w:val="18"/>
                <w:color w:val="0000FF"/>
              </w:rPr>
            </w:pPr>
            <w:hyperlink r:id="rId160">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Form of 2021 RSU Executive Retention Award Agreement (incorporated by reference to Exhibit 10.01 to the Registrant's</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Quarterly Report on From 10-Q filed on December 10, 2021).</w:t>
            </w:r>
          </w:p>
        </w:tc>
      </w:tr>
      <w:tr>
        <w:trPr>
          <w:trHeight w:val="189"/>
        </w:trPr>
        <w:tc>
          <w:tcPr>
            <w:tcW w:w="20" w:type="dxa"/>
            <w:vAlign w:val="bottom"/>
          </w:tcPr>
          <w:p>
            <w:pPr>
              <w:spacing w:after="0"/>
              <w:rPr>
                <w:sz w:val="16"/>
                <w:szCs w:val="16"/>
                <w:color w:val="auto"/>
              </w:rPr>
            </w:pPr>
          </w:p>
        </w:tc>
        <w:tc>
          <w:tcPr>
            <w:tcW w:w="2400" w:type="dxa"/>
            <w:vAlign w:val="bottom"/>
            <w:gridSpan w:val="6"/>
          </w:tcPr>
          <w:p>
            <w:pPr>
              <w:spacing w:after="0" w:line="189" w:lineRule="exact"/>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2020 Omnibus Incentive Plan (incorporated by reference to Exhibit 10.2 to the Registrant’s Quarterly Report on Form</w:t>
            </w:r>
          </w:p>
        </w:tc>
      </w:tr>
      <w:tr>
        <w:trPr>
          <w:trHeight w:val="196"/>
        </w:trPr>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10-Q filed on December 10,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spacing w:after="0" w:line="189" w:lineRule="exact"/>
              <w:rPr>
                <w:rFonts w:ascii="Arial" w:cs="Arial" w:eastAsia="Arial" w:hAnsi="Arial"/>
                <w:sz w:val="18"/>
                <w:szCs w:val="18"/>
                <w:color w:val="0000FF"/>
              </w:rPr>
            </w:pPr>
            <w:hyperlink r:id="rId162">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Time-Based Option Agreement under 2020 Omnibus Incentive Plan (incorporated by reference to Exhibit 10.10</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Amendment No. 1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6"/>
          </w:tcPr>
          <w:p>
            <w:pPr>
              <w:spacing w:after="0" w:line="189" w:lineRule="exact"/>
              <w:rPr>
                <w:rFonts w:ascii="Arial" w:cs="Arial" w:eastAsia="Arial" w:hAnsi="Arial"/>
                <w:sz w:val="18"/>
                <w:szCs w:val="18"/>
                <w:color w:val="0000FF"/>
              </w:rPr>
            </w:pPr>
            <w:hyperlink r:id="rId163">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Non-Employee Director Restricted Stock Unit Agreement under 2020 Omnibus Incentive Plan (incorporated by</w:t>
            </w:r>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reference to Exhibit 10.11 to Amendment No. 1 to the Registrant’s Registration Statement on Form S-1 filed on</w:t>
            </w:r>
          </w:p>
        </w:tc>
      </w:tr>
      <w:tr>
        <w:trPr>
          <w:trHeight w:val="230"/>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6"/>
            <w:shd w:val="clear" w:color="auto" w:fill="CCEEFF"/>
          </w:tcPr>
          <w:p>
            <w:pPr>
              <w:spacing w:after="0" w:line="189" w:lineRule="exact"/>
              <w:rPr>
                <w:rFonts w:ascii="Arial" w:cs="Arial" w:eastAsia="Arial" w:hAnsi="Arial"/>
                <w:sz w:val="18"/>
                <w:szCs w:val="18"/>
                <w:color w:val="0000FF"/>
              </w:rPr>
            </w:pPr>
            <w:hyperlink r:id="rId164">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2020 Form of Performance-Based Restricted Stock Unit Agreement under 2020 Omnibus Incentive Plan (incorporated by</w:t>
            </w: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reference to Exhibit 10.12 to Amendment No. 1 to the Registrant’s Registration Statement on Form S-1 filed on</w:t>
            </w:r>
          </w:p>
        </w:tc>
      </w:tr>
      <w:tr>
        <w:trPr>
          <w:trHeight w:val="230"/>
        </w:trPr>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23, 2020).</w:t>
            </w:r>
          </w:p>
        </w:tc>
      </w:tr>
      <w:tr>
        <w:trPr>
          <w:trHeight w:val="189"/>
        </w:trPr>
        <w:tc>
          <w:tcPr>
            <w:tcW w:w="20" w:type="dxa"/>
            <w:vAlign w:val="bottom"/>
          </w:tcPr>
          <w:p>
            <w:pPr>
              <w:spacing w:after="0"/>
              <w:rPr>
                <w:sz w:val="16"/>
                <w:szCs w:val="16"/>
                <w:color w:val="auto"/>
              </w:rPr>
            </w:pPr>
          </w:p>
        </w:tc>
        <w:tc>
          <w:tcPr>
            <w:tcW w:w="2400" w:type="dxa"/>
            <w:vAlign w:val="bottom"/>
            <w:gridSpan w:val="6"/>
          </w:tcPr>
          <w:p>
            <w:pPr>
              <w:spacing w:after="0" w:line="189" w:lineRule="exact"/>
              <w:rPr>
                <w:rFonts w:ascii="Arial" w:cs="Arial" w:eastAsia="Arial" w:hAnsi="Arial"/>
                <w:sz w:val="18"/>
                <w:szCs w:val="18"/>
                <w:color w:val="0000FF"/>
              </w:rPr>
            </w:pPr>
            <w:hyperlink r:id="rId165">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6"/>
              </w:rPr>
              <w:t>2021 Form of Performance-Based Restricted Stock Unit Agreement under the 2020 Omnibus Incentive Plan. Plan</w:t>
            </w: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w w:val="96"/>
              </w:rPr>
              <w:t>(incorporated by reference to Exhibit 10.19 to the Registrant’s Annual Report on Form 10-K filed on April 7, 2021).</w:t>
            </w:r>
          </w:p>
        </w:tc>
      </w:tr>
      <w:tr>
        <w:trPr>
          <w:trHeight w:val="60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8"/>
                <w:szCs w:val="18"/>
                <w:color w:val="auto"/>
              </w:rPr>
              <w:t>107</w:t>
            </w:r>
          </w:p>
        </w:tc>
      </w:tr>
      <w:tr>
        <w:trPr>
          <w:trHeight w:val="35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2300" w:type="dxa"/>
            <w:vAlign w:val="bottom"/>
            <w:tcBorders>
              <w:top w:val="single" w:sz="8" w:color="auto"/>
            </w:tcBorders>
            <w:gridSpan w:val="2"/>
            <w:shd w:val="clear" w:color="auto" w:fill="CCEEFF"/>
          </w:tcPr>
          <w:p>
            <w:pPr>
              <w:spacing w:after="0" w:line="182" w:lineRule="exact"/>
              <w:rPr>
                <w:rFonts w:ascii="Arial" w:cs="Arial" w:eastAsia="Arial" w:hAnsi="Arial"/>
                <w:sz w:val="18"/>
                <w:szCs w:val="18"/>
                <w:color w:val="0000FF"/>
              </w:rPr>
            </w:pPr>
            <w:hyperlink r:id="rId168">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2"/>
              </w:rPr>
              <w:t>2011 Unit Incentive Plan (incorporated by reference to Exhibit 10.13 to the Registrant’s Registration Statement on Form</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69">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2020 CEO Option Agreement under 2011 Unit Incentive Plan (incorporated by reference to Exhibit 10.14 to the</w:t>
            </w:r>
          </w:p>
        </w:tc>
      </w:tr>
      <w:tr>
        <w:trPr>
          <w:trHeight w:val="196"/>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0">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2020 Executive Option Agreement under 2011 Unit Incentive Plan (incorporated by reference to Exhibit 10.15</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1">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2019 CEO Option Agreement under 2011 Unit Incentive Plan (incorporated by reference to Exhibit 10.16 to the</w:t>
            </w:r>
          </w:p>
        </w:tc>
      </w:tr>
      <w:tr>
        <w:trPr>
          <w:trHeight w:val="196"/>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2">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2019 Executive Option Agreement under 2011 Unit Incentive Plan (incorporated by reference to Exhibit 10.17</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3">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2018 CEO Option Agreement under 2011 Unit Incentive Plan (incorporated by reference to Exhibit 10.18 to the</w:t>
            </w:r>
          </w:p>
        </w:tc>
      </w:tr>
      <w:tr>
        <w:trPr>
          <w:trHeight w:val="196"/>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4">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2018 Executive Option Agreement under 2011 Unit Incentive Plan (incorporated by reference to Exhibit 10.19</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5">
              <w:r>
                <w:rPr>
                  <w:rFonts w:ascii="Arial" w:cs="Arial" w:eastAsia="Arial" w:hAnsi="Arial"/>
                  <w:sz w:val="18"/>
                  <w:szCs w:val="18"/>
                  <w:color w:val="0000FF"/>
                </w:rPr>
                <w:t>10.</w:t>
              </w:r>
              <w:r>
                <w:rPr>
                  <w:rFonts w:ascii="Arial" w:cs="Arial" w:eastAsia="Arial" w:hAnsi="Arial"/>
                  <w:sz w:val="18"/>
                  <w:szCs w:val="18"/>
                  <w:u w:val="single" w:color="auto"/>
                  <w:color w:val="0000FF"/>
                </w:rPr>
                <w:t>30†</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4"/>
              </w:rPr>
              <w:t>Form of 2018 Non Executive Option Agreement under 2011 Unit Incentive Plan (incorporated by reference to Exhibit</w:t>
            </w:r>
          </w:p>
        </w:tc>
      </w:tr>
      <w:tr>
        <w:trPr>
          <w:trHeight w:val="196"/>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10.27 to the Registrant’s Annual Report on Form 10-K filed on April 7, 2021).</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6">
              <w:r>
                <w:rPr>
                  <w:rFonts w:ascii="Arial" w:cs="Arial" w:eastAsia="Arial" w:hAnsi="Arial"/>
                  <w:sz w:val="18"/>
                  <w:szCs w:val="18"/>
                  <w:color w:val="0000FF"/>
                </w:rPr>
                <w:t>10.</w:t>
              </w:r>
              <w:r>
                <w:rPr>
                  <w:rFonts w:ascii="Arial" w:cs="Arial" w:eastAsia="Arial" w:hAnsi="Arial"/>
                  <w:sz w:val="18"/>
                  <w:szCs w:val="18"/>
                  <w:u w:val="single" w:color="auto"/>
                  <w:color w:val="0000FF"/>
                </w:rPr>
                <w:t>31†</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2017 Executive Option Agreement under 2011 Unit Incentive Plan (incorporated by reference to Exhibit 10.20</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7">
              <w:r>
                <w:rPr>
                  <w:rFonts w:ascii="Arial" w:cs="Arial" w:eastAsia="Arial" w:hAnsi="Arial"/>
                  <w:sz w:val="18"/>
                  <w:szCs w:val="18"/>
                  <w:color w:val="0000FF"/>
                </w:rPr>
                <w:t>10.</w:t>
              </w:r>
              <w:r>
                <w:rPr>
                  <w:rFonts w:ascii="Arial" w:cs="Arial" w:eastAsia="Arial" w:hAnsi="Arial"/>
                  <w:sz w:val="18"/>
                  <w:szCs w:val="18"/>
                  <w:u w:val="single" w:color="auto"/>
                  <w:color w:val="0000FF"/>
                </w:rPr>
                <w:t>32†</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Form of 2016 Executive Option Agreement under 2011 Unit Incentive Plan (incorporated by reference to Exhibit 10.21</w:t>
            </w:r>
          </w:p>
        </w:tc>
      </w:tr>
      <w:tr>
        <w:trPr>
          <w:trHeight w:val="196"/>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78">
              <w:r>
                <w:rPr>
                  <w:rFonts w:ascii="Arial" w:cs="Arial" w:eastAsia="Arial" w:hAnsi="Arial"/>
                  <w:sz w:val="18"/>
                  <w:szCs w:val="18"/>
                  <w:color w:val="0000FF"/>
                </w:rPr>
                <w:t>10.</w:t>
              </w:r>
              <w:r>
                <w:rPr>
                  <w:rFonts w:ascii="Arial" w:cs="Arial" w:eastAsia="Arial" w:hAnsi="Arial"/>
                  <w:sz w:val="18"/>
                  <w:szCs w:val="18"/>
                  <w:u w:val="single" w:color="auto"/>
                  <w:color w:val="0000FF"/>
                </w:rPr>
                <w:t>33†</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Form of August 2020 Restricted Unit Agreement under 2011 Unit Incentive Plan (incorporated by reference to Exhibit</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10.22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79">
              <w:r>
                <w:rPr>
                  <w:rFonts w:ascii="Arial" w:cs="Arial" w:eastAsia="Arial" w:hAnsi="Arial"/>
                  <w:sz w:val="18"/>
                  <w:szCs w:val="18"/>
                  <w:color w:val="0000FF"/>
                </w:rPr>
                <w:t>10.</w:t>
              </w:r>
              <w:r>
                <w:rPr>
                  <w:rFonts w:ascii="Arial" w:cs="Arial" w:eastAsia="Arial" w:hAnsi="Arial"/>
                  <w:sz w:val="18"/>
                  <w:szCs w:val="18"/>
                  <w:u w:val="single" w:color="auto"/>
                  <w:color w:val="0000FF"/>
                </w:rPr>
                <w:t>34†</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6"/>
              </w:rPr>
              <w:t>Form of 2020 CEO Restricted Unit Agreement under 2011 Unit Incentive Plan (incorporated by reference to Exhibit</w:t>
            </w:r>
          </w:p>
        </w:tc>
      </w:tr>
      <w:tr>
        <w:trPr>
          <w:trHeight w:val="196"/>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10.23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80">
              <w:r>
                <w:rPr>
                  <w:rFonts w:ascii="Arial" w:cs="Arial" w:eastAsia="Arial" w:hAnsi="Arial"/>
                  <w:sz w:val="18"/>
                  <w:szCs w:val="18"/>
                  <w:color w:val="0000FF"/>
                </w:rPr>
                <w:t>10.</w:t>
              </w:r>
              <w:r>
                <w:rPr>
                  <w:rFonts w:ascii="Arial" w:cs="Arial" w:eastAsia="Arial" w:hAnsi="Arial"/>
                  <w:sz w:val="18"/>
                  <w:szCs w:val="18"/>
                  <w:u w:val="single" w:color="auto"/>
                  <w:color w:val="0000FF"/>
                </w:rPr>
                <w:t>35†</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2020 Executive Restricted Unit Agreement under 2011 Unit Incentive Plan (incorporated by reference to Exhibit</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10.24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81">
              <w:r>
                <w:rPr>
                  <w:rFonts w:ascii="Arial" w:cs="Arial" w:eastAsia="Arial" w:hAnsi="Arial"/>
                  <w:sz w:val="18"/>
                  <w:szCs w:val="18"/>
                  <w:color w:val="0000FF"/>
                </w:rPr>
                <w:t>10.</w:t>
              </w:r>
              <w:r>
                <w:rPr>
                  <w:rFonts w:ascii="Arial" w:cs="Arial" w:eastAsia="Arial" w:hAnsi="Arial"/>
                  <w:sz w:val="18"/>
                  <w:szCs w:val="18"/>
                  <w:u w:val="single" w:color="auto"/>
                  <w:color w:val="0000FF"/>
                </w:rPr>
                <w:t>36†</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Form of 2019 Executive Restricted Unit Agreement under 2011 Unit Incentive Plan (incorporated by reference to Exhibit</w:t>
            </w:r>
          </w:p>
        </w:tc>
      </w:tr>
      <w:tr>
        <w:trPr>
          <w:trHeight w:val="196"/>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10.25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82">
              <w:r>
                <w:rPr>
                  <w:rFonts w:ascii="Arial" w:cs="Arial" w:eastAsia="Arial" w:hAnsi="Arial"/>
                  <w:sz w:val="18"/>
                  <w:szCs w:val="18"/>
                  <w:color w:val="0000FF"/>
                </w:rPr>
                <w:t>10.</w:t>
              </w:r>
              <w:r>
                <w:rPr>
                  <w:rFonts w:ascii="Arial" w:cs="Arial" w:eastAsia="Arial" w:hAnsi="Arial"/>
                  <w:sz w:val="18"/>
                  <w:szCs w:val="18"/>
                  <w:u w:val="single" w:color="auto"/>
                  <w:color w:val="0000FF"/>
                </w:rPr>
                <w:t>37†</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2018 CEO Restricted Unit Agreement under 2011 Unit Incentive Plan (as amended) (incorporated by reference</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 Exhibit 10.26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83">
              <w:r>
                <w:rPr>
                  <w:rFonts w:ascii="Arial" w:cs="Arial" w:eastAsia="Arial" w:hAnsi="Arial"/>
                  <w:sz w:val="18"/>
                  <w:szCs w:val="18"/>
                  <w:color w:val="0000FF"/>
                </w:rPr>
                <w:t>10.</w:t>
              </w:r>
              <w:r>
                <w:rPr>
                  <w:rFonts w:ascii="Arial" w:cs="Arial" w:eastAsia="Arial" w:hAnsi="Arial"/>
                  <w:sz w:val="18"/>
                  <w:szCs w:val="18"/>
                  <w:u w:val="single" w:color="auto"/>
                  <w:color w:val="0000FF"/>
                </w:rPr>
                <w:t>38†</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Form of Independent Non-Employee Director Restricted Unit Agreement under 2011 Unit Incentive Plan (incorporated</w:t>
            </w:r>
          </w:p>
        </w:tc>
      </w:tr>
      <w:tr>
        <w:trPr>
          <w:trHeight w:val="196"/>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w w:val="96"/>
              </w:rPr>
              <w:t>by reference to Exhibit 10.27 to the 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84">
              <w:r>
                <w:rPr>
                  <w:rFonts w:ascii="Arial" w:cs="Arial" w:eastAsia="Arial" w:hAnsi="Arial"/>
                  <w:sz w:val="18"/>
                  <w:szCs w:val="18"/>
                  <w:color w:val="0000FF"/>
                </w:rPr>
                <w:t>10.</w:t>
              </w:r>
              <w:r>
                <w:rPr>
                  <w:rFonts w:ascii="Arial" w:cs="Arial" w:eastAsia="Arial" w:hAnsi="Arial"/>
                  <w:sz w:val="18"/>
                  <w:szCs w:val="18"/>
                  <w:u w:val="single" w:color="auto"/>
                  <w:color w:val="0000FF"/>
                </w:rPr>
                <w:t>39†</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2"/>
              </w:rPr>
              <w:t>Form of 2018 Executive Restricted Unit Agreement under 2011 Unit Incentive Plan (incorporated by reference to Exhibit</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10.28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85">
              <w:r>
                <w:rPr>
                  <w:rFonts w:ascii="Arial" w:cs="Arial" w:eastAsia="Arial" w:hAnsi="Arial"/>
                  <w:sz w:val="18"/>
                  <w:szCs w:val="18"/>
                  <w:color w:val="0000FF"/>
                </w:rPr>
                <w:t>10.</w:t>
              </w:r>
              <w:r>
                <w:rPr>
                  <w:rFonts w:ascii="Arial" w:cs="Arial" w:eastAsia="Arial" w:hAnsi="Arial"/>
                  <w:sz w:val="18"/>
                  <w:szCs w:val="18"/>
                  <w:u w:val="single" w:color="auto"/>
                  <w:color w:val="0000FF"/>
                </w:rPr>
                <w:t>40†</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9"/>
              </w:rPr>
              <w:t>Ken C. Hicks Employment Agreement, dated August 2, 2018 (incorporated by reference to Exhibit 10.29 to the</w:t>
            </w:r>
          </w:p>
        </w:tc>
      </w:tr>
      <w:tr>
        <w:trPr>
          <w:trHeight w:val="196"/>
        </w:trPr>
        <w:tc>
          <w:tcPr>
            <w:tcW w:w="2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3"/>
            <w:shd w:val="clear" w:color="auto" w:fill="CCEEFF"/>
          </w:tcPr>
          <w:p>
            <w:pPr>
              <w:spacing w:after="0" w:line="189" w:lineRule="exact"/>
              <w:rPr>
                <w:rFonts w:ascii="Arial" w:cs="Arial" w:eastAsia="Arial" w:hAnsi="Arial"/>
                <w:sz w:val="18"/>
                <w:szCs w:val="18"/>
                <w:color w:val="0000FF"/>
              </w:rPr>
            </w:pPr>
            <w:hyperlink r:id="rId186">
              <w:r>
                <w:rPr>
                  <w:rFonts w:ascii="Arial" w:cs="Arial" w:eastAsia="Arial" w:hAnsi="Arial"/>
                  <w:sz w:val="18"/>
                  <w:szCs w:val="18"/>
                  <w:color w:val="0000FF"/>
                </w:rPr>
                <w:t>10.</w:t>
              </w:r>
              <w:r>
                <w:rPr>
                  <w:rFonts w:ascii="Arial" w:cs="Arial" w:eastAsia="Arial" w:hAnsi="Arial"/>
                  <w:sz w:val="18"/>
                  <w:szCs w:val="18"/>
                  <w:u w:val="single" w:color="auto"/>
                  <w:color w:val="0000FF"/>
                </w:rPr>
                <w:t>41†</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1"/>
              </w:rPr>
              <w:t>Michael P. Mullican Employment Agreement, dated January 6, 2017 and amended on December 21, 2017 (incorporated</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96"/>
              </w:rPr>
              <w:t>by reference to Exhibit 10.30 to 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3"/>
          </w:tcPr>
          <w:p>
            <w:pPr>
              <w:spacing w:after="0" w:line="189" w:lineRule="exact"/>
              <w:rPr>
                <w:rFonts w:ascii="Arial" w:cs="Arial" w:eastAsia="Arial" w:hAnsi="Arial"/>
                <w:sz w:val="18"/>
                <w:szCs w:val="18"/>
                <w:color w:val="0000FF"/>
              </w:rPr>
            </w:pPr>
            <w:hyperlink r:id="rId187">
              <w:r>
                <w:rPr>
                  <w:rFonts w:ascii="Arial" w:cs="Arial" w:eastAsia="Arial" w:hAnsi="Arial"/>
                  <w:sz w:val="18"/>
                  <w:szCs w:val="18"/>
                  <w:color w:val="0000FF"/>
                </w:rPr>
                <w:t>10.</w:t>
              </w:r>
              <w:r>
                <w:rPr>
                  <w:rFonts w:ascii="Arial" w:cs="Arial" w:eastAsia="Arial" w:hAnsi="Arial"/>
                  <w:sz w:val="18"/>
                  <w:szCs w:val="18"/>
                  <w:u w:val="single" w:color="auto"/>
                  <w:color w:val="0000FF"/>
                </w:rPr>
                <w:t>42†</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0"/>
              </w:rPr>
              <w:t>Steven (Steve) P. Lawrence Employment Agreement, dated January 29, 2019 (incorporated by reference to Exhibit 10.31</w:t>
            </w:r>
          </w:p>
        </w:tc>
      </w:tr>
      <w:tr>
        <w:trPr>
          <w:trHeight w:val="210"/>
        </w:trPr>
        <w:tc>
          <w:tcPr>
            <w:tcW w:w="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to the Registrant’s Registration Statement on Form S-1 filed on September 23, 2020).</w:t>
            </w:r>
          </w:p>
        </w:tc>
      </w:tr>
      <w:tr>
        <w:trPr>
          <w:trHeight w:val="607"/>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20" w:type="dxa"/>
            <w:vAlign w:val="bottom"/>
          </w:tcPr>
          <w:p>
            <w:pPr>
              <w:ind w:left="3160"/>
              <w:spacing w:after="0"/>
              <w:rPr>
                <w:sz w:val="20"/>
                <w:szCs w:val="20"/>
                <w:color w:val="auto"/>
              </w:rPr>
            </w:pPr>
            <w:r>
              <w:rPr>
                <w:rFonts w:ascii="Arial" w:cs="Arial" w:eastAsia="Arial" w:hAnsi="Arial"/>
                <w:sz w:val="18"/>
                <w:szCs w:val="18"/>
                <w:color w:val="auto"/>
              </w:rPr>
              <w:t>108</w:t>
            </w:r>
          </w:p>
        </w:tc>
      </w:tr>
      <w:tr>
        <w:trPr>
          <w:trHeight w:val="358"/>
        </w:trPr>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00" w:type="dxa"/>
            <w:vAlign w:val="bottom"/>
            <w:gridSpan w:val="4"/>
          </w:tcPr>
          <w:p>
            <w:pPr>
              <w:spacing w:after="0"/>
              <w:rPr>
                <w:sz w:val="20"/>
                <w:szCs w:val="20"/>
                <w:color w:val="auto"/>
              </w:rPr>
            </w:pPr>
            <w:r>
              <w:rPr>
                <w:rFonts w:ascii="Arial" w:cs="Arial" w:eastAsia="Arial" w:hAnsi="Arial"/>
                <w:sz w:val="18"/>
                <w:szCs w:val="18"/>
                <w:b w:val="1"/>
                <w:bCs w:val="1"/>
                <w:color w:val="auto"/>
              </w:rPr>
              <w:t>Exhibit Number</w:t>
            </w:r>
          </w:p>
        </w:tc>
        <w:tc>
          <w:tcPr>
            <w:tcW w:w="8820" w:type="dxa"/>
            <w:vAlign w:val="bottom"/>
          </w:tcPr>
          <w:p>
            <w:pPr>
              <w:ind w:left="3560"/>
              <w:spacing w:after="0"/>
              <w:rPr>
                <w:sz w:val="20"/>
                <w:szCs w:val="20"/>
                <w:color w:val="auto"/>
              </w:rPr>
            </w:pPr>
            <w:r>
              <w:rPr>
                <w:rFonts w:ascii="Arial" w:cs="Arial" w:eastAsia="Arial" w:hAnsi="Arial"/>
                <w:sz w:val="18"/>
                <w:szCs w:val="18"/>
                <w:b w:val="1"/>
                <w:bCs w:val="1"/>
                <w:color w:val="auto"/>
              </w:rPr>
              <w:t>Description of Exhibit</w:t>
            </w:r>
          </w:p>
        </w:tc>
      </w:t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2300" w:type="dxa"/>
            <w:vAlign w:val="bottom"/>
            <w:tcBorders>
              <w:top w:val="single" w:sz="8" w:color="auto"/>
            </w:tcBorders>
            <w:gridSpan w:val="3"/>
            <w:shd w:val="clear" w:color="auto" w:fill="CCEEFF"/>
          </w:tcPr>
          <w:p>
            <w:pPr>
              <w:spacing w:after="0" w:line="182" w:lineRule="exact"/>
              <w:rPr>
                <w:rFonts w:ascii="Arial" w:cs="Arial" w:eastAsia="Arial" w:hAnsi="Arial"/>
                <w:sz w:val="18"/>
                <w:szCs w:val="18"/>
                <w:color w:val="0000FF"/>
              </w:rPr>
            </w:pPr>
            <w:hyperlink r:id="rId190">
              <w:r>
                <w:rPr>
                  <w:rFonts w:ascii="Arial" w:cs="Arial" w:eastAsia="Arial" w:hAnsi="Arial"/>
                  <w:sz w:val="18"/>
                  <w:szCs w:val="18"/>
                  <w:color w:val="0000FF"/>
                </w:rPr>
                <w:t>10.</w:t>
              </w:r>
              <w:r>
                <w:rPr>
                  <w:rFonts w:ascii="Arial" w:cs="Arial" w:eastAsia="Arial" w:hAnsi="Arial"/>
                  <w:sz w:val="18"/>
                  <w:szCs w:val="18"/>
                  <w:u w:val="single" w:color="auto"/>
                  <w:color w:val="0000FF"/>
                </w:rPr>
                <w:t>43†</w:t>
              </w:r>
            </w:hyperlink>
          </w:p>
        </w:tc>
        <w:tc>
          <w:tcPr>
            <w:tcW w:w="100" w:type="dxa"/>
            <w:vAlign w:val="bottom"/>
            <w:tcBorders>
              <w:top w:val="single" w:sz="8" w:color="CCEEFF"/>
            </w:tcBorders>
            <w:shd w:val="clear" w:color="auto" w:fill="CCEEFF"/>
          </w:tcPr>
          <w:p>
            <w:pPr>
              <w:spacing w:after="0"/>
              <w:rPr>
                <w:sz w:val="15"/>
                <w:szCs w:val="15"/>
                <w:color w:val="auto"/>
              </w:rPr>
            </w:pPr>
          </w:p>
        </w:tc>
        <w:tc>
          <w:tcPr>
            <w:tcW w:w="8820" w:type="dxa"/>
            <w:vAlign w:val="bottom"/>
            <w:tcBorders>
              <w:top w:val="single" w:sz="8" w:color="auto"/>
            </w:tcBorders>
            <w:shd w:val="clear" w:color="auto" w:fill="CCEEFF"/>
          </w:tcPr>
          <w:p>
            <w:pPr>
              <w:ind w:left="20"/>
              <w:spacing w:after="0" w:line="182" w:lineRule="exact"/>
              <w:rPr>
                <w:sz w:val="20"/>
                <w:szCs w:val="20"/>
                <w:color w:val="auto"/>
              </w:rPr>
            </w:pPr>
            <w:r>
              <w:rPr>
                <w:rFonts w:ascii="Arial" w:cs="Arial" w:eastAsia="Arial" w:hAnsi="Arial"/>
                <w:sz w:val="18"/>
                <w:szCs w:val="18"/>
                <w:color w:val="auto"/>
                <w:w w:val="93"/>
              </w:rPr>
              <w:t>Samuel (Sam) J. Johnson Employment Agreement, dated April 17, 2017 (incorporated by reference to Exhibit 10.32 to</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the Registrant’s Registration Statement on Form S-1 filed on September 23, 2020).</w:t>
            </w:r>
          </w:p>
        </w:tc>
      </w:tr>
      <w:tr>
        <w:trPr>
          <w:trHeight w:val="189"/>
        </w:trPr>
        <w:tc>
          <w:tcPr>
            <w:tcW w:w="20" w:type="dxa"/>
            <w:vAlign w:val="bottom"/>
          </w:tcPr>
          <w:p>
            <w:pPr>
              <w:spacing w:after="0"/>
              <w:rPr>
                <w:sz w:val="16"/>
                <w:szCs w:val="16"/>
                <w:color w:val="auto"/>
              </w:rPr>
            </w:pPr>
          </w:p>
        </w:tc>
        <w:tc>
          <w:tcPr>
            <w:tcW w:w="2400" w:type="dxa"/>
            <w:vAlign w:val="bottom"/>
            <w:gridSpan w:val="4"/>
          </w:tcPr>
          <w:p>
            <w:pPr>
              <w:spacing w:after="0" w:line="189" w:lineRule="exact"/>
              <w:rPr>
                <w:rFonts w:ascii="Arial" w:cs="Arial" w:eastAsia="Arial" w:hAnsi="Arial"/>
                <w:sz w:val="18"/>
                <w:szCs w:val="18"/>
                <w:color w:val="0000FF"/>
              </w:rPr>
            </w:pPr>
            <w:hyperlink r:id="rId191">
              <w:r>
                <w:rPr>
                  <w:rFonts w:ascii="Arial" w:cs="Arial" w:eastAsia="Arial" w:hAnsi="Arial"/>
                  <w:sz w:val="18"/>
                  <w:szCs w:val="18"/>
                  <w:color w:val="0000FF"/>
                </w:rPr>
                <w:t>10.</w:t>
              </w:r>
              <w:r>
                <w:rPr>
                  <w:rFonts w:ascii="Arial" w:cs="Arial" w:eastAsia="Arial" w:hAnsi="Arial"/>
                  <w:sz w:val="18"/>
                  <w:szCs w:val="18"/>
                  <w:u w:val="single" w:color="auto"/>
                  <w:color w:val="0000FF"/>
                </w:rPr>
                <w:t>44†</w:t>
              </w:r>
            </w:hyperlink>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2"/>
              </w:rPr>
              <w:t>Jamey Traywick Rutherford Employment Agreement, dated October 1, 2018 (incorporated by reference to Exhibit 10.41</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to the Registrant’s Annual Report on Form 10-K filed on April 7, 2021).</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spacing w:after="0" w:line="189" w:lineRule="exact"/>
              <w:rPr>
                <w:rFonts w:ascii="Arial" w:cs="Arial" w:eastAsia="Arial" w:hAnsi="Arial"/>
                <w:sz w:val="18"/>
                <w:szCs w:val="18"/>
                <w:color w:val="0000FF"/>
              </w:rPr>
            </w:pPr>
            <w:hyperlink r:id="rId192">
              <w:r>
                <w:rPr>
                  <w:rFonts w:ascii="Arial" w:cs="Arial" w:eastAsia="Arial" w:hAnsi="Arial"/>
                  <w:sz w:val="18"/>
                  <w:szCs w:val="18"/>
                  <w:color w:val="0000FF"/>
                </w:rPr>
                <w:t>10.</w:t>
              </w:r>
              <w:r>
                <w:rPr>
                  <w:rFonts w:ascii="Arial" w:cs="Arial" w:eastAsia="Arial" w:hAnsi="Arial"/>
                  <w:sz w:val="18"/>
                  <w:szCs w:val="18"/>
                  <w:u w:val="single" w:color="auto"/>
                  <w:color w:val="0000FF"/>
                </w:rPr>
                <w:t>45†</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Form of 2020 Employee Stock Purchase Plan (incorporated by reference to Exhibit 10.34 to Amendment No. 1 to the</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Registrant’s Registration Statement on Form S-1 filed on September 23, 2020).</w:t>
            </w:r>
          </w:p>
        </w:tc>
      </w:tr>
      <w:tr>
        <w:trPr>
          <w:trHeight w:val="189"/>
        </w:trPr>
        <w:tc>
          <w:tcPr>
            <w:tcW w:w="520" w:type="dxa"/>
            <w:vAlign w:val="bottom"/>
            <w:gridSpan w:val="3"/>
          </w:tcPr>
          <w:p>
            <w:pPr>
              <w:ind w:left="20"/>
              <w:spacing w:after="0" w:line="189" w:lineRule="exact"/>
              <w:rPr>
                <w:rFonts w:ascii="Arial" w:cs="Arial" w:eastAsia="Arial" w:hAnsi="Arial"/>
                <w:sz w:val="18"/>
                <w:szCs w:val="18"/>
                <w:color w:val="0000FF"/>
              </w:rPr>
            </w:pPr>
            <w:hyperlink r:id="rId193">
              <w:r>
                <w:rPr>
                  <w:rFonts w:ascii="Arial" w:cs="Arial" w:eastAsia="Arial" w:hAnsi="Arial"/>
                  <w:sz w:val="18"/>
                  <w:szCs w:val="18"/>
                  <w:color w:val="0000FF"/>
                </w:rPr>
                <w:t>10.</w:t>
              </w:r>
              <w:r>
                <w:rPr>
                  <w:rFonts w:ascii="Arial" w:cs="Arial" w:eastAsia="Arial" w:hAnsi="Arial"/>
                  <w:sz w:val="18"/>
                  <w:szCs w:val="18"/>
                  <w:u w:val="single" w:color="auto"/>
                  <w:color w:val="0000FF"/>
                </w:rPr>
                <w:t>46</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5"/>
              </w:rPr>
              <w:t>Stockholders Agreement, dated as of October 6, 2020, by and among the Registrant, Allstar LLC, KKR 2006 Allstar</w:t>
            </w:r>
          </w:p>
        </w:tc>
      </w:tr>
      <w:tr>
        <w:trPr>
          <w:trHeight w:val="142"/>
        </w:trPr>
        <w:tc>
          <w:tcPr>
            <w:tcW w:w="20" w:type="dxa"/>
            <w:vAlign w:val="bottom"/>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20" w:type="dxa"/>
            <w:vAlign w:val="bottom"/>
          </w:tcPr>
          <w:p>
            <w:pPr>
              <w:ind w:left="20"/>
              <w:spacing w:after="0" w:line="142" w:lineRule="exact"/>
              <w:rPr>
                <w:sz w:val="20"/>
                <w:szCs w:val="20"/>
                <w:color w:val="auto"/>
              </w:rPr>
            </w:pPr>
            <w:r>
              <w:rPr>
                <w:rFonts w:ascii="Arial" w:cs="Arial" w:eastAsia="Arial" w:hAnsi="Arial"/>
                <w:sz w:val="16"/>
                <w:szCs w:val="16"/>
                <w:color w:val="auto"/>
              </w:rPr>
              <w:t>Blocker L.P. and Allstar Co-Invest Blocker L.P. (incorporated by reference to Exhibit 10.1 to the Registrant’s Current</w:t>
            </w:r>
          </w:p>
        </w:tc>
      </w:tr>
      <w:tr>
        <w:trPr>
          <w:trHeight w:val="229"/>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Report on Form 8-K filed on October 6, 2020).</w:t>
            </w:r>
          </w:p>
        </w:tc>
      </w:tr>
      <w:tr>
        <w:trPr>
          <w:trHeight w:val="189"/>
        </w:trPr>
        <w:tc>
          <w:tcPr>
            <w:tcW w:w="20" w:type="dxa"/>
            <w:vAlign w:val="bottom"/>
            <w:shd w:val="clear" w:color="auto" w:fill="CCEEFF"/>
          </w:tcPr>
          <w:p>
            <w:pPr>
              <w:spacing w:after="0"/>
              <w:rPr>
                <w:sz w:val="16"/>
                <w:szCs w:val="16"/>
                <w:color w:val="auto"/>
              </w:rPr>
            </w:pPr>
          </w:p>
        </w:tc>
        <w:tc>
          <w:tcPr>
            <w:tcW w:w="2400" w:type="dxa"/>
            <w:vAlign w:val="bottom"/>
            <w:gridSpan w:val="4"/>
            <w:shd w:val="clear" w:color="auto" w:fill="CCEEFF"/>
          </w:tcPr>
          <w:p>
            <w:pPr>
              <w:spacing w:after="0" w:line="189" w:lineRule="exact"/>
              <w:rPr>
                <w:rFonts w:ascii="Arial" w:cs="Arial" w:eastAsia="Arial" w:hAnsi="Arial"/>
                <w:sz w:val="18"/>
                <w:szCs w:val="18"/>
                <w:color w:val="0000FF"/>
              </w:rPr>
            </w:pPr>
            <w:hyperlink r:id="rId194">
              <w:r>
                <w:rPr>
                  <w:rFonts w:ascii="Arial" w:cs="Arial" w:eastAsia="Arial" w:hAnsi="Arial"/>
                  <w:sz w:val="18"/>
                  <w:szCs w:val="18"/>
                  <w:color w:val="0000FF"/>
                </w:rPr>
                <w:t>10.</w:t>
              </w:r>
              <w:r>
                <w:rPr>
                  <w:rFonts w:ascii="Arial" w:cs="Arial" w:eastAsia="Arial" w:hAnsi="Arial"/>
                  <w:sz w:val="18"/>
                  <w:szCs w:val="18"/>
                  <w:u w:val="single" w:color="auto"/>
                  <w:color w:val="0000FF"/>
                </w:rPr>
                <w:t>47†</w:t>
              </w:r>
            </w:hyperlink>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Form of Director and Officer Indemnification Agreement (incorporated by reference to Exhibit 10.37 to Amendment No.</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1 to the Registrant’s Registration Statement on Form S-1 filed on September 23, 2020).</w:t>
            </w:r>
          </w:p>
        </w:tc>
      </w:tr>
      <w:tr>
        <w:trPr>
          <w:trHeight w:val="189"/>
        </w:trPr>
        <w:tc>
          <w:tcPr>
            <w:tcW w:w="520" w:type="dxa"/>
            <w:vAlign w:val="bottom"/>
            <w:gridSpan w:val="3"/>
          </w:tcPr>
          <w:p>
            <w:pPr>
              <w:ind w:left="20"/>
              <w:spacing w:after="0" w:line="189" w:lineRule="exact"/>
              <w:rPr>
                <w:rFonts w:ascii="Arial" w:cs="Arial" w:eastAsia="Arial" w:hAnsi="Arial"/>
                <w:sz w:val="18"/>
                <w:szCs w:val="18"/>
                <w:color w:val="0000FF"/>
              </w:rPr>
            </w:pPr>
            <w:hyperlink w:anchor="page112">
              <w:r>
                <w:rPr>
                  <w:rFonts w:ascii="Arial" w:cs="Arial" w:eastAsia="Arial" w:hAnsi="Arial"/>
                  <w:sz w:val="18"/>
                  <w:szCs w:val="18"/>
                  <w:color w:val="0000FF"/>
                </w:rPr>
                <w:t>21.</w:t>
              </w:r>
              <w:r>
                <w:rPr>
                  <w:rFonts w:ascii="Arial" w:cs="Arial" w:eastAsia="Arial" w:hAnsi="Arial"/>
                  <w:sz w:val="18"/>
                  <w:szCs w:val="18"/>
                  <w:u w:val="single" w:color="auto"/>
                  <w:color w:val="0000FF"/>
                </w:rPr>
                <w:t>1*</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rPr>
              <w:t>Subsidiaries of the Registrant.</w:t>
            </w: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5"/>
              </w:rPr>
            </w:pPr>
            <w:hyperlink w:anchor="page113">
              <w:r>
                <w:rPr>
                  <w:rFonts w:ascii="Arial" w:cs="Arial" w:eastAsia="Arial" w:hAnsi="Arial"/>
                  <w:sz w:val="18"/>
                  <w:szCs w:val="18"/>
                  <w:color w:val="0000FF"/>
                  <w:w w:val="95"/>
                </w:rPr>
                <w:t>23.</w:t>
              </w:r>
              <w:r>
                <w:rPr>
                  <w:rFonts w:ascii="Arial" w:cs="Arial" w:eastAsia="Arial" w:hAnsi="Arial"/>
                  <w:sz w:val="18"/>
                  <w:szCs w:val="18"/>
                  <w:u w:val="single" w:color="auto"/>
                  <w:color w:val="0000FF"/>
                  <w:w w:val="95"/>
                </w:rPr>
                <w:t>1*</w:t>
              </w:r>
            </w:hyperlink>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6"/>
              </w:rPr>
              <w:t>Consent of Deloitte &amp; Touche LLP (with respect to the financial statements of Academy Sports and Outdoors, Inc.).</w:t>
            </w:r>
          </w:p>
        </w:tc>
      </w:tr>
      <w:tr>
        <w:trPr>
          <w:trHeight w:val="189"/>
        </w:trPr>
        <w:tc>
          <w:tcPr>
            <w:tcW w:w="520" w:type="dxa"/>
            <w:vAlign w:val="bottom"/>
            <w:gridSpan w:val="3"/>
          </w:tcPr>
          <w:p>
            <w:pPr>
              <w:ind w:left="20"/>
              <w:spacing w:after="0" w:line="189" w:lineRule="exact"/>
              <w:rPr>
                <w:rFonts w:ascii="Arial" w:cs="Arial" w:eastAsia="Arial" w:hAnsi="Arial"/>
                <w:sz w:val="18"/>
                <w:szCs w:val="18"/>
                <w:color w:val="0000FF"/>
              </w:rPr>
            </w:pPr>
            <w:hyperlink w:anchor="page11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8"/>
              </w:rPr>
              <w:t>Certification of Periodic Report by Chief Executive Officer under Section 302 of the Sarbanes-Oxley Act of 2002.</w:t>
            </w:r>
          </w:p>
        </w:tc>
      </w:tr>
      <w:tr>
        <w:trPr>
          <w:trHeight w:val="20"/>
        </w:trPr>
        <w:tc>
          <w:tcPr>
            <w:tcW w:w="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0000FF"/>
            </w:tcBorders>
            <w:shd w:val="clear" w:color="auto" w:fill="CCEEFF"/>
          </w:tcPr>
          <w:p>
            <w:pPr>
              <w:spacing w:after="0" w:line="189" w:lineRule="exact"/>
              <w:rPr>
                <w:rFonts w:ascii="Arial" w:cs="Arial" w:eastAsia="Arial" w:hAnsi="Arial"/>
                <w:sz w:val="18"/>
                <w:szCs w:val="18"/>
                <w:color w:val="0000FF"/>
                <w:w w:val="95"/>
              </w:rPr>
            </w:pPr>
            <w:hyperlink w:anchor="page115">
              <w:r>
                <w:rPr>
                  <w:rFonts w:ascii="Arial" w:cs="Arial" w:eastAsia="Arial" w:hAnsi="Arial"/>
                  <w:sz w:val="18"/>
                  <w:szCs w:val="18"/>
                  <w:color w:val="0000FF"/>
                  <w:w w:val="95"/>
                </w:rPr>
                <w:t>31.</w:t>
              </w:r>
              <w:r>
                <w:rPr>
                  <w:rFonts w:ascii="Arial" w:cs="Arial" w:eastAsia="Arial" w:hAnsi="Arial"/>
                  <w:sz w:val="18"/>
                  <w:szCs w:val="18"/>
                  <w:u w:val="single" w:color="auto"/>
                  <w:color w:val="0000FF"/>
                  <w:w w:val="95"/>
                </w:rPr>
                <w:t>2*</w:t>
              </w:r>
            </w:hyperlink>
          </w:p>
        </w:tc>
        <w:tc>
          <w:tcPr>
            <w:tcW w:w="8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2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Certification of Periodic Report by Chief Financial Officer under Section 302 of the Sarbanes-Oxley Act of 2002.</w:t>
            </w:r>
          </w:p>
        </w:tc>
      </w:tr>
      <w:tr>
        <w:trPr>
          <w:trHeight w:val="189"/>
        </w:trPr>
        <w:tc>
          <w:tcPr>
            <w:tcW w:w="2320" w:type="dxa"/>
            <w:vAlign w:val="bottom"/>
            <w:gridSpan w:val="4"/>
          </w:tcPr>
          <w:p>
            <w:pPr>
              <w:ind w:left="20"/>
              <w:spacing w:after="0" w:line="189" w:lineRule="exact"/>
              <w:rPr>
                <w:rFonts w:ascii="Arial" w:cs="Arial" w:eastAsia="Arial" w:hAnsi="Arial"/>
                <w:sz w:val="18"/>
                <w:szCs w:val="18"/>
                <w:color w:val="0000FF"/>
              </w:rPr>
            </w:pPr>
            <w:hyperlink w:anchor="page116">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0" w:type="dxa"/>
            <w:vAlign w:val="bottom"/>
          </w:tcPr>
          <w:p>
            <w:pPr>
              <w:spacing w:after="0"/>
              <w:rPr>
                <w:sz w:val="16"/>
                <w:szCs w:val="16"/>
                <w:color w:val="auto"/>
              </w:rPr>
            </w:pPr>
          </w:p>
        </w:tc>
        <w:tc>
          <w:tcPr>
            <w:tcW w:w="8820" w:type="dxa"/>
            <w:vAlign w:val="bottom"/>
          </w:tcPr>
          <w:p>
            <w:pPr>
              <w:ind w:left="20"/>
              <w:spacing w:after="0" w:line="189" w:lineRule="exact"/>
              <w:rPr>
                <w:sz w:val="20"/>
                <w:szCs w:val="20"/>
                <w:color w:val="auto"/>
              </w:rPr>
            </w:pPr>
            <w:r>
              <w:rPr>
                <w:rFonts w:ascii="Arial" w:cs="Arial" w:eastAsia="Arial" w:hAnsi="Arial"/>
                <w:sz w:val="18"/>
                <w:szCs w:val="18"/>
                <w:color w:val="auto"/>
                <w:w w:val="93"/>
              </w:rPr>
              <w:t>Certification of Chief Executive Officer Pursuant to 18 U.S.C. Section 1350 as Adopted Pursuant to Section 906 of the</w:t>
            </w:r>
          </w:p>
        </w:tc>
      </w:tr>
      <w:tr>
        <w:trPr>
          <w:trHeight w:val="196"/>
        </w:trPr>
        <w:tc>
          <w:tcPr>
            <w:tcW w:w="20" w:type="dxa"/>
            <w:vAlign w:val="bottom"/>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20" w:type="dxa"/>
            <w:vAlign w:val="bottom"/>
          </w:tcPr>
          <w:p>
            <w:pPr>
              <w:ind w:left="20"/>
              <w:spacing w:after="0" w:line="196" w:lineRule="exact"/>
              <w:rPr>
                <w:sz w:val="20"/>
                <w:szCs w:val="20"/>
                <w:color w:val="auto"/>
              </w:rPr>
            </w:pPr>
            <w:r>
              <w:rPr>
                <w:rFonts w:ascii="Arial" w:cs="Arial" w:eastAsia="Arial" w:hAnsi="Arial"/>
                <w:sz w:val="18"/>
                <w:szCs w:val="18"/>
                <w:color w:val="auto"/>
              </w:rPr>
              <w:t>Sarbanes-Oxley Act of 2002.</w:t>
            </w:r>
          </w:p>
        </w:tc>
      </w:tr>
      <w:tr>
        <w:trPr>
          <w:trHeight w:val="189"/>
        </w:trPr>
        <w:tc>
          <w:tcPr>
            <w:tcW w:w="2320" w:type="dxa"/>
            <w:vAlign w:val="bottom"/>
            <w:gridSpan w:val="4"/>
            <w:shd w:val="clear" w:color="auto" w:fill="CCEEFF"/>
          </w:tcPr>
          <w:p>
            <w:pPr>
              <w:ind w:left="20"/>
              <w:spacing w:after="0" w:line="189" w:lineRule="exact"/>
              <w:rPr>
                <w:rFonts w:ascii="Arial" w:cs="Arial" w:eastAsia="Arial" w:hAnsi="Arial"/>
                <w:sz w:val="18"/>
                <w:szCs w:val="18"/>
                <w:color w:val="0000FF"/>
              </w:rPr>
            </w:pPr>
            <w:hyperlink w:anchor="page117">
              <w:r>
                <w:rPr>
                  <w:rFonts w:ascii="Arial" w:cs="Arial" w:eastAsia="Arial" w:hAnsi="Arial"/>
                  <w:sz w:val="18"/>
                  <w:szCs w:val="18"/>
                  <w:color w:val="0000FF"/>
                </w:rPr>
                <w:t>32.</w:t>
              </w:r>
              <w:r>
                <w:rPr>
                  <w:rFonts w:ascii="Arial" w:cs="Arial" w:eastAsia="Arial" w:hAnsi="Arial"/>
                  <w:sz w:val="18"/>
                  <w:szCs w:val="18"/>
                  <w:u w:val="single" w:color="auto"/>
                  <w:color w:val="0000FF"/>
                </w:rPr>
                <w:t>2**</w:t>
              </w:r>
            </w:hyperlink>
          </w:p>
        </w:tc>
        <w:tc>
          <w:tcPr>
            <w:tcW w:w="100" w:type="dxa"/>
            <w:vAlign w:val="bottom"/>
            <w:shd w:val="clear" w:color="auto" w:fill="CCEEFF"/>
          </w:tcPr>
          <w:p>
            <w:pPr>
              <w:spacing w:after="0"/>
              <w:rPr>
                <w:sz w:val="16"/>
                <w:szCs w:val="16"/>
                <w:color w:val="auto"/>
              </w:rPr>
            </w:pPr>
          </w:p>
        </w:tc>
        <w:tc>
          <w:tcPr>
            <w:tcW w:w="8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Certification of Chief Financial Officer Pursuant to 18 U.S.C. Section 1350 as Adopted Pursuant to Section 906 of the</w:t>
            </w: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Sarbanes-Oxley Act of 2002.</w:t>
            </w:r>
          </w:p>
        </w:tc>
      </w:tr>
      <w:tr>
        <w:trPr>
          <w:trHeight w:val="175"/>
        </w:trPr>
        <w:tc>
          <w:tcPr>
            <w:tcW w:w="20" w:type="dxa"/>
            <w:vAlign w:val="bottom"/>
          </w:tcPr>
          <w:p>
            <w:pPr>
              <w:spacing w:after="0"/>
              <w:rPr>
                <w:sz w:val="15"/>
                <w:szCs w:val="15"/>
                <w:color w:val="auto"/>
              </w:rPr>
            </w:pPr>
          </w:p>
        </w:tc>
        <w:tc>
          <w:tcPr>
            <w:tcW w:w="2400" w:type="dxa"/>
            <w:vAlign w:val="bottom"/>
            <w:gridSpan w:val="4"/>
          </w:tcPr>
          <w:p>
            <w:pPr>
              <w:spacing w:after="0" w:line="176" w:lineRule="exact"/>
              <w:rPr>
                <w:sz w:val="20"/>
                <w:szCs w:val="20"/>
                <w:color w:val="auto"/>
              </w:rPr>
            </w:pPr>
            <w:r>
              <w:rPr>
                <w:rFonts w:ascii="Arial" w:cs="Arial" w:eastAsia="Arial" w:hAnsi="Arial"/>
                <w:sz w:val="18"/>
                <w:szCs w:val="18"/>
                <w:color w:val="auto"/>
              </w:rPr>
              <w:t>101.INS</w:t>
            </w: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are embedded within the Inline XBRL document.</w:t>
            </w:r>
          </w:p>
        </w:tc>
      </w:tr>
      <w:tr>
        <w:trPr>
          <w:trHeight w:val="229"/>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101.SCH</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101.CAL</w:t>
            </w:r>
          </w:p>
        </w:tc>
        <w:tc>
          <w:tcPr>
            <w:tcW w:w="8820" w:type="dxa"/>
            <w:vAlign w:val="bottom"/>
          </w:tcPr>
          <w:p>
            <w:pPr>
              <w:ind w:left="20"/>
              <w:spacing w:after="0"/>
              <w:rPr>
                <w:sz w:val="20"/>
                <w:szCs w:val="20"/>
                <w:color w:val="auto"/>
              </w:rPr>
            </w:pPr>
            <w:r>
              <w:rPr>
                <w:rFonts w:ascii="Arial" w:cs="Arial" w:eastAsia="Arial" w:hAnsi="Arial"/>
                <w:sz w:val="18"/>
                <w:szCs w:val="18"/>
                <w:color w:val="auto"/>
              </w:rPr>
              <w:t>Inline XBRL Taxonomy Calculation Linkbase Document</w:t>
            </w: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101.DEF</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Definition Linkbase Document</w:t>
            </w:r>
          </w:p>
        </w:tc>
      </w:tr>
      <w:tr>
        <w:trPr>
          <w:trHeight w:val="229"/>
        </w:trPr>
        <w:tc>
          <w:tcPr>
            <w:tcW w:w="20" w:type="dxa"/>
            <w:vAlign w:val="bottom"/>
          </w:tcPr>
          <w:p>
            <w:pPr>
              <w:spacing w:after="0"/>
              <w:rPr>
                <w:sz w:val="19"/>
                <w:szCs w:val="19"/>
                <w:color w:val="auto"/>
              </w:rPr>
            </w:pPr>
          </w:p>
        </w:tc>
        <w:tc>
          <w:tcPr>
            <w:tcW w:w="2400" w:type="dxa"/>
            <w:vAlign w:val="bottom"/>
            <w:gridSpan w:val="4"/>
          </w:tcPr>
          <w:p>
            <w:pPr>
              <w:spacing w:after="0"/>
              <w:rPr>
                <w:sz w:val="20"/>
                <w:szCs w:val="20"/>
                <w:color w:val="auto"/>
              </w:rPr>
            </w:pPr>
            <w:r>
              <w:rPr>
                <w:rFonts w:ascii="Arial" w:cs="Arial" w:eastAsia="Arial" w:hAnsi="Arial"/>
                <w:sz w:val="18"/>
                <w:szCs w:val="18"/>
                <w:color w:val="auto"/>
              </w:rPr>
              <w:t>101.LAB</w:t>
            </w:r>
          </w:p>
        </w:tc>
        <w:tc>
          <w:tcPr>
            <w:tcW w:w="8820" w:type="dxa"/>
            <w:vAlign w:val="bottom"/>
          </w:tcPr>
          <w:p>
            <w:pPr>
              <w:ind w:left="20"/>
              <w:spacing w:after="0"/>
              <w:rPr>
                <w:sz w:val="20"/>
                <w:szCs w:val="20"/>
                <w:color w:val="auto"/>
              </w:rPr>
            </w:pPr>
            <w:r>
              <w:rPr>
                <w:rFonts w:ascii="Arial" w:cs="Arial" w:eastAsia="Arial" w:hAnsi="Arial"/>
                <w:sz w:val="18"/>
                <w:szCs w:val="18"/>
                <w:color w:val="auto"/>
              </w:rPr>
              <w:t>Inline XBRL Taxonomy Label Linkbase Document</w:t>
            </w: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101.PRE</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Inline XBRL Taxonomy Presentation Linkbase Document</w:t>
            </w:r>
          </w:p>
        </w:tc>
      </w:tr>
      <w:tr>
        <w:trPr>
          <w:trHeight w:val="175"/>
        </w:trPr>
        <w:tc>
          <w:tcPr>
            <w:tcW w:w="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104</w:t>
            </w: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4"/>
              </w:rPr>
              <w:t>The cover page for the Company’s Annual Report on Form 10-K for the fiscal year ended January 29, 2022 has been</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formatted in Inline XBRL.</w:t>
            </w:r>
          </w:p>
        </w:tc>
      </w:tr>
      <w:tr>
        <w:trPr>
          <w:trHeight w:val="230"/>
        </w:trPr>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Filed herewith</w:t>
            </w:r>
          </w:p>
        </w:tc>
      </w:tr>
      <w:tr>
        <w:trPr>
          <w:trHeight w:val="175"/>
        </w:trPr>
        <w:tc>
          <w:tcPr>
            <w:tcW w:w="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4"/>
              </w:rPr>
              <w:t>This certification accompanies each report pursuant to Section 906 of the Sarbanes-Oxley Act of 2002 and shall not,</w:t>
            </w: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20" w:type="dxa"/>
            <w:vAlign w:val="bottom"/>
          </w:tcPr>
          <w:p>
            <w:pPr>
              <w:ind w:left="20"/>
              <w:spacing w:after="0" w:line="176" w:lineRule="exact"/>
              <w:rPr>
                <w:sz w:val="20"/>
                <w:szCs w:val="20"/>
                <w:color w:val="auto"/>
              </w:rPr>
            </w:pPr>
            <w:r>
              <w:rPr>
                <w:rFonts w:ascii="Arial" w:cs="Arial" w:eastAsia="Arial" w:hAnsi="Arial"/>
                <w:sz w:val="18"/>
                <w:szCs w:val="18"/>
                <w:color w:val="auto"/>
                <w:w w:val="96"/>
              </w:rPr>
              <w:t>except to the extent required by the Sarbanes-Oxley Act of 2002, be deemed filed by the Company for purposes of</w:t>
            </w:r>
          </w:p>
        </w:tc>
      </w:tr>
      <w:tr>
        <w:trPr>
          <w:trHeight w:val="230"/>
        </w:trPr>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Section 18 of the Securities Exchange Act of 1934, as amended.</w:t>
            </w:r>
          </w:p>
        </w:tc>
      </w:tr>
      <w:tr>
        <w:trPr>
          <w:trHeight w:val="230"/>
        </w:trPr>
        <w:tc>
          <w:tcPr>
            <w:tcW w:w="20" w:type="dxa"/>
            <w:vAlign w:val="bottom"/>
            <w:shd w:val="clear" w:color="auto" w:fill="CCEEFF"/>
          </w:tcPr>
          <w:p>
            <w:pPr>
              <w:spacing w:after="0"/>
              <w:rPr>
                <w:sz w:val="19"/>
                <w:szCs w:val="19"/>
                <w:color w:val="auto"/>
              </w:rPr>
            </w:pPr>
          </w:p>
        </w:tc>
        <w:tc>
          <w:tcPr>
            <w:tcW w:w="24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t>
            </w:r>
          </w:p>
        </w:tc>
        <w:tc>
          <w:tcPr>
            <w:tcW w:w="8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Management contract or compensatory plan or arrangement</w:t>
            </w:r>
          </w:p>
        </w:tc>
      </w:tr>
    </w:tbl>
    <w:p>
      <w:pPr>
        <w:spacing w:after="0" w:line="200" w:lineRule="exact"/>
        <w:rPr>
          <w:sz w:val="20"/>
          <w:szCs w:val="20"/>
          <w:color w:val="auto"/>
        </w:rPr>
      </w:pPr>
    </w:p>
    <w:p>
      <w:pPr>
        <w:spacing w:after="0" w:line="3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us in these agreements or other documents were made solely within the specific context of the relevant agreement or document and may not describe the actual state of affairs as of the date they were made or at any other time.</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March 29, 2022 on its behalf by the undersigned, thereto duly authorized.</w:t>
      </w:r>
    </w:p>
    <w:p>
      <w:pPr>
        <w:spacing w:after="0" w:line="22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ACADEMY SPORTS AND</w:t>
      </w:r>
    </w:p>
    <w:p>
      <w:pPr>
        <w:ind w:left="5460"/>
        <w:spacing w:after="0"/>
        <w:rPr>
          <w:sz w:val="20"/>
          <w:szCs w:val="20"/>
          <w:color w:val="auto"/>
        </w:rPr>
      </w:pPr>
      <w:r>
        <w:rPr>
          <w:rFonts w:ascii="Arial" w:cs="Arial" w:eastAsia="Arial" w:hAnsi="Arial"/>
          <w:sz w:val="18"/>
          <w:szCs w:val="18"/>
          <w:color w:val="auto"/>
        </w:rPr>
        <w:t>OUTDOORS, INC.</w:t>
      </w:r>
    </w:p>
    <w:p>
      <w:pPr>
        <w:spacing w:after="0" w:line="128" w:lineRule="exact"/>
        <w:rPr>
          <w:sz w:val="20"/>
          <w:szCs w:val="20"/>
          <w:color w:val="auto"/>
        </w:rPr>
      </w:pPr>
    </w:p>
    <w:tbl>
      <w:tblPr>
        <w:tblLayout w:type="fixed"/>
        <w:tblInd w:w="56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HEATHER A. DAVIS</w:t>
            </w:r>
          </w:p>
        </w:tc>
      </w:tr>
      <w:tr>
        <w:trPr>
          <w:trHeight w:val="222"/>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Heather A. Davis</w:t>
            </w:r>
          </w:p>
        </w:tc>
      </w:tr>
      <w:tr>
        <w:trPr>
          <w:trHeight w:val="229"/>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Arial" w:cs="Arial" w:eastAsia="Arial" w:hAnsi="Arial"/>
                <w:sz w:val="18"/>
                <w:szCs w:val="18"/>
                <w:color w:val="auto"/>
              </w:rPr>
              <w:t>Senior Vice President of Accounting, Treasury and Tax</w:t>
            </w:r>
          </w:p>
        </w:tc>
      </w:tr>
      <w:tr>
        <w:trPr>
          <w:trHeight w:val="230"/>
        </w:trPr>
        <w:tc>
          <w:tcPr>
            <w:tcW w:w="72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310" w:lineRule="exact"/>
        <w:rPr>
          <w:sz w:val="20"/>
          <w:szCs w:val="20"/>
          <w:color w:val="auto"/>
        </w:rPr>
      </w:pPr>
    </w:p>
    <w:p>
      <w:pPr>
        <w:ind w:right="540" w:firstLine="324"/>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5"/>
        </w:trPr>
        <w:tc>
          <w:tcPr>
            <w:tcW w:w="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Signature</w:t>
            </w:r>
          </w:p>
        </w:tc>
        <w:tc>
          <w:tcPr>
            <w:tcW w:w="4840" w:type="dxa"/>
            <w:vAlign w:val="bottom"/>
            <w:gridSpan w:val="3"/>
          </w:tcPr>
          <w:p>
            <w:pPr>
              <w:ind w:left="2480"/>
              <w:spacing w:after="0" w:line="195" w:lineRule="exact"/>
              <w:rPr>
                <w:sz w:val="20"/>
                <w:szCs w:val="20"/>
                <w:color w:val="auto"/>
              </w:rPr>
            </w:pPr>
            <w:r>
              <w:rPr>
                <w:rFonts w:ascii="Arial" w:cs="Arial" w:eastAsia="Arial" w:hAnsi="Arial"/>
                <w:sz w:val="18"/>
                <w:szCs w:val="18"/>
                <w:b w:val="1"/>
                <w:bCs w:val="1"/>
                <w:color w:val="auto"/>
              </w:rPr>
              <w:t>Title</w:t>
            </w:r>
          </w:p>
        </w:tc>
        <w:tc>
          <w:tcPr>
            <w:tcW w:w="1940" w:type="dxa"/>
            <w:vAlign w:val="bottom"/>
            <w:gridSpan w:val="3"/>
          </w:tcPr>
          <w:p>
            <w:pPr>
              <w:ind w:left="1040"/>
              <w:spacing w:after="0" w:line="195" w:lineRule="exact"/>
              <w:rPr>
                <w:sz w:val="20"/>
                <w:szCs w:val="20"/>
                <w:color w:val="auto"/>
              </w:rPr>
            </w:pPr>
            <w:r>
              <w:rPr>
                <w:rFonts w:ascii="Arial" w:cs="Arial" w:eastAsia="Arial" w:hAnsi="Arial"/>
                <w:sz w:val="18"/>
                <w:szCs w:val="18"/>
                <w:b w:val="1"/>
                <w:bCs w:val="1"/>
                <w:color w:val="auto"/>
              </w:rPr>
              <w:t>Date</w:t>
            </w:r>
          </w:p>
        </w:tc>
      </w:tr>
      <w:tr>
        <w:trPr>
          <w:trHeight w:val="20"/>
        </w:trPr>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14"/>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1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KEN C. HICKS</w:t>
            </w:r>
          </w:p>
        </w:tc>
        <w:tc>
          <w:tcPr>
            <w:tcW w:w="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Chairman, President and Chief Executive Officer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Ken C. Hicks</w:t>
            </w:r>
          </w:p>
        </w:tc>
        <w:tc>
          <w:tcPr>
            <w:tcW w:w="48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MICHAEL P. MULLICAN</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Executive Vice President and Chief Financial Officer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Michael P. Mullican</w:t>
            </w:r>
          </w:p>
        </w:tc>
        <w:tc>
          <w:tcPr>
            <w:tcW w:w="48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financial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HEATHER A. DAVIS</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Senior Vice President of Accounting, Treasury and Tax</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Heather A. Davis</w:t>
            </w:r>
          </w:p>
        </w:tc>
        <w:tc>
          <w:tcPr>
            <w:tcW w:w="484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accounting officer)</w:t>
            </w: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WENDY A. BECK</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Wendy A. Beck</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BRIAN T. MARLEY</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Brian T. Marley</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TOM M. NEALON</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Tom M. Nealon</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ALLEN I. QUESTROM</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Allen I. Questrom</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BERYL B. RAFF</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Beryl B. Raff</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NATE H. TAYLOR</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Nate H. Taylor</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CHRIS L. TURNER</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Chris L. Turner</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SHAREN J. TURNEY</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Sharen J. Turney</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337"/>
        </w:trPr>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41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JEFF C. TWEEDY</w:t>
            </w:r>
          </w:p>
        </w:tc>
        <w:tc>
          <w:tcPr>
            <w:tcW w:w="484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ind w:left="780"/>
              <w:spacing w:after="0"/>
              <w:rPr>
                <w:sz w:val="20"/>
                <w:szCs w:val="20"/>
                <w:color w:val="auto"/>
              </w:rPr>
            </w:pPr>
            <w:r>
              <w:rPr>
                <w:rFonts w:ascii="Arial" w:cs="Arial" w:eastAsia="Arial" w:hAnsi="Arial"/>
                <w:sz w:val="18"/>
                <w:szCs w:val="18"/>
                <w:color w:val="auto"/>
                <w:w w:val="91"/>
              </w:rPr>
              <w:t>March 29, 2022</w:t>
            </w:r>
          </w:p>
        </w:tc>
      </w:tr>
      <w:tr>
        <w:trPr>
          <w:trHeight w:val="224"/>
        </w:trPr>
        <w:tc>
          <w:tcPr>
            <w:tcW w:w="300" w:type="dxa"/>
            <w:vAlign w:val="bottom"/>
          </w:tcPr>
          <w:p>
            <w:pPr>
              <w:spacing w:after="0"/>
              <w:rPr>
                <w:sz w:val="19"/>
                <w:szCs w:val="19"/>
                <w:color w:val="auto"/>
              </w:rPr>
            </w:pPr>
          </w:p>
        </w:tc>
        <w:tc>
          <w:tcPr>
            <w:tcW w:w="4160" w:type="dxa"/>
            <w:vAlign w:val="bottom"/>
            <w:gridSpan w:val="3"/>
          </w:tcPr>
          <w:p>
            <w:pPr>
              <w:ind w:left="100"/>
              <w:spacing w:after="0"/>
              <w:rPr>
                <w:sz w:val="20"/>
                <w:szCs w:val="20"/>
                <w:color w:val="auto"/>
              </w:rPr>
            </w:pPr>
            <w:r>
              <w:rPr>
                <w:rFonts w:ascii="Arial" w:cs="Arial" w:eastAsia="Arial" w:hAnsi="Arial"/>
                <w:sz w:val="18"/>
                <w:szCs w:val="18"/>
                <w:color w:val="auto"/>
              </w:rPr>
              <w:t>Jeff C. Tweedy</w:t>
            </w:r>
          </w:p>
        </w:tc>
        <w:tc>
          <w:tcPr>
            <w:tcW w:w="2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742"/>
        </w:trPr>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80" w:type="dxa"/>
            <w:vAlign w:val="bottom"/>
          </w:tcPr>
          <w:p>
            <w:pPr>
              <w:ind w:left="1120"/>
              <w:spacing w:after="0"/>
              <w:rPr>
                <w:sz w:val="20"/>
                <w:szCs w:val="20"/>
                <w:color w:val="auto"/>
              </w:rPr>
            </w:pPr>
            <w:r>
              <w:rPr>
                <w:rFonts w:ascii="Arial" w:cs="Arial" w:eastAsia="Arial" w:hAnsi="Arial"/>
                <w:sz w:val="18"/>
                <w:szCs w:val="18"/>
                <w:color w:val="auto"/>
              </w:rPr>
              <w:t>110</w:t>
            </w: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8"/>
        </w:trPr>
        <w:tc>
          <w:tcPr>
            <w:tcW w:w="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0" w:name="page111"/>
    <w:bookmarkEnd w:id="110"/>
    <w:p>
      <w:pPr>
        <w:jc w:val="center"/>
        <w:ind w:right="-21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SCHEDULE II</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Balance at</w:t>
            </w:r>
          </w:p>
        </w:tc>
        <w:tc>
          <w:tcPr>
            <w:tcW w:w="120" w:type="dxa"/>
            <w:vAlign w:val="bottom"/>
          </w:tcPr>
          <w:p>
            <w:pPr>
              <w:spacing w:after="0"/>
              <w:rPr>
                <w:sz w:val="17"/>
                <w:szCs w:val="17"/>
                <w:color w:val="auto"/>
              </w:rPr>
            </w:pPr>
          </w:p>
        </w:tc>
        <w:tc>
          <w:tcPr>
            <w:tcW w:w="14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5"/>
              </w:rPr>
              <w:t>Charged to costs</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3"/>
              </w:rPr>
              <w:t>Balance at end of</w:t>
            </w: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320"/>
              <w:spacing w:after="0" w:line="176" w:lineRule="exact"/>
              <w:rPr>
                <w:sz w:val="20"/>
                <w:szCs w:val="20"/>
                <w:color w:val="auto"/>
              </w:rPr>
            </w:pPr>
            <w:r>
              <w:rPr>
                <w:rFonts w:ascii="Arial" w:cs="Arial" w:eastAsia="Arial" w:hAnsi="Arial"/>
                <w:sz w:val="18"/>
                <w:szCs w:val="18"/>
                <w:b w:val="1"/>
                <w:bCs w:val="1"/>
                <w:color w:val="auto"/>
                <w:w w:val="88"/>
              </w:rPr>
              <w:t>beginning of</w:t>
            </w:r>
          </w:p>
        </w:tc>
        <w:tc>
          <w:tcPr>
            <w:tcW w:w="1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w w:val="95"/>
              </w:rPr>
              <w:t>Deductions</w:t>
            </w:r>
          </w:p>
        </w:tc>
        <w:tc>
          <w:tcPr>
            <w:tcW w:w="3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period</w:t>
            </w:r>
          </w:p>
        </w:tc>
        <w:tc>
          <w:tcPr>
            <w:tcW w:w="120" w:type="dxa"/>
            <w:vAlign w:val="bottom"/>
          </w:tcPr>
          <w:p>
            <w:pPr>
              <w:spacing w:after="0"/>
              <w:rPr>
                <w:sz w:val="19"/>
                <w:szCs w:val="19"/>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and expenses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period</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January 29, 2022:</w:t>
            </w:r>
          </w:p>
        </w:tc>
        <w:tc>
          <w:tcPr>
            <w:tcW w:w="2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1,172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320" w:type="dxa"/>
            <w:vAlign w:val="bottom"/>
          </w:tcPr>
          <w:p>
            <w:pPr>
              <w:jc w:val="right"/>
              <w:ind w:right="126"/>
              <w:spacing w:after="0"/>
              <w:rPr>
                <w:sz w:val="20"/>
                <w:szCs w:val="20"/>
                <w:color w:val="auto"/>
              </w:rPr>
            </w:pPr>
            <w:r>
              <w:rPr>
                <w:rFonts w:ascii="Arial" w:cs="Arial" w:eastAsia="Arial" w:hAnsi="Arial"/>
                <w:sz w:val="11"/>
                <w:szCs w:val="11"/>
                <w:b w:val="1"/>
                <w:bCs w:val="1"/>
                <w:color w:val="auto"/>
                <w:w w:val="88"/>
              </w:rPr>
              <w:t>(5)</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(514)</w:t>
            </w:r>
          </w:p>
        </w:tc>
        <w:tc>
          <w:tcPr>
            <w:tcW w:w="340" w:type="dxa"/>
            <w:vAlign w:val="bottom"/>
          </w:tcPr>
          <w:p>
            <w:pPr>
              <w:jc w:val="right"/>
              <w:ind w:right="146"/>
              <w:spacing w:after="0"/>
              <w:rPr>
                <w:sz w:val="20"/>
                <w:szCs w:val="20"/>
                <w:color w:val="auto"/>
              </w:rPr>
            </w:pPr>
            <w:r>
              <w:rPr>
                <w:rFonts w:ascii="Arial" w:cs="Arial" w:eastAsia="Arial" w:hAnsi="Arial"/>
                <w:sz w:val="11"/>
                <w:szCs w:val="11"/>
                <w:b w:val="1"/>
                <w:bCs w:val="1"/>
                <w:color w:val="auto"/>
                <w:w w:val="88"/>
              </w:rPr>
              <w:t>(1)</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732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13,200</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b w:val="1"/>
                <w:bCs w:val="1"/>
                <w:color w:val="auto"/>
                <w:w w:val="88"/>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(12,800)</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b w:val="1"/>
                <w:bCs w:val="1"/>
                <w:color w:val="auto"/>
                <w:w w:val="88"/>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Inventory shrink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8,504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74,441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(71,249)</w:t>
            </w:r>
          </w:p>
        </w:tc>
        <w:tc>
          <w:tcPr>
            <w:tcW w:w="340" w:type="dxa"/>
            <w:vAlign w:val="bottom"/>
          </w:tcPr>
          <w:p>
            <w:pPr>
              <w:jc w:val="right"/>
              <w:ind w:right="146"/>
              <w:spacing w:after="0"/>
              <w:rPr>
                <w:sz w:val="20"/>
                <w:szCs w:val="20"/>
                <w:color w:val="auto"/>
              </w:rPr>
            </w:pPr>
            <w:r>
              <w:rPr>
                <w:rFonts w:ascii="Arial" w:cs="Arial" w:eastAsia="Arial" w:hAnsi="Arial"/>
                <w:sz w:val="11"/>
                <w:szCs w:val="11"/>
                <w:b w:val="1"/>
                <w:bCs w:val="1"/>
                <w:color w:val="auto"/>
                <w:w w:val="88"/>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11,696</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22,065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72,313</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(69,869)</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b w:val="1"/>
                <w:bCs w:val="1"/>
                <w:color w:val="auto"/>
                <w:w w:val="88"/>
              </w:rPr>
              <w:t>(4)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24,509</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January 30, 2021:</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(1,898)</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88"/>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Inventory shrink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12,891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76,990</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(81,377)</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8,504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(62,284)</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February 1, 2020: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3,008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499</w:t>
            </w:r>
          </w:p>
        </w:tc>
        <w:tc>
          <w:tcPr>
            <w:tcW w:w="3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(232)</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return allowance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9,400</w:t>
            </w:r>
          </w:p>
        </w:tc>
        <w:tc>
          <w:tcPr>
            <w:tcW w:w="320" w:type="dxa"/>
            <w:vAlign w:val="bottom"/>
            <w:shd w:val="clear" w:color="auto" w:fill="CCEEFF"/>
          </w:tcPr>
          <w:p>
            <w:pPr>
              <w:jc w:val="right"/>
              <w:ind w:right="126"/>
              <w:spacing w:after="0"/>
              <w:rPr>
                <w:sz w:val="20"/>
                <w:szCs w:val="20"/>
                <w:color w:val="auto"/>
              </w:rPr>
            </w:pPr>
            <w:r>
              <w:rPr>
                <w:rFonts w:ascii="Arial" w:cs="Arial" w:eastAsia="Arial" w:hAnsi="Arial"/>
                <w:sz w:val="11"/>
                <w:szCs w:val="11"/>
                <w:color w:val="auto"/>
                <w:w w:val="88"/>
              </w:rPr>
              <w:t>(2)</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(9,700)</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(2)</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Arial" w:cs="Arial" w:eastAsia="Arial" w:hAnsi="Arial"/>
                <w:sz w:val="18"/>
                <w:szCs w:val="18"/>
                <w:color w:val="auto"/>
              </w:rPr>
              <w:t>Inventory shrink adjustments</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19,271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62,975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(69,355)</w:t>
            </w:r>
          </w:p>
        </w:tc>
        <w:tc>
          <w:tcPr>
            <w:tcW w:w="340" w:type="dxa"/>
            <w:vAlign w:val="bottom"/>
          </w:tcPr>
          <w:p>
            <w:pPr>
              <w:jc w:val="right"/>
              <w:ind w:right="146"/>
              <w:spacing w:after="0"/>
              <w:rPr>
                <w:sz w:val="20"/>
                <w:szCs w:val="20"/>
                <w:color w:val="auto"/>
              </w:rPr>
            </w:pPr>
            <w:r>
              <w:rPr>
                <w:rFonts w:ascii="Arial" w:cs="Arial" w:eastAsia="Arial" w:hAnsi="Arial"/>
                <w:sz w:val="11"/>
                <w:szCs w:val="11"/>
                <w:color w:val="auto"/>
                <w:w w:val="88"/>
              </w:rPr>
              <w:t>(3)</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12,891</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Self-insurance reserves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(61,598)</w:t>
            </w:r>
          </w:p>
        </w:tc>
        <w:tc>
          <w:tcPr>
            <w:tcW w:w="340" w:type="dxa"/>
            <w:vAlign w:val="bottom"/>
            <w:shd w:val="clear" w:color="auto" w:fill="CCEEFF"/>
          </w:tcPr>
          <w:p>
            <w:pPr>
              <w:jc w:val="right"/>
              <w:ind w:right="146"/>
              <w:spacing w:after="0"/>
              <w:rPr>
                <w:sz w:val="20"/>
                <w:szCs w:val="20"/>
                <w:color w:val="auto"/>
              </w:rPr>
            </w:pPr>
            <w:r>
              <w:rPr>
                <w:rFonts w:ascii="Arial" w:cs="Arial" w:eastAsia="Arial" w:hAnsi="Arial"/>
                <w:sz w:val="11"/>
                <w:szCs w:val="11"/>
                <w:color w:val="auto"/>
                <w:w w:val="88"/>
              </w:rPr>
              <w:t>(4)</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22,429</w:t>
            </w: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80" w:hanging="172"/>
        <w:spacing w:after="0"/>
        <w:tabs>
          <w:tab w:leader="none" w:pos="18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Represents write-offs to the reserve.</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Represents the monthly increase (decrease) in the required reserve based on the Company's evaluation of anticipated merchandise returns.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Represents the actual inventory shrinkage experienced at the time of physical inventories.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Represents claim payments for self-insured claims.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77"/>
        </w:numPr>
        <w:rPr>
          <w:rFonts w:ascii="Arial" w:cs="Arial" w:eastAsia="Arial" w:hAnsi="Arial"/>
          <w:sz w:val="21"/>
          <w:szCs w:val="21"/>
          <w:color w:val="auto"/>
          <w:vertAlign w:val="superscript"/>
        </w:rPr>
      </w:pPr>
      <w:r>
        <w:rPr>
          <w:rFonts w:ascii="Arial" w:cs="Arial" w:eastAsia="Arial" w:hAnsi="Arial"/>
          <w:sz w:val="16"/>
          <w:szCs w:val="16"/>
          <w:color w:val="auto"/>
        </w:rPr>
        <w:t>The reduction represents net collections on previously written-off balances.</w:t>
      </w:r>
    </w:p>
    <w:p>
      <w:pPr>
        <w:spacing w:after="0" w:line="200" w:lineRule="exact"/>
        <w:rPr>
          <w:sz w:val="20"/>
          <w:szCs w:val="20"/>
          <w:color w:val="auto"/>
        </w:rPr>
      </w:pPr>
    </w:p>
    <w:p>
      <w:pPr>
        <w:spacing w:after="0" w:line="33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860"/>
          </w:cols>
          <w:pgMar w:left="320" w:top="891" w:right="7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ACADEMY SPORTS AND OUTDOORS, INC.</w:t>
      </w:r>
    </w:p>
    <w:p>
      <w:pPr>
        <w:jc w:val="center"/>
        <w:spacing w:after="0"/>
        <w:rPr>
          <w:sz w:val="20"/>
          <w:szCs w:val="20"/>
          <w:color w:val="auto"/>
        </w:rPr>
      </w:pPr>
      <w:r>
        <w:rPr>
          <w:rFonts w:ascii="Arial" w:cs="Arial" w:eastAsia="Arial" w:hAnsi="Arial"/>
          <w:sz w:val="18"/>
          <w:szCs w:val="18"/>
          <w:b w:val="1"/>
          <w:bCs w:val="1"/>
          <w:color w:val="auto"/>
        </w:rPr>
        <w:t>SUBSIDIARIES OF THE REGISTRANT</w:t>
      </w:r>
      <w:r>
        <w:rPr>
          <w:rFonts w:ascii="Arial" w:cs="Arial" w:eastAsia="Arial" w:hAnsi="Arial"/>
          <w:sz w:val="23"/>
          <w:szCs w:val="23"/>
          <w:b w:val="1"/>
          <w:bCs w:val="1"/>
          <w:color w:val="auto"/>
          <w:vertAlign w:val="superscript"/>
        </w:rPr>
        <w:t>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vMerge w:val="restart"/>
          </w:tcPr>
          <w:p>
            <w:pPr>
              <w:ind w:left="1440"/>
              <w:spacing w:after="0"/>
              <w:rPr>
                <w:sz w:val="20"/>
                <w:szCs w:val="20"/>
                <w:color w:val="auto"/>
              </w:rPr>
            </w:pPr>
            <w:r>
              <w:rPr>
                <w:rFonts w:ascii="Arial" w:cs="Arial" w:eastAsia="Arial" w:hAnsi="Arial"/>
                <w:sz w:val="18"/>
                <w:szCs w:val="18"/>
                <w:b w:val="1"/>
                <w:bCs w:val="1"/>
                <w:color w:val="auto"/>
              </w:rPr>
              <w:t>Subsidiaries of Academy Sports and Outdoors, Inc.</w:t>
            </w:r>
          </w:p>
        </w:tc>
        <w:tc>
          <w:tcPr>
            <w:tcW w:w="80" w:type="dxa"/>
            <w:vAlign w:val="bottom"/>
            <w:vMerge w:val="restart"/>
          </w:tcPr>
          <w:p>
            <w:pPr>
              <w:spacing w:after="0"/>
              <w:rPr>
                <w:sz w:val="17"/>
                <w:szCs w:val="17"/>
                <w:color w:val="auto"/>
              </w:rPr>
            </w:pPr>
          </w:p>
        </w:tc>
        <w:tc>
          <w:tcPr>
            <w:tcW w:w="4340" w:type="dxa"/>
            <w:vAlign w:val="bottom"/>
          </w:tcPr>
          <w:p>
            <w:pPr>
              <w:ind w:left="1420"/>
              <w:spacing w:after="0"/>
              <w:rPr>
                <w:sz w:val="20"/>
                <w:szCs w:val="20"/>
                <w:color w:val="auto"/>
              </w:rPr>
            </w:pPr>
            <w:r>
              <w:rPr>
                <w:rFonts w:ascii="Arial" w:cs="Arial" w:eastAsia="Arial" w:hAnsi="Arial"/>
                <w:sz w:val="18"/>
                <w:szCs w:val="18"/>
                <w:b w:val="1"/>
                <w:bCs w:val="1"/>
                <w:color w:val="auto"/>
              </w:rPr>
              <w:t>State or Country of</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434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Incorporation or Formation</w:t>
            </w:r>
          </w:p>
        </w:tc>
        <w:tc>
          <w:tcPr>
            <w:tcW w:w="0" w:type="dxa"/>
            <w:vAlign w:val="bottom"/>
          </w:tcPr>
          <w:p>
            <w:pPr>
              <w:spacing w:after="0"/>
              <w:rPr>
                <w:sz w:val="1"/>
                <w:szCs w:val="1"/>
                <w:color w:val="auto"/>
              </w:rPr>
            </w:pPr>
          </w:p>
        </w:tc>
      </w:tr>
      <w:tr>
        <w:trPr>
          <w:trHeight w:val="48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New Academy Holding Company, LLC</w:t>
            </w:r>
          </w:p>
        </w:tc>
        <w:tc>
          <w:tcPr>
            <w:tcW w:w="43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Academy Managing Co., LLC</w:t>
            </w:r>
          </w:p>
        </w:tc>
        <w:tc>
          <w:tcPr>
            <w:tcW w:w="4340" w:type="dxa"/>
            <w:vAlign w:val="bottom"/>
          </w:tcPr>
          <w:p>
            <w:pPr>
              <w:ind w:left="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Associated Investors, LLC</w:t>
            </w:r>
          </w:p>
        </w:tc>
        <w:tc>
          <w:tcPr>
            <w:tcW w:w="4340" w:type="dxa"/>
            <w:vAlign w:val="bottom"/>
          </w:tcPr>
          <w:p>
            <w:pPr>
              <w:ind w:left="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50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Academy, Ltd.</w:t>
            </w:r>
          </w:p>
        </w:tc>
        <w:tc>
          <w:tcPr>
            <w:tcW w:w="4340" w:type="dxa"/>
            <w:vAlign w:val="bottom"/>
          </w:tcPr>
          <w:p>
            <w:pPr>
              <w:ind w:left="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r>
        <w:trPr>
          <w:trHeight w:val="499"/>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Academy International Limited</w:t>
            </w:r>
          </w:p>
        </w:tc>
        <w:tc>
          <w:tcPr>
            <w:tcW w:w="4340" w:type="dxa"/>
            <w:vAlign w:val="bottom"/>
          </w:tcPr>
          <w:p>
            <w:pPr>
              <w:ind w:left="2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568"/>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ASO Blocker Sub L.P.</w:t>
            </w:r>
            <w:r>
              <w:rPr>
                <w:rFonts w:ascii="Arial" w:cs="Arial" w:eastAsia="Arial" w:hAnsi="Arial"/>
                <w:sz w:val="23"/>
                <w:szCs w:val="23"/>
                <w:color w:val="auto"/>
                <w:vertAlign w:val="superscript"/>
              </w:rPr>
              <w:t>2</w:t>
            </w:r>
          </w:p>
        </w:tc>
        <w:tc>
          <w:tcPr>
            <w:tcW w:w="43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500"/>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ASO Co-Invest Blocker Sub, L.P.</w:t>
            </w:r>
            <w:r>
              <w:rPr>
                <w:rFonts w:ascii="Arial" w:cs="Arial" w:eastAsia="Arial" w:hAnsi="Arial"/>
                <w:sz w:val="23"/>
                <w:szCs w:val="23"/>
                <w:color w:val="auto"/>
                <w:vertAlign w:val="superscript"/>
              </w:rPr>
              <w:t>3</w:t>
            </w:r>
          </w:p>
        </w:tc>
        <w:tc>
          <w:tcPr>
            <w:tcW w:w="4340" w:type="dxa"/>
            <w:vAlign w:val="bottom"/>
          </w:tcPr>
          <w:p>
            <w:pPr>
              <w:ind w:left="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ind w:left="120" w:hanging="94"/>
        <w:spacing w:after="0"/>
        <w:tabs>
          <w:tab w:leader="none" w:pos="120" w:val="left"/>
        </w:tabs>
        <w:numPr>
          <w:ilvl w:val="0"/>
          <w:numId w:val="78"/>
        </w:numPr>
        <w:rPr>
          <w:rFonts w:ascii="Arial" w:cs="Arial" w:eastAsia="Arial" w:hAnsi="Arial"/>
          <w:sz w:val="23"/>
          <w:szCs w:val="23"/>
          <w:color w:val="auto"/>
          <w:vertAlign w:val="superscript"/>
        </w:rPr>
      </w:pPr>
      <w:r>
        <w:rPr>
          <w:rFonts w:ascii="Arial" w:cs="Arial" w:eastAsia="Arial" w:hAnsi="Arial"/>
          <w:sz w:val="18"/>
          <w:szCs w:val="18"/>
          <w:color w:val="auto"/>
        </w:rPr>
        <w:t>Subsidiaries noted throughout this document may be direct or indirect subsidiaries of the Registrant.</w:t>
      </w:r>
    </w:p>
    <w:p>
      <w:pPr>
        <w:spacing w:after="0" w:line="15" w:lineRule="exact"/>
        <w:rPr>
          <w:rFonts w:ascii="Arial" w:cs="Arial" w:eastAsia="Arial" w:hAnsi="Arial"/>
          <w:sz w:val="23"/>
          <w:szCs w:val="23"/>
          <w:color w:val="auto"/>
          <w:vertAlign w:val="superscript"/>
        </w:rPr>
      </w:pPr>
    </w:p>
    <w:p>
      <w:pPr>
        <w:jc w:val="both"/>
        <w:ind w:left="20" w:right="6880"/>
        <w:spacing w:after="0" w:line="294" w:lineRule="auto"/>
        <w:rPr>
          <w:rFonts w:ascii="Arial" w:cs="Arial" w:eastAsia="Arial" w:hAnsi="Arial"/>
          <w:sz w:val="23"/>
          <w:szCs w:val="23"/>
          <w:color w:val="auto"/>
          <w:vertAlign w:val="superscript"/>
        </w:rPr>
      </w:pPr>
      <w:r>
        <w:rPr>
          <w:rFonts w:ascii="Arial" w:cs="Arial" w:eastAsia="Arial" w:hAnsi="Arial"/>
          <w:sz w:val="20"/>
          <w:szCs w:val="20"/>
          <w:color w:val="auto"/>
          <w:vertAlign w:val="superscript"/>
        </w:rPr>
        <w:t>2</w:t>
      </w:r>
      <w:r>
        <w:rPr>
          <w:rFonts w:ascii="Arial" w:cs="Arial" w:eastAsia="Arial" w:hAnsi="Arial"/>
          <w:sz w:val="16"/>
          <w:szCs w:val="16"/>
          <w:color w:val="auto"/>
        </w:rPr>
        <w:t xml:space="preserve"> This entity was officially cancelled as of January 31, 2021. </w:t>
      </w:r>
      <w:r>
        <w:rPr>
          <w:rFonts w:ascii="Arial" w:cs="Arial" w:eastAsia="Arial" w:hAnsi="Arial"/>
          <w:sz w:val="20"/>
          <w:szCs w:val="20"/>
          <w:color w:val="auto"/>
          <w:vertAlign w:val="superscript"/>
        </w:rPr>
        <w:t>3</w:t>
      </w:r>
      <w:r>
        <w:rPr>
          <w:rFonts w:ascii="Arial" w:cs="Arial" w:eastAsia="Arial" w:hAnsi="Arial"/>
          <w:sz w:val="16"/>
          <w:szCs w:val="16"/>
          <w:color w:val="auto"/>
        </w:rPr>
        <w:t xml:space="preserve"> This entity was officially cancelled as of January 31, 2021.</w:t>
      </w:r>
    </w:p>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consent to the incorporation by reference in Registration Statement No. 333-249233 on Form S-8 of our reports dated March 29, 2022, relating to the financial statements of Academy Sports and Outdoors, Inc. and the effectiveness of Academy Sports and Outdoors, Inc. internal control over financial reporting appearing in this Annual Report on Form 10-K for the year ended January 29, 2022.</w:t>
      </w:r>
    </w:p>
    <w:p>
      <w:pPr>
        <w:spacing w:after="0" w:line="249" w:lineRule="exact"/>
        <w:rPr>
          <w:sz w:val="20"/>
          <w:szCs w:val="20"/>
          <w:color w:val="auto"/>
        </w:rPr>
      </w:pPr>
    </w:p>
    <w:p>
      <w:pPr>
        <w:ind w:left="20"/>
        <w:spacing w:after="0"/>
        <w:tabs>
          <w:tab w:leader="none" w:pos="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8"/>
          <w:szCs w:val="18"/>
          <w:color w:val="auto"/>
        </w:rPr>
        <w:t>Deloitte and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287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8">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29, 2022</w:t>
      </w:r>
    </w:p>
    <w:p>
      <w:pPr>
        <w:sectPr>
          <w:pgSz w:w="11900" w:h="16838" w:orient="portrait"/>
          <w:cols w:equalWidth="0" w:num="1">
            <w:col w:w="11240"/>
          </w:cols>
          <w:pgMar w:left="320" w:top="126"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Ken C. Hicks, certify that:</w:t>
      </w:r>
    </w:p>
    <w:p>
      <w:pPr>
        <w:spacing w:after="0" w:line="117" w:lineRule="exact"/>
        <w:rPr>
          <w:sz w:val="20"/>
          <w:szCs w:val="20"/>
          <w:color w:val="auto"/>
        </w:rPr>
      </w:pPr>
    </w:p>
    <w:p>
      <w:pPr>
        <w:ind w:left="660" w:hanging="328"/>
        <w:spacing w:after="0" w:line="277"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January 29, 2022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7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160" w:type="dxa"/>
            <w:vAlign w:val="bottom"/>
          </w:tcPr>
          <w:p>
            <w:pPr>
              <w:ind w:left="4400"/>
              <w:spacing w:after="0"/>
              <w:rPr>
                <w:sz w:val="20"/>
                <w:szCs w:val="20"/>
                <w:color w:val="auto"/>
              </w:rPr>
            </w:pPr>
            <w:r>
              <w:rPr>
                <w:rFonts w:ascii="Arial" w:cs="Arial" w:eastAsia="Arial" w:hAnsi="Arial"/>
                <w:sz w:val="18"/>
                <w:szCs w:val="18"/>
                <w:color w:val="auto"/>
              </w:rPr>
              <w:t>Date:</w:t>
            </w:r>
          </w:p>
        </w:tc>
        <w:tc>
          <w:tcPr>
            <w:tcW w:w="1500" w:type="dxa"/>
            <w:vAlign w:val="bottom"/>
          </w:tcPr>
          <w:p>
            <w:pPr>
              <w:ind w:left="360"/>
              <w:spacing w:after="0"/>
              <w:rPr>
                <w:sz w:val="20"/>
                <w:szCs w:val="20"/>
                <w:color w:val="auto"/>
              </w:rPr>
            </w:pPr>
            <w:r>
              <w:rPr>
                <w:rFonts w:ascii="Arial" w:cs="Arial" w:eastAsia="Arial" w:hAnsi="Arial"/>
                <w:sz w:val="18"/>
                <w:szCs w:val="18"/>
                <w:color w:val="auto"/>
                <w:w w:val="89"/>
              </w:rPr>
              <w:t>March 29, 2022</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Michael P. Mullican, certify that:</w:t>
      </w:r>
    </w:p>
    <w:p>
      <w:pPr>
        <w:spacing w:after="0" w:line="117" w:lineRule="exact"/>
        <w:rPr>
          <w:sz w:val="20"/>
          <w:szCs w:val="20"/>
          <w:color w:val="auto"/>
        </w:rPr>
      </w:pPr>
    </w:p>
    <w:p>
      <w:pPr>
        <w:ind w:left="660" w:hanging="328"/>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January 29, 2022 (this “Report”) of Academy Sports and Outdoors, Inc. (the “Registrant”);</w:t>
      </w:r>
    </w:p>
    <w:p>
      <w:pPr>
        <w:spacing w:after="0" w:line="6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2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300" w:hanging="320"/>
        <w:spacing w:after="0" w:line="342" w:lineRule="auto"/>
        <w:tabs>
          <w:tab w:leader="none" w:pos="1290" w:val="left"/>
        </w:tabs>
        <w:numPr>
          <w:ilvl w:val="1"/>
          <w:numId w:val="8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hanging="320"/>
        <w:spacing w:after="0" w:line="263"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29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160" w:type="dxa"/>
            <w:vAlign w:val="bottom"/>
          </w:tcPr>
          <w:p>
            <w:pPr>
              <w:ind w:left="4400"/>
              <w:spacing w:after="0"/>
              <w:rPr>
                <w:sz w:val="20"/>
                <w:szCs w:val="20"/>
                <w:color w:val="auto"/>
              </w:rPr>
            </w:pPr>
            <w:r>
              <w:rPr>
                <w:rFonts w:ascii="Arial" w:cs="Arial" w:eastAsia="Arial" w:hAnsi="Arial"/>
                <w:sz w:val="18"/>
                <w:szCs w:val="18"/>
                <w:color w:val="auto"/>
              </w:rPr>
              <w:t>Date:</w:t>
            </w:r>
          </w:p>
        </w:tc>
        <w:tc>
          <w:tcPr>
            <w:tcW w:w="1500" w:type="dxa"/>
            <w:vAlign w:val="bottom"/>
          </w:tcPr>
          <w:p>
            <w:pPr>
              <w:ind w:left="360"/>
              <w:spacing w:after="0"/>
              <w:rPr>
                <w:sz w:val="20"/>
                <w:szCs w:val="20"/>
                <w:color w:val="auto"/>
              </w:rPr>
            </w:pPr>
            <w:r>
              <w:rPr>
                <w:rFonts w:ascii="Arial" w:cs="Arial" w:eastAsia="Arial" w:hAnsi="Arial"/>
                <w:sz w:val="18"/>
                <w:szCs w:val="18"/>
                <w:color w:val="auto"/>
                <w:w w:val="89"/>
              </w:rPr>
              <w:t>March 29, 2022</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on Form 10-K of Academy Sports and Outdoors, Inc. (the “Company”) for the fiscal year ended January 29, 2022, as filed with the Securities and Exchange Commission on the date hereof (the “Report”), I, Ken C. Hicks, Chairman, President and Chief Executive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 C. HICKS</w:t>
            </w:r>
          </w:p>
        </w:tc>
        <w:tc>
          <w:tcPr>
            <w:tcW w:w="5160" w:type="dxa"/>
            <w:vAlign w:val="bottom"/>
          </w:tcPr>
          <w:p>
            <w:pPr>
              <w:ind w:left="4400"/>
              <w:spacing w:after="0"/>
              <w:rPr>
                <w:sz w:val="20"/>
                <w:szCs w:val="20"/>
                <w:color w:val="auto"/>
              </w:rPr>
            </w:pPr>
            <w:r>
              <w:rPr>
                <w:rFonts w:ascii="Arial" w:cs="Arial" w:eastAsia="Arial" w:hAnsi="Arial"/>
                <w:sz w:val="18"/>
                <w:szCs w:val="18"/>
                <w:color w:val="auto"/>
              </w:rPr>
              <w:t>Date:</w:t>
            </w:r>
          </w:p>
        </w:tc>
        <w:tc>
          <w:tcPr>
            <w:tcW w:w="1500" w:type="dxa"/>
            <w:vAlign w:val="bottom"/>
          </w:tcPr>
          <w:p>
            <w:pPr>
              <w:ind w:left="360"/>
              <w:spacing w:after="0"/>
              <w:rPr>
                <w:sz w:val="20"/>
                <w:szCs w:val="20"/>
                <w:color w:val="auto"/>
              </w:rPr>
            </w:pPr>
            <w:r>
              <w:rPr>
                <w:rFonts w:ascii="Arial" w:cs="Arial" w:eastAsia="Arial" w:hAnsi="Arial"/>
                <w:sz w:val="18"/>
                <w:szCs w:val="18"/>
                <w:color w:val="auto"/>
                <w:w w:val="89"/>
              </w:rPr>
              <w:t>March 29, 2022</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Ken C. Hicks</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ectPr>
          <w:pgSz w:w="11900" w:h="16838" w:orient="portrait"/>
          <w:cols w:equalWidth="0" w:num="1">
            <w:col w:w="11240"/>
          </w:cols>
          <w:pgMar w:left="320" w:top="1093"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Annual Report on Form 10-K of Academy Sports and Outdoors, Inc. (the “Company”) for the fiscal year ended January 29, 2022, as filed with the Securities and Exchange Commission on the date hereof (the “Report”), I, Michael P. Mullican, Executive Vice President and Chief Financial Officer of the Company, do hereby certify, pursuant to 18 U.S.C. Section 1350, as adopted pursuant to Section 906 of the Sarbanes-Oxley Act of 2002, that:</w:t>
      </w:r>
    </w:p>
    <w:p>
      <w:pPr>
        <w:spacing w:after="0" w:line="41" w:lineRule="exact"/>
        <w:rPr>
          <w:sz w:val="20"/>
          <w:szCs w:val="20"/>
          <w:color w:val="auto"/>
        </w:rPr>
      </w:pPr>
    </w:p>
    <w:p>
      <w:pPr>
        <w:ind w:left="660" w:hanging="328"/>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MULLICAN</w:t>
            </w:r>
          </w:p>
        </w:tc>
        <w:tc>
          <w:tcPr>
            <w:tcW w:w="5160" w:type="dxa"/>
            <w:vAlign w:val="bottom"/>
          </w:tcPr>
          <w:p>
            <w:pPr>
              <w:ind w:left="4400"/>
              <w:spacing w:after="0"/>
              <w:rPr>
                <w:sz w:val="20"/>
                <w:szCs w:val="20"/>
                <w:color w:val="auto"/>
              </w:rPr>
            </w:pPr>
            <w:r>
              <w:rPr>
                <w:rFonts w:ascii="Arial" w:cs="Arial" w:eastAsia="Arial" w:hAnsi="Arial"/>
                <w:sz w:val="18"/>
                <w:szCs w:val="18"/>
                <w:color w:val="auto"/>
              </w:rPr>
              <w:t>Date:</w:t>
            </w:r>
          </w:p>
        </w:tc>
        <w:tc>
          <w:tcPr>
            <w:tcW w:w="1500" w:type="dxa"/>
            <w:vAlign w:val="bottom"/>
          </w:tcPr>
          <w:p>
            <w:pPr>
              <w:ind w:left="360"/>
              <w:spacing w:after="0"/>
              <w:rPr>
                <w:sz w:val="20"/>
                <w:szCs w:val="20"/>
                <w:color w:val="auto"/>
              </w:rPr>
            </w:pPr>
            <w:r>
              <w:rPr>
                <w:rFonts w:ascii="Arial" w:cs="Arial" w:eastAsia="Arial" w:hAnsi="Arial"/>
                <w:sz w:val="18"/>
                <w:szCs w:val="18"/>
                <w:color w:val="auto"/>
                <w:w w:val="89"/>
              </w:rPr>
              <w:t>March 29, 2022</w:t>
            </w:r>
          </w:p>
        </w:tc>
      </w:tr>
      <w:tr>
        <w:trPr>
          <w:trHeight w:val="222"/>
        </w:trPr>
        <w:tc>
          <w:tcPr>
            <w:tcW w:w="4560" w:type="dxa"/>
            <w:vAlign w:val="bottom"/>
          </w:tcPr>
          <w:p>
            <w:pPr>
              <w:ind w:left="20"/>
              <w:spacing w:after="0"/>
              <w:rPr>
                <w:sz w:val="20"/>
                <w:szCs w:val="20"/>
                <w:color w:val="auto"/>
              </w:rPr>
            </w:pPr>
            <w:r>
              <w:rPr>
                <w:rFonts w:ascii="Arial" w:cs="Arial" w:eastAsia="Arial" w:hAnsi="Arial"/>
                <w:sz w:val="18"/>
                <w:szCs w:val="18"/>
                <w:color w:val="auto"/>
              </w:rPr>
              <w:t>Michael P. Mullican</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45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16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c>
          <w:tcPr>
            <w:tcW w:w="5160" w:type="dxa"/>
            <w:vAlign w:val="bottom"/>
          </w:tcPr>
          <w:p>
            <w:pPr>
              <w:spacing w:after="0"/>
              <w:rPr>
                <w:sz w:val="20"/>
                <w:szCs w:val="20"/>
                <w:color w:val="auto"/>
              </w:rPr>
            </w:pPr>
          </w:p>
        </w:tc>
        <w:tc>
          <w:tcPr>
            <w:tcW w:w="15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9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lvl w:ilvl="1">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lvl w:ilvl="1">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1)"/>
      <w:numFmt w:val="decimal"/>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1)"/>
      <w:numFmt w:val="decimal"/>
      <w:start w:val="1"/>
    </w:lvl>
  </w:abstractNum>
  <w:abstractNum w:abstractNumId="28">
    <w:nsid w:val="649BB77C"/>
    <w:multiLevelType w:val="hybridMultilevel"/>
    <w:lvl w:ilvl="0">
      <w:lvlJc w:val="left"/>
      <w:lvlText w:val="(%1)"/>
      <w:numFmt w:val="lowerLetter"/>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1)"/>
      <w:numFmt w:val="lowerLetter"/>
      <w:start w:val="1"/>
    </w:lvl>
  </w:abstractNum>
  <w:abstractNum w:abstractNumId="34">
    <w:nsid w:val="47398C89"/>
    <w:multiLevelType w:val="hybridMultilevel"/>
    <w:lvl w:ilvl="0">
      <w:lvlJc w:val="left"/>
      <w:lvlText w:val="(%1)"/>
      <w:numFmt w:val="lowerLetter"/>
      <w:start w:val="7"/>
    </w:lvl>
  </w:abstractNum>
  <w:abstractNum w:abstractNumId="35">
    <w:nsid w:val="354FE9F9"/>
    <w:multiLevelType w:val="hybridMultilevel"/>
    <w:lvl w:ilvl="0">
      <w:lvlJc w:val="left"/>
      <w:lvlText w:val="(%1)"/>
      <w:numFmt w:val="lowerLetter"/>
      <w:start w:val="1"/>
    </w:lvl>
  </w:abstractNum>
  <w:abstractNum w:abstractNumId="36">
    <w:nsid w:val="15B5AF5C"/>
    <w:multiLevelType w:val="hybridMultilevel"/>
    <w:lvl w:ilvl="0">
      <w:lvlJc w:val="left"/>
      <w:lvlText w:val="(%1)"/>
      <w:numFmt w:val="lowerLetter"/>
      <w:start w:val="7"/>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1)"/>
      <w:numFmt w:val="decimal"/>
      <w:start w:val="1"/>
    </w:lvl>
  </w:abstractNum>
  <w:abstractNum w:abstractNumId="40">
    <w:nsid w:val="3F6AB60F"/>
    <w:multiLevelType w:val="hybridMultilevel"/>
    <w:lvl w:ilvl="0">
      <w:lvlJc w:val="left"/>
      <w:lvlText w:val="(%1)"/>
      <w:numFmt w:val="decimal"/>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1)"/>
      <w:numFmt w:val="decimal"/>
      <w:start w:val="1"/>
    </w:lvl>
  </w:abstractNum>
  <w:abstractNum w:abstractNumId="48">
    <w:nsid w:val="25A70BF7"/>
    <w:multiLevelType w:val="hybridMultilevel"/>
    <w:lvl w:ilvl="0">
      <w:lvlJc w:val="left"/>
      <w:lvlText w:val="(%1)"/>
      <w:numFmt w:val="lowerLetter"/>
      <w:start w:val="1"/>
    </w:lvl>
    <w:lvl w:ilvl="1">
      <w:lvlJc w:val="left"/>
      <w:lvlText w:val="(%2)"/>
      <w:numFmt w:val="decimal"/>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1)"/>
      <w:numFmt w:val="decimal"/>
      <w:start w:val="1"/>
    </w:lvl>
  </w:abstractNum>
  <w:abstractNum w:abstractNumId="51">
    <w:nsid w:val="1F48EAA1"/>
    <w:multiLevelType w:val="hybridMultilevel"/>
    <w:lvl w:ilvl="0">
      <w:lvlJc w:val="left"/>
      <w:lvlText w:val="%1."/>
      <w:numFmt w:val="decimal"/>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1."/>
      <w:numFmt w:val="decimal"/>
      <w:start w:val="2"/>
    </w:lvl>
  </w:abstractNum>
  <w:abstractNum w:abstractNumId="54">
    <w:nsid w:val="100F8FCA"/>
    <w:multiLevelType w:val="hybridMultilevel"/>
    <w:lvl w:ilvl="0">
      <w:lvlJc w:val="left"/>
      <w:lvlText w:val="%1."/>
      <w:numFmt w:val="decimal"/>
      <w:start w:val="3"/>
    </w:lvl>
  </w:abstractNum>
  <w:abstractNum w:abstractNumId="55">
    <w:nsid w:val="6590700B"/>
    <w:multiLevelType w:val="hybridMultilevel"/>
    <w:lvl w:ilvl="0">
      <w:lvlJc w:val="left"/>
      <w:lvlText w:val="(%1)"/>
      <w:numFmt w:val="decimal"/>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1."/>
      <w:numFmt w:val="decimal"/>
      <w:start w:val="5"/>
    </w:lvl>
  </w:abstractNum>
  <w:abstractNum w:abstractNumId="60">
    <w:nsid w:val="6B94764"/>
    <w:multiLevelType w:val="hybridMultilevel"/>
    <w:lvl w:ilvl="0">
      <w:lvlJc w:val="left"/>
      <w:lvlText w:val="%1."/>
      <w:numFmt w:val="decimal"/>
      <w:start w:val="6"/>
    </w:lvl>
  </w:abstractNum>
  <w:abstractNum w:abstractNumId="61">
    <w:nsid w:val="42C296BD"/>
    <w:multiLevelType w:val="hybridMultilevel"/>
    <w:lvl w:ilvl="0">
      <w:lvlJc w:val="left"/>
      <w:lvlText w:val="•"/>
      <w:numFmt w:val="bullet"/>
      <w:start w:val="1"/>
    </w:lvl>
  </w:abstractNum>
  <w:abstractNum w:abstractNumId="62">
    <w:nsid w:val="168E121F"/>
    <w:multiLevelType w:val="hybridMultilevel"/>
    <w:lvl w:ilvl="0">
      <w:lvlJc w:val="left"/>
      <w:lvlText w:val="%1."/>
      <w:numFmt w:val="decimal"/>
      <w:start w:val="8"/>
    </w:lvl>
  </w:abstractNum>
  <w:abstractNum w:abstractNumId="63">
    <w:nsid w:val="1EBA5D23"/>
    <w:multiLevelType w:val="hybridMultilevel"/>
    <w:lvl w:ilvl="0">
      <w:lvlJc w:val="left"/>
      <w:lvlText w:val="%1."/>
      <w:numFmt w:val="decimal"/>
      <w:start w:val="9"/>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1"/>
    </w:lvl>
  </w:abstractNum>
  <w:abstractNum w:abstractNumId="67">
    <w:nsid w:val="7BD3EE7B"/>
    <w:multiLevelType w:val="hybridMultilevel"/>
    <w:lvl w:ilvl="0">
      <w:lvlJc w:val="left"/>
      <w:lvlText w:val="(%1)"/>
      <w:numFmt w:val="decimal"/>
      <w:start w:val="1"/>
    </w:lvl>
  </w:abstractNum>
  <w:abstractNum w:abstractNumId="68">
    <w:nsid w:val="51D9C564"/>
    <w:multiLevelType w:val="hybridMultilevel"/>
    <w:lvl w:ilvl="0">
      <w:lvlJc w:val="left"/>
      <w:lvlText w:val="(%1)"/>
      <w:numFmt w:val="decimal"/>
      <w:start w:val="1"/>
    </w:lvl>
  </w:abstractNum>
  <w:abstractNum w:abstractNumId="69">
    <w:nsid w:val="613EFDC5"/>
    <w:multiLevelType w:val="hybridMultilevel"/>
    <w:lvl w:ilvl="0">
      <w:lvlJc w:val="left"/>
      <w:lvlText w:val="(%1)"/>
      <w:numFmt w:val="decimal"/>
      <w:start w:val="1"/>
    </w:lvl>
  </w:abstractNum>
  <w:abstractNum w:abstractNumId="70">
    <w:nsid w:val="BF72B14"/>
    <w:multiLevelType w:val="hybridMultilevel"/>
    <w:lvl w:ilvl="0">
      <w:lvlJc w:val="left"/>
      <w:lvlText w:val="%1"/>
      <w:numFmt w:val="decimal"/>
      <w:start w:val="1"/>
    </w:lvl>
    <w:lvl w:ilvl="1">
      <w:lvlJc w:val="left"/>
      <w:lvlText w:val="(%2)"/>
      <w:numFmt w:val="decimal"/>
      <w:start w:val="1"/>
    </w:lvl>
  </w:abstractNum>
  <w:abstractNum w:abstractNumId="71">
    <w:nsid w:val="11447B73"/>
    <w:multiLevelType w:val="hybridMultilevel"/>
    <w:lvl w:ilvl="0">
      <w:lvlJc w:val="left"/>
      <w:lvlText w:val="%1."/>
      <w:numFmt w:val="decimal"/>
      <w:start w:val="13"/>
    </w:lvl>
    <w:lvl w:ilvl="1">
      <w:lvlJc w:val="left"/>
      <w:lvlText w:val="%2"/>
      <w:numFmt w:val="decimal"/>
      <w:start w:val="1"/>
    </w:lvl>
  </w:abstractNum>
  <w:abstractNum w:abstractNumId="72">
    <w:nsid w:val="42963E5A"/>
    <w:multiLevelType w:val="hybridMultilevel"/>
    <w:lvl w:ilvl="0">
      <w:lvlJc w:val="left"/>
      <w:lvlText w:val="&amp;"/>
      <w:numFmt w:val="bullet"/>
      <w:start w:val="1"/>
    </w:lvl>
  </w:abstractNum>
  <w:abstractNum w:abstractNumId="73">
    <w:nsid w:val="A0382C5"/>
    <w:multiLevelType w:val="hybridMultilevel"/>
    <w:lvl w:ilvl="0">
      <w:lvlJc w:val="left"/>
      <w:lvlText w:val="%1."/>
      <w:numFmt w:val="decimal"/>
      <w:start w:val="14"/>
    </w:lvl>
  </w:abstractNum>
  <w:abstractNum w:abstractNumId="74">
    <w:nsid w:val="8F2B15E"/>
    <w:multiLevelType w:val="hybridMultilevel"/>
    <w:lvl w:ilvl="0">
      <w:lvlJc w:val="left"/>
      <w:lvlText w:val="%1."/>
      <w:numFmt w:val="decimal"/>
      <w:start w:val="15"/>
    </w:lvl>
  </w:abstractNum>
  <w:abstractNum w:abstractNumId="75">
    <w:nsid w:val="1A32234B"/>
    <w:multiLevelType w:val="hybridMultilevel"/>
    <w:lvl w:ilvl="0">
      <w:lvlJc w:val="left"/>
      <w:lvlText w:val="%1."/>
      <w:numFmt w:val="decimal"/>
      <w:start w:val="7"/>
    </w:lvl>
  </w:abstractNum>
  <w:abstractNum w:abstractNumId="76">
    <w:nsid w:val="3B0FD379"/>
    <w:multiLevelType w:val="hybridMultilevel"/>
    <w:lvl w:ilvl="0">
      <w:lvlJc w:val="left"/>
      <w:lvlText w:val="(%1)"/>
      <w:numFmt w:val="decimal"/>
      <w:start w:val="1"/>
    </w:lvl>
  </w:abstractNum>
  <w:abstractNum w:abstractNumId="77">
    <w:nsid w:val="68EB2F63"/>
    <w:multiLevelType w:val="hybridMultilevel"/>
    <w:lvl w:ilvl="0">
      <w:lvlJc w:val="left"/>
      <w:lvlText w:val="1"/>
      <w:numFmt w:val="bullet"/>
      <w:start w:val="1"/>
    </w:lvl>
  </w:abstractNum>
  <w:abstractNum w:abstractNumId="78">
    <w:nsid w:val="4962813B"/>
    <w:multiLevelType w:val="hybridMultilevel"/>
    <w:lvl w:ilvl="0">
      <w:lvlJc w:val="left"/>
      <w:lvlText w:val="%1."/>
      <w:numFmt w:val="decimal"/>
      <w:start w:val="1"/>
    </w:lvl>
    <w:lvl w:ilvl="1">
      <w:lvlJc w:val="left"/>
      <w:lvlText w:val="%2."/>
      <w:numFmt w:val="lowerLetter"/>
      <w:start w:val="1"/>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88" Type="http://schemas.openxmlformats.org/officeDocument/2006/relationships/image" Target="media/image135.png"/><Relationship Id="rId189" Type="http://schemas.openxmlformats.org/officeDocument/2006/relationships/image" Target="media/image136.png"/><Relationship Id="rId195" Type="http://schemas.openxmlformats.org/officeDocument/2006/relationships/image" Target="media/image137.png"/><Relationship Id="rId196" Type="http://schemas.openxmlformats.org/officeDocument/2006/relationships/image" Target="media/image138.png"/><Relationship Id="rId197" Type="http://schemas.openxmlformats.org/officeDocument/2006/relationships/image" Target="media/image139.png"/><Relationship Id="rId198" Type="http://schemas.openxmlformats.org/officeDocument/2006/relationships/image" Target="media/image140.png"/><Relationship Id="rId138" Type="http://schemas.openxmlformats.org/officeDocument/2006/relationships/hyperlink" Target="http://www.sec.gov/Archives/edgar/data/1817358/000119312520264744/d910645dex31.htm" TargetMode="External"/><Relationship Id="rId139" Type="http://schemas.openxmlformats.org/officeDocument/2006/relationships/hyperlink" Target="http://www.sec.gov/Archives/edgar/data/1817358/000119312520264744/d910645dex32.htm" TargetMode="External"/><Relationship Id="rId140" Type="http://schemas.openxmlformats.org/officeDocument/2006/relationships/hyperlink" Target="http://www.sec.gov/Archives/edgar/data/0001817358/000119312520287988/d22150dex41.htm" TargetMode="External"/><Relationship Id="rId141" Type="http://schemas.openxmlformats.org/officeDocument/2006/relationships/hyperlink" Target="http://www.sec.gov/Archives/edgar/data/0001817358/000181735821000059/exhibit43-fy2020.htm" TargetMode="External"/><Relationship Id="rId142" Type="http://schemas.openxmlformats.org/officeDocument/2006/relationships/hyperlink" Target="http://www.sec.gov/Archives/edgar/data/0001817358/000119312520287988/d22150dex101.htm" TargetMode="External"/><Relationship Id="rId143" Type="http://schemas.openxmlformats.org/officeDocument/2006/relationships/hyperlink" Target="http://www.sec.gov/Archives/edgar/data/0001817358/000181735821000102/exh101-asoxamendmentno4r.htm" TargetMode="External"/><Relationship Id="rId144" Type="http://schemas.openxmlformats.org/officeDocument/2006/relationships/hyperlink" Target="http://www.sec.gov/Archives/edgar/data/0001817358/000119312520242076/d934024dex102.htm" TargetMode="External"/><Relationship Id="rId145" Type="http://schemas.openxmlformats.org/officeDocument/2006/relationships/hyperlink" Target="http://www.sec.gov/Archives/edgar/data/0001817358/000119312520242076/d934024dex103.htm" TargetMode="External"/><Relationship Id="rId146" Type="http://schemas.openxmlformats.org/officeDocument/2006/relationships/hyperlink" Target="http://www.sec.gov/Archives/edgar/data/0001817358/000119312520242076/d934024dex104.htm" TargetMode="External"/><Relationship Id="rId147" Type="http://schemas.openxmlformats.org/officeDocument/2006/relationships/hyperlink" Target="http://www.sec.gov/Archives/edgar/data/0001817358/000119312521016235/d103203dex105.htm" TargetMode="External"/><Relationship Id="rId148" Type="http://schemas.openxmlformats.org/officeDocument/2006/relationships/hyperlink" Target="http://www.sec.gov/Archives/edgar/data/0001817358/000119312521016235/d103203dex106.htm" TargetMode="External"/><Relationship Id="rId149" Type="http://schemas.openxmlformats.org/officeDocument/2006/relationships/hyperlink" Target="http://www.sec.gov/Archives/edgar/data/0001817358/000119312521016235/d103203dex107.htm" TargetMode="External"/><Relationship Id="rId152" Type="http://schemas.openxmlformats.org/officeDocument/2006/relationships/hyperlink" Target="http://www.sec.gov/Archives/edgar/data/0001817358/000119312520242076/d934024dex105.htm" TargetMode="External"/><Relationship Id="rId153" Type="http://schemas.openxmlformats.org/officeDocument/2006/relationships/hyperlink" Target="https://www.sec.gov/Archives/edgar/data/0001817358/000119312520242076/d934024dex106.htm" TargetMode="External"/><Relationship Id="rId154" Type="http://schemas.openxmlformats.org/officeDocument/2006/relationships/hyperlink" Target="http://www.sec.gov/Archives/edgar/data/0001817358/000119312520287988/d22150dex102.htm" TargetMode="External"/><Relationship Id="rId155" Type="http://schemas.openxmlformats.org/officeDocument/2006/relationships/hyperlink" Target="http://www.sec.gov/Archives/edgar/data/0001817358/000119312520242076/d934024dex107.htm" TargetMode="External"/><Relationship Id="rId156" Type="http://schemas.openxmlformats.org/officeDocument/2006/relationships/hyperlink" Target="http://www.sec.gov/Archives/edgar/data/0001817358/000119312520242076/d934024dex108.htm" TargetMode="External"/><Relationship Id="rId157" Type="http://schemas.openxmlformats.org/officeDocument/2006/relationships/hyperlink" Target="http://www.sec.gov/Archives/edgar/data/0001817358/000119312521016235/d103203dex1013.htm" TargetMode="External"/><Relationship Id="rId158" Type="http://schemas.openxmlformats.org/officeDocument/2006/relationships/hyperlink" Target="http://www.sec.gov/Archives/edgar/data/0001817358/000119312521016235/d103203dex1014.htm" TargetMode="External"/><Relationship Id="rId159" Type="http://schemas.openxmlformats.org/officeDocument/2006/relationships/hyperlink" Target="http://www.sec.gov/Archives/edgar/data/0001817358/000119312520264744/d910645dex41.htm" TargetMode="External"/><Relationship Id="rId160" Type="http://schemas.openxmlformats.org/officeDocument/2006/relationships/hyperlink" Target="http://www.sec.gov/Archives/edgar/data/0001817358/000181735821000215/exhibit1001q32021.htm" TargetMode="External"/><Relationship Id="rId161" Type="http://schemas.openxmlformats.org/officeDocument/2006/relationships/hyperlink" Target="http://www.sec.gov/Archives/edgar/data/0001817358/000181735820000012/exhibit102.htm" TargetMode="External"/><Relationship Id="rId162" Type="http://schemas.openxmlformats.org/officeDocument/2006/relationships/hyperlink" Target="http://www.sec.gov/Archives/edgar/data/0001817358/000119312520252290/d934024dex1010.htm" TargetMode="External"/><Relationship Id="rId163" Type="http://schemas.openxmlformats.org/officeDocument/2006/relationships/hyperlink" Target="http://www.sec.gov/Archives/edgar/data/0001817358/000119312520252290/d934024dex1011.htm" TargetMode="External"/><Relationship Id="rId164" Type="http://schemas.openxmlformats.org/officeDocument/2006/relationships/hyperlink" Target="http://www.sec.gov/Archives/edgar/data/0001817358/000119312520252290/d934024dex1012.htm" TargetMode="External"/><Relationship Id="rId165" Type="http://schemas.openxmlformats.org/officeDocument/2006/relationships/hyperlink" Target="http://www.sec.gov/Archives/edgar/data/0001817358/000181735821000059/a1019fy2020.htm" TargetMode="External"/><Relationship Id="rId168" Type="http://schemas.openxmlformats.org/officeDocument/2006/relationships/hyperlink" Target="http://www.sec.gov/Archives/edgar/data/1817358/000119312520242076/d934024dex1013.htm" TargetMode="External"/><Relationship Id="rId169" Type="http://schemas.openxmlformats.org/officeDocument/2006/relationships/hyperlink" Target="https://www.sec.gov/Archives/edgar/data/1817358/000119312520242076/d934024dex1014.htm" TargetMode="External"/><Relationship Id="rId170" Type="http://schemas.openxmlformats.org/officeDocument/2006/relationships/hyperlink" Target="http://www.sec.gov/Archives/edgar/data/1817358/000119312520242076/d934024dex1015.htm" TargetMode="External"/><Relationship Id="rId171" Type="http://schemas.openxmlformats.org/officeDocument/2006/relationships/hyperlink" Target="http://www.sec.gov/Archives/edgar/data/1817358/000119312520242076/d934024dex1016.htm" TargetMode="External"/><Relationship Id="rId172" Type="http://schemas.openxmlformats.org/officeDocument/2006/relationships/hyperlink" Target="http://www.sec.gov/Archives/edgar/data/1817358/000119312520242076/d934024dex1017.htm" TargetMode="External"/><Relationship Id="rId173" Type="http://schemas.openxmlformats.org/officeDocument/2006/relationships/hyperlink" Target="http://www.sec.gov/Archives/edgar/data/1817358/000119312520242076/d934024dex1018.htm" TargetMode="External"/><Relationship Id="rId174" Type="http://schemas.openxmlformats.org/officeDocument/2006/relationships/hyperlink" Target="http://www.sec.gov/Archives/edgar/data/1817358/000119312520242076/d934024dex1019.htm" TargetMode="External"/><Relationship Id="rId175" Type="http://schemas.openxmlformats.org/officeDocument/2006/relationships/hyperlink" Target="http://www.sec.gov/Archives/edgar/data/0001817358/000181735821000059/exhibit1027.htm" TargetMode="External"/><Relationship Id="rId176" Type="http://schemas.openxmlformats.org/officeDocument/2006/relationships/hyperlink" Target="http://www.sec.gov/Archives/edgar/data/1817358/000119312520242076/d934024dex1020.htm" TargetMode="External"/><Relationship Id="rId177" Type="http://schemas.openxmlformats.org/officeDocument/2006/relationships/hyperlink" Target="http://www.sec.gov/Archives/edgar/data/1817358/000119312520242076/d934024dex1021.htm" TargetMode="External"/><Relationship Id="rId178" Type="http://schemas.openxmlformats.org/officeDocument/2006/relationships/hyperlink" Target="http://www.sec.gov/Archives/edgar/data/1817358/000119312520242076/d934024dex1022.htm" TargetMode="External"/><Relationship Id="rId179" Type="http://schemas.openxmlformats.org/officeDocument/2006/relationships/hyperlink" Target="http://www.sec.gov/Archives/edgar/data/1817358/000119312520242076/d934024dex1023.htm" TargetMode="External"/><Relationship Id="rId180" Type="http://schemas.openxmlformats.org/officeDocument/2006/relationships/hyperlink" Target="http://www.sec.gov/Archives/edgar/data/1817358/000119312520242076/d934024dex1024.htm" TargetMode="External"/><Relationship Id="rId181" Type="http://schemas.openxmlformats.org/officeDocument/2006/relationships/hyperlink" Target="http://www.sec.gov/Archives/edgar/data/1817358/000119312520242076/d934024dex1025.htm" TargetMode="External"/><Relationship Id="rId182" Type="http://schemas.openxmlformats.org/officeDocument/2006/relationships/hyperlink" Target="http://www.sec.gov/Archives/edgar/data/1817358/000119312520242076/d934024dex1026.htm" TargetMode="External"/><Relationship Id="rId183" Type="http://schemas.openxmlformats.org/officeDocument/2006/relationships/hyperlink" Target="http://www.sec.gov/Archives/edgar/data/1817358/000119312520242076/d934024dex1027.htm" TargetMode="External"/><Relationship Id="rId184" Type="http://schemas.openxmlformats.org/officeDocument/2006/relationships/hyperlink" Target="http://www.sec.gov/Archives/edgar/data/1817358/000119312520242076/d934024dex1028.htm" TargetMode="External"/><Relationship Id="rId185" Type="http://schemas.openxmlformats.org/officeDocument/2006/relationships/hyperlink" Target="http://www.sec.gov/Archives/edgar/data/1817358/000119312520242076/d934024dex1029.htm" TargetMode="External"/><Relationship Id="rId186" Type="http://schemas.openxmlformats.org/officeDocument/2006/relationships/hyperlink" Target="http://www.sec.gov/Archives/edgar/data/1817358/000119312520242076/d934024dex1030.htm" TargetMode="External"/><Relationship Id="rId187" Type="http://schemas.openxmlformats.org/officeDocument/2006/relationships/hyperlink" Target="http://www.sec.gov/Archives/edgar/data/1817358/000119312520242076/d934024dex1031.htm" TargetMode="External"/><Relationship Id="rId190" Type="http://schemas.openxmlformats.org/officeDocument/2006/relationships/hyperlink" Target="http://www.sec.gov/Archives/edgar/data/1817358/000119312520242076/d934024dex1032.htm" TargetMode="External"/><Relationship Id="rId191" Type="http://schemas.openxmlformats.org/officeDocument/2006/relationships/hyperlink" Target="http://www.sec.gov/Archives/edgar/data/0001817358/000181735821000059/exhibit1041-fy2020.htm" TargetMode="External"/><Relationship Id="rId192" Type="http://schemas.openxmlformats.org/officeDocument/2006/relationships/hyperlink" Target="http://www.sec.gov/Archives/edgar/data/0001817358/000119312520252290/d934024dex1034.htm" TargetMode="External"/><Relationship Id="rId193" Type="http://schemas.openxmlformats.org/officeDocument/2006/relationships/hyperlink" Target="http://www.sec.gov/Archives/edgar/data/0001817358/000119312520264744/d910645dex101.htm" TargetMode="External"/><Relationship Id="rId194" Type="http://schemas.openxmlformats.org/officeDocument/2006/relationships/hyperlink" Target="http://www.sec.gov/Archives/edgar/data/0001817358/000119312520252290/d934024dex103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2022-03-29T15:24:39Z</dcterms:created>
  <dcterms:modified xsi:type="dcterms:W3CDTF">2022-03-29T15:24:39Z</dcterms:modified>
</cp:coreProperties>
</file>