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260350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277495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4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93345</wp:posOffset>
            </wp:positionV>
            <wp:extent cx="17030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93345</wp:posOffset>
            </wp:positionV>
            <wp:extent cx="17030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3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4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1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March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98425</wp:posOffset>
            </wp:positionV>
            <wp:extent cx="17030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3070" cy="571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138430</wp:posOffset>
            </wp:positionV>
            <wp:extent cx="914400" cy="280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0" cy="280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91440</wp:posOffset>
            </wp:positionV>
            <wp:extent cx="17030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48" w:lineRule="exact"/>
        <w:rPr>
          <w:sz w:val="24"/>
          <w:szCs w:val="24"/>
          <w:color w:val="auto"/>
        </w:rPr>
      </w:pPr>
    </w:p>
    <w:tbl>
      <w:tblPr>
        <w:tblLayout w:type="fixed"/>
        <w:tblInd w:w="1520" w:type="dxa"/>
        <w:tblCellMar>
          <w:top w:w="0" w:type="dxa"/>
          <w:left w:w="0" w:type="dxa"/>
          <w:bottom w:w="0" w:type="dxa"/>
          <w:right w:w="0" w:type="dxa"/>
        </w:tblCellMar>
      </w:tblPr>
      <w:tr>
        <w:trPr>
          <w:trHeight w:val="142"/>
        </w:trPr>
        <w:tc>
          <w:tcPr>
            <w:tcW w:w="2020" w:type="dxa"/>
            <w:vAlign w:val="bottom"/>
          </w:tcPr>
          <w:p>
            <w:pPr>
              <w:ind w:left="480"/>
              <w:spacing w:after="0"/>
              <w:rPr>
                <w:sz w:val="20"/>
                <w:szCs w:val="20"/>
                <w:color w:val="auto"/>
              </w:rPr>
            </w:pPr>
            <w:r>
              <w:rPr>
                <w:rFonts w:ascii="Times New Roman" w:cs="Times New Roman" w:eastAsia="Times New Roman" w:hAnsi="Times New Roman"/>
                <w:sz w:val="10"/>
                <w:szCs w:val="10"/>
                <w:b w:val="1"/>
                <w:bCs w:val="1"/>
                <w:color w:val="auto"/>
              </w:rPr>
              <w:t>Delaware</w:t>
            </w:r>
          </w:p>
        </w:tc>
        <w:tc>
          <w:tcPr>
            <w:tcW w:w="4320" w:type="dxa"/>
            <w:vAlign w:val="bottom"/>
          </w:tcPr>
          <w:p>
            <w:pPr>
              <w:jc w:val="right"/>
              <w:ind w:right="1926"/>
              <w:spacing w:after="0"/>
              <w:rPr>
                <w:sz w:val="20"/>
                <w:szCs w:val="20"/>
                <w:color w:val="auto"/>
              </w:rPr>
            </w:pPr>
            <w:r>
              <w:rPr>
                <w:rFonts w:ascii="Times New Roman" w:cs="Times New Roman" w:eastAsia="Times New Roman" w:hAnsi="Times New Roman"/>
                <w:sz w:val="11"/>
                <w:szCs w:val="11"/>
                <w:b w:val="1"/>
                <w:bCs w:val="1"/>
                <w:color w:val="auto"/>
              </w:rPr>
              <w:t>001-39589</w:t>
            </w:r>
          </w:p>
        </w:tc>
        <w:tc>
          <w:tcPr>
            <w:tcW w:w="168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85-1800912</w:t>
            </w:r>
          </w:p>
        </w:tc>
      </w:tr>
      <w:tr>
        <w:trPr>
          <w:trHeight w:val="207"/>
        </w:trPr>
        <w:tc>
          <w:tcPr>
            <w:tcW w:w="2020" w:type="dxa"/>
            <w:vAlign w:val="bottom"/>
          </w:tcPr>
          <w:p>
            <w:pPr>
              <w:jc w:val="center"/>
              <w:ind w:right="708"/>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w w:val="97"/>
              </w:rPr>
              <w:t>(Commission</w:t>
            </w:r>
          </w:p>
        </w:tc>
        <w:tc>
          <w:tcPr>
            <w:tcW w:w="1680" w:type="dxa"/>
            <w:vAlign w:val="bottom"/>
          </w:tcPr>
          <w:p>
            <w:pPr>
              <w:jc w:val="center"/>
              <w:ind w:left="808"/>
              <w:spacing w:after="0"/>
              <w:rPr>
                <w:sz w:val="20"/>
                <w:szCs w:val="20"/>
                <w:color w:val="auto"/>
              </w:rPr>
            </w:pPr>
            <w:r>
              <w:rPr>
                <w:rFonts w:ascii="Times New Roman" w:cs="Times New Roman" w:eastAsia="Times New Roman" w:hAnsi="Times New Roman"/>
                <w:sz w:val="11"/>
                <w:szCs w:val="11"/>
                <w:color w:val="auto"/>
                <w:w w:val="98"/>
              </w:rPr>
              <w:t>(I.R.S. Employer</w:t>
            </w:r>
          </w:p>
        </w:tc>
      </w:tr>
      <w:tr>
        <w:trPr>
          <w:trHeight w:val="207"/>
        </w:trPr>
        <w:tc>
          <w:tcPr>
            <w:tcW w:w="2020" w:type="dxa"/>
            <w:vAlign w:val="bottom"/>
          </w:tcPr>
          <w:p>
            <w:pPr>
              <w:jc w:val="center"/>
              <w:ind w:right="708"/>
              <w:spacing w:after="0"/>
              <w:rPr>
                <w:sz w:val="20"/>
                <w:szCs w:val="20"/>
                <w:color w:val="auto"/>
              </w:rPr>
            </w:pPr>
            <w:r>
              <w:rPr>
                <w:rFonts w:ascii="Times New Roman" w:cs="Times New Roman" w:eastAsia="Times New Roman" w:hAnsi="Times New Roman"/>
                <w:sz w:val="11"/>
                <w:szCs w:val="11"/>
                <w:color w:val="auto"/>
                <w:w w:val="98"/>
              </w:rPr>
              <w:t>incorporation)</w:t>
            </w: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rPr>
              <w:t>File No.)</w:t>
            </w:r>
          </w:p>
        </w:tc>
        <w:tc>
          <w:tcPr>
            <w:tcW w:w="1680" w:type="dxa"/>
            <w:vAlign w:val="bottom"/>
          </w:tcPr>
          <w:p>
            <w:pPr>
              <w:jc w:val="center"/>
              <w:ind w:left="828"/>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25"/>
        </w:trPr>
        <w:tc>
          <w:tcPr>
            <w:tcW w:w="2020" w:type="dxa"/>
            <w:vAlign w:val="bottom"/>
          </w:tcPr>
          <w:p>
            <w:pPr>
              <w:spacing w:after="0"/>
              <w:rPr>
                <w:sz w:val="19"/>
                <w:szCs w:val="19"/>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1800 North Mason Road</w:t>
            </w:r>
          </w:p>
        </w:tc>
        <w:tc>
          <w:tcPr>
            <w:tcW w:w="1680" w:type="dxa"/>
            <w:vAlign w:val="bottom"/>
          </w:tcPr>
          <w:p>
            <w:pPr>
              <w:spacing w:after="0"/>
              <w:rPr>
                <w:sz w:val="19"/>
                <w:szCs w:val="19"/>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Katy, Texas 77449</w:t>
            </w:r>
          </w:p>
        </w:tc>
        <w:tc>
          <w:tcPr>
            <w:tcW w:w="1680" w:type="dxa"/>
            <w:vAlign w:val="bottom"/>
          </w:tcPr>
          <w:p>
            <w:pPr>
              <w:spacing w:after="0"/>
              <w:rPr>
                <w:sz w:val="14"/>
                <w:szCs w:val="14"/>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ind w:left="880"/>
              <w:spacing w:after="0"/>
              <w:rPr>
                <w:sz w:val="20"/>
                <w:szCs w:val="20"/>
                <w:color w:val="auto"/>
              </w:rPr>
            </w:pPr>
            <w:r>
              <w:rPr>
                <w:rFonts w:ascii="Times New Roman" w:cs="Times New Roman" w:eastAsia="Times New Roman" w:hAnsi="Times New Roman"/>
                <w:sz w:val="11"/>
                <w:szCs w:val="11"/>
                <w:i w:val="1"/>
                <w:iCs w:val="1"/>
                <w:color w:val="auto"/>
              </w:rPr>
              <w:t>(Address of principal executive offices, including Zip Code)</w:t>
            </w:r>
          </w:p>
        </w:tc>
        <w:tc>
          <w:tcPr>
            <w:tcW w:w="1680" w:type="dxa"/>
            <w:vAlign w:val="bottom"/>
          </w:tcPr>
          <w:p>
            <w:pPr>
              <w:spacing w:after="0"/>
              <w:rPr>
                <w:sz w:val="14"/>
                <w:szCs w:val="14"/>
                <w:color w:val="auto"/>
              </w:rPr>
            </w:pPr>
          </w:p>
        </w:tc>
      </w:tr>
      <w:tr>
        <w:trPr>
          <w:trHeight w:val="225"/>
        </w:trPr>
        <w:tc>
          <w:tcPr>
            <w:tcW w:w="2020" w:type="dxa"/>
            <w:vAlign w:val="bottom"/>
          </w:tcPr>
          <w:p>
            <w:pPr>
              <w:spacing w:after="0"/>
              <w:rPr>
                <w:sz w:val="19"/>
                <w:szCs w:val="19"/>
                <w:color w:val="auto"/>
              </w:rPr>
            </w:pPr>
          </w:p>
        </w:tc>
        <w:tc>
          <w:tcPr>
            <w:tcW w:w="4320" w:type="dxa"/>
            <w:vAlign w:val="bottom"/>
          </w:tcPr>
          <w:p>
            <w:pPr>
              <w:jc w:val="right"/>
              <w:ind w:right="1826"/>
              <w:spacing w:after="0"/>
              <w:rPr>
                <w:sz w:val="20"/>
                <w:szCs w:val="20"/>
                <w:color w:val="auto"/>
              </w:rPr>
            </w:pPr>
            <w:r>
              <w:rPr>
                <w:rFonts w:ascii="Times New Roman" w:cs="Times New Roman" w:eastAsia="Times New Roman" w:hAnsi="Times New Roman"/>
                <w:sz w:val="11"/>
                <w:szCs w:val="11"/>
                <w:b w:val="1"/>
                <w:bCs w:val="1"/>
                <w:color w:val="auto"/>
              </w:rPr>
              <w:t>(281) 646-5200</w:t>
            </w:r>
          </w:p>
        </w:tc>
        <w:tc>
          <w:tcPr>
            <w:tcW w:w="1680" w:type="dxa"/>
            <w:vAlign w:val="bottom"/>
          </w:tcPr>
          <w:p>
            <w:pPr>
              <w:spacing w:after="0"/>
              <w:rPr>
                <w:sz w:val="19"/>
                <w:szCs w:val="19"/>
                <w:color w:val="auto"/>
              </w:rPr>
            </w:pPr>
          </w:p>
        </w:tc>
      </w:tr>
      <w:tr>
        <w:trPr>
          <w:trHeight w:val="198"/>
        </w:trPr>
        <w:tc>
          <w:tcPr>
            <w:tcW w:w="2020" w:type="dxa"/>
            <w:vAlign w:val="bottom"/>
          </w:tcPr>
          <w:p>
            <w:pPr>
              <w:spacing w:after="0"/>
              <w:rPr>
                <w:sz w:val="17"/>
                <w:szCs w:val="17"/>
                <w:color w:val="auto"/>
              </w:rPr>
            </w:pPr>
          </w:p>
        </w:tc>
        <w:tc>
          <w:tcPr>
            <w:tcW w:w="43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6"/>
              </w:rPr>
              <w:t>(Registrant’s telephone number, including area code)</w:t>
            </w:r>
          </w:p>
        </w:tc>
        <w:tc>
          <w:tcPr>
            <w:tcW w:w="1680" w:type="dxa"/>
            <w:vAlign w:val="bottom"/>
          </w:tcPr>
          <w:p>
            <w:pPr>
              <w:spacing w:after="0"/>
              <w:rPr>
                <w:sz w:val="17"/>
                <w:szCs w:val="17"/>
                <w:color w:val="auto"/>
              </w:rPr>
            </w:pPr>
          </w:p>
        </w:tc>
      </w:tr>
      <w:tr>
        <w:trPr>
          <w:trHeight w:val="306"/>
        </w:trPr>
        <w:tc>
          <w:tcPr>
            <w:tcW w:w="2020" w:type="dxa"/>
            <w:vAlign w:val="bottom"/>
          </w:tcPr>
          <w:p>
            <w:pPr>
              <w:spacing w:after="0"/>
              <w:rPr>
                <w:sz w:val="24"/>
                <w:szCs w:val="24"/>
                <w:color w:val="auto"/>
              </w:rPr>
            </w:pP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Not Applicable</w:t>
            </w:r>
          </w:p>
        </w:tc>
        <w:tc>
          <w:tcPr>
            <w:tcW w:w="1680" w:type="dxa"/>
            <w:vAlign w:val="bottom"/>
          </w:tcPr>
          <w:p>
            <w:pPr>
              <w:spacing w:after="0"/>
              <w:rPr>
                <w:sz w:val="24"/>
                <w:szCs w:val="24"/>
                <w:color w:val="auto"/>
              </w:rPr>
            </w:pPr>
          </w:p>
        </w:tc>
      </w:tr>
      <w:tr>
        <w:trPr>
          <w:trHeight w:val="162"/>
        </w:trPr>
        <w:tc>
          <w:tcPr>
            <w:tcW w:w="2020" w:type="dxa"/>
            <w:vAlign w:val="bottom"/>
          </w:tcPr>
          <w:p>
            <w:pPr>
              <w:spacing w:after="0"/>
              <w:rPr>
                <w:sz w:val="14"/>
                <w:szCs w:val="14"/>
                <w:color w:val="auto"/>
              </w:rPr>
            </w:pPr>
          </w:p>
        </w:tc>
        <w:tc>
          <w:tcPr>
            <w:tcW w:w="4320" w:type="dxa"/>
            <w:vAlign w:val="bottom"/>
          </w:tcPr>
          <w:p>
            <w:pPr>
              <w:jc w:val="center"/>
              <w:ind w:right="46"/>
              <w:spacing w:after="0"/>
              <w:rPr>
                <w:sz w:val="20"/>
                <w:szCs w:val="20"/>
                <w:color w:val="auto"/>
              </w:rPr>
            </w:pPr>
            <w:r>
              <w:rPr>
                <w:rFonts w:ascii="Times New Roman" w:cs="Times New Roman" w:eastAsia="Times New Roman" w:hAnsi="Times New Roman"/>
                <w:sz w:val="11"/>
                <w:szCs w:val="11"/>
                <w:i w:val="1"/>
                <w:iCs w:val="1"/>
                <w:color w:val="auto"/>
                <w:w w:val="97"/>
              </w:rPr>
              <w:t>(Former name or former address, if changed since last report)</w:t>
            </w:r>
          </w:p>
        </w:tc>
        <w:tc>
          <w:tcPr>
            <w:tcW w:w="16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76835</wp:posOffset>
            </wp:positionV>
            <wp:extent cx="17030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140" w:hanging="135"/>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1"/>
          <w:szCs w:val="11"/>
          <w:color w:val="auto"/>
        </w:rPr>
      </w:pPr>
    </w:p>
    <w:p>
      <w:pPr>
        <w:ind w:left="140" w:hanging="136"/>
        <w:spacing w:after="0"/>
        <w:tabs>
          <w:tab w:leader="none" w:pos="1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97" w:lineRule="exact"/>
        <w:rPr>
          <w:sz w:val="24"/>
          <w:szCs w:val="24"/>
          <w:color w:val="auto"/>
        </w:rPr>
      </w:pPr>
    </w:p>
    <w:tbl>
      <w:tblPr>
        <w:tblLayout w:type="fixed"/>
        <w:tblInd w:w="1180" w:type="dxa"/>
        <w:tblCellMar>
          <w:top w:w="0" w:type="dxa"/>
          <w:left w:w="0" w:type="dxa"/>
          <w:bottom w:w="0" w:type="dxa"/>
          <w:right w:w="0" w:type="dxa"/>
        </w:tblCellMar>
      </w:tblPr>
      <w:tr>
        <w:trPr>
          <w:trHeight w:val="142"/>
        </w:trPr>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60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39"/>
        </w:trPr>
        <w:tc>
          <w:tcPr>
            <w:tcW w:w="56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1460" w:type="dxa"/>
            <w:vAlign w:val="bottom"/>
          </w:tcPr>
          <w:p>
            <w:pPr>
              <w:spacing w:after="0"/>
              <w:rPr>
                <w:sz w:val="12"/>
                <w:szCs w:val="12"/>
                <w:color w:val="auto"/>
              </w:rPr>
            </w:pPr>
          </w:p>
        </w:tc>
        <w:tc>
          <w:tcPr>
            <w:tcW w:w="2600" w:type="dxa"/>
            <w:vAlign w:val="bottom"/>
            <w:gridSpan w:val="2"/>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65"/>
        </w:trPr>
        <w:tc>
          <w:tcPr>
            <w:tcW w:w="254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8"/>
              </w:rPr>
              <w:t>Common Stock, $0.01 par value per share</w:t>
            </w:r>
          </w:p>
        </w:tc>
        <w:tc>
          <w:tcPr>
            <w:tcW w:w="1500" w:type="dxa"/>
            <w:vAlign w:val="bottom"/>
          </w:tcPr>
          <w:p>
            <w:pPr>
              <w:spacing w:after="0"/>
              <w:rPr>
                <w:sz w:val="14"/>
                <w:szCs w:val="14"/>
                <w:color w:val="auto"/>
              </w:rPr>
            </w:pPr>
          </w:p>
        </w:tc>
        <w:tc>
          <w:tcPr>
            <w:tcW w:w="2320" w:type="dxa"/>
            <w:vAlign w:val="bottom"/>
            <w:gridSpan w:val="2"/>
          </w:tcPr>
          <w:p>
            <w:pPr>
              <w:jc w:val="center"/>
              <w:ind w:right="1460"/>
              <w:spacing w:after="0"/>
              <w:rPr>
                <w:sz w:val="20"/>
                <w:szCs w:val="20"/>
                <w:color w:val="auto"/>
              </w:rPr>
            </w:pPr>
            <w:r>
              <w:rPr>
                <w:rFonts w:ascii="Times New Roman" w:cs="Times New Roman" w:eastAsia="Times New Roman" w:hAnsi="Times New Roman"/>
                <w:sz w:val="11"/>
                <w:szCs w:val="11"/>
                <w:b w:val="1"/>
                <w:bCs w:val="1"/>
                <w:color w:val="auto"/>
                <w:w w:val="97"/>
              </w:rPr>
              <w:t>ASO</w:t>
            </w:r>
          </w:p>
        </w:tc>
        <w:tc>
          <w:tcPr>
            <w:tcW w:w="6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r>
    </w:tbl>
    <w:p>
      <w:pPr>
        <w:spacing w:after="0" w:line="130" w:lineRule="exact"/>
        <w:rPr>
          <w:sz w:val="24"/>
          <w:szCs w:val="24"/>
          <w:color w:val="auto"/>
        </w:rPr>
      </w:pPr>
    </w:p>
    <w:p>
      <w:pPr>
        <w:ind w:right="600"/>
        <w:spacing w:after="0" w:line="15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4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295275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113665</wp:posOffset>
            </wp:positionV>
            <wp:extent cx="71723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040"/>
          </w:cols>
          <w:pgMar w:left="300" w:top="542" w:right="55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6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March 17, 2026, Academy Sports and Outdoors, Inc. (the “Company”) issued a press release announcing financial results for the fiscal year ended January 31, 2026. A copy of the press release is furnished herewith as Exhibit 99.1 and incorporated by reference herein.</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filing.</w:t>
      </w:r>
    </w:p>
    <w:p>
      <w:pPr>
        <w:spacing w:after="0" w:line="1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17, 2026, the Company posted the Fourth Quarter 2025 Earnings Presentation to its website at investors.academy.com. A copy of the presentation is attached hereto as Exhibit 99.2.</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contained under this Item 7.01, including Exhibit 99.2, is being furnished and shall not be deemed to be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8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the Exhibit Index immediately preceding the signature page hereto, which is incorporated herein by reference.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740" w:type="dxa"/>
            <w:vAlign w:val="bottom"/>
            <w:gridSpan w:val="2"/>
          </w:tcPr>
          <w:p>
            <w:pPr>
              <w:ind w:left="424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33"/>
        </w:trPr>
        <w:tc>
          <w:tcPr>
            <w:tcW w:w="1480" w:type="dxa"/>
            <w:vAlign w:val="bottom"/>
            <w:tcBorders>
              <w:top w:val="single" w:sz="8" w:color="auto"/>
            </w:tcBorders>
            <w:gridSpan w:val="3"/>
            <w:shd w:val="clear" w:color="auto" w:fill="CCEEFF"/>
          </w:tcPr>
          <w:p>
            <w:pPr>
              <w:jc w:val="right"/>
              <w:ind w:right="1100"/>
              <w:spacing w:after="0" w:line="133"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80" w:type="dxa"/>
            <w:vAlign w:val="bottom"/>
            <w:tcBorders>
              <w:top w:val="single" w:sz="8" w:color="CCEEFF"/>
            </w:tcBorders>
            <w:shd w:val="clear" w:color="auto" w:fill="CCEEFF"/>
          </w:tcPr>
          <w:p>
            <w:pPr>
              <w:spacing w:after="0"/>
              <w:rPr>
                <w:sz w:val="11"/>
                <w:szCs w:val="11"/>
                <w:color w:val="auto"/>
              </w:rPr>
            </w:pPr>
          </w:p>
        </w:tc>
        <w:tc>
          <w:tcPr>
            <w:tcW w:w="96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Academy Sports and Outdoors, Inc. Press Release, dated March 17, 2026.</w:t>
            </w:r>
          </w:p>
        </w:tc>
        <w:tc>
          <w:tcPr>
            <w:tcW w:w="120" w:type="dxa"/>
            <w:vAlign w:val="bottom"/>
          </w:tcPr>
          <w:p>
            <w:pPr>
              <w:spacing w:after="0"/>
              <w:rPr>
                <w:sz w:val="11"/>
                <w:szCs w:val="11"/>
                <w:color w:val="auto"/>
              </w:rPr>
            </w:pPr>
          </w:p>
        </w:tc>
      </w:tr>
      <w:tr>
        <w:trPr>
          <w:trHeight w:val="25"/>
        </w:trPr>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620" w:type="dxa"/>
            <w:vAlign w:val="bottom"/>
            <w:tcBorders>
              <w:top w:val="single" w:sz="8" w:color="CCEEFF"/>
            </w:tcBorders>
            <w:shd w:val="clear" w:color="auto" w:fill="CCEEFF"/>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1480" w:type="dxa"/>
            <w:vAlign w:val="bottom"/>
            <w:gridSpan w:val="3"/>
          </w:tcPr>
          <w:p>
            <w:pPr>
              <w:jc w:val="right"/>
              <w:ind w:right="1100"/>
              <w:spacing w:after="0" w:line="135" w:lineRule="exact"/>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80" w:type="dxa"/>
            <w:vAlign w:val="bottom"/>
          </w:tcPr>
          <w:p>
            <w:pPr>
              <w:spacing w:after="0"/>
              <w:rPr>
                <w:sz w:val="11"/>
                <w:szCs w:val="11"/>
                <w:color w:val="auto"/>
              </w:rPr>
            </w:pPr>
          </w:p>
        </w:tc>
        <w:tc>
          <w:tcPr>
            <w:tcW w:w="9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Fourth Quarter 2025 Earnings Presentation, dated March 17, 2026.</w:t>
            </w:r>
          </w:p>
        </w:tc>
      </w:tr>
      <w:tr>
        <w:trPr>
          <w:trHeight w:val="25"/>
        </w:trPr>
        <w:tc>
          <w:tcPr>
            <w:tcW w:w="1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0"/>
        </w:trPr>
        <w:tc>
          <w:tcPr>
            <w:tcW w:w="148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5"/>
                <w:szCs w:val="15"/>
                <w:color w:val="auto"/>
              </w:rPr>
            </w:pPr>
          </w:p>
        </w:tc>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120" w:type="dxa"/>
            <w:vAlign w:val="bottom"/>
          </w:tcPr>
          <w:p>
            <w:pPr>
              <w:spacing w:after="0"/>
              <w:rPr>
                <w:sz w:val="15"/>
                <w:szCs w:val="15"/>
                <w:color w:val="auto"/>
              </w:rPr>
            </w:pPr>
          </w:p>
        </w:tc>
      </w:tr>
      <w:tr>
        <w:trPr>
          <w:trHeight w:val="999"/>
        </w:trPr>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89" w:right="299" w:bottom="1440" w:gutter="0" w:footer="0" w:header="0"/>
        </w:sectPr>
      </w:pPr>
    </w:p>
    <w:bookmarkStart w:id="2" w:name="page3"/>
    <w:bookmarkEnd w:id="2"/>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ACADEMY SPORTS AND OUTDOORS, INC.</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Date: March 17, 2026</w:t>
            </w:r>
          </w:p>
        </w:tc>
        <w:tc>
          <w:tcPr>
            <w:tcW w:w="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By:</w:t>
            </w:r>
          </w:p>
        </w:tc>
        <w:tc>
          <w:tcPr>
            <w:tcW w:w="3720" w:type="dxa"/>
            <w:vAlign w:val="bottom"/>
            <w:tcBorders>
              <w:bottom w:val="single" w:sz="8" w:color="auto"/>
            </w:tcBorders>
          </w:tcPr>
          <w:p>
            <w:pPr>
              <w:jc w:val="right"/>
              <w:ind w:right="2540"/>
              <w:spacing w:after="0"/>
              <w:rPr>
                <w:sz w:val="20"/>
                <w:szCs w:val="20"/>
                <w:color w:val="auto"/>
              </w:rPr>
            </w:pPr>
            <w:r>
              <w:rPr>
                <w:rFonts w:ascii="Times New Roman" w:cs="Times New Roman" w:eastAsia="Times New Roman" w:hAnsi="Times New Roman"/>
                <w:sz w:val="12"/>
                <w:szCs w:val="12"/>
                <w:color w:val="auto"/>
              </w:rPr>
              <w:t>/s/  Brandy Treadway</w:t>
            </w:r>
          </w:p>
        </w:tc>
      </w:tr>
      <w:tr>
        <w:trPr>
          <w:trHeight w:val="160"/>
        </w:trPr>
        <w:tc>
          <w:tcPr>
            <w:tcW w:w="1260" w:type="dxa"/>
            <w:vAlign w:val="bottom"/>
          </w:tcPr>
          <w:p>
            <w:pPr>
              <w:spacing w:after="0"/>
              <w:rPr>
                <w:sz w:val="13"/>
                <w:szCs w:val="1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Name:</w:t>
            </w:r>
          </w:p>
        </w:tc>
        <w:tc>
          <w:tcPr>
            <w:tcW w:w="3720" w:type="dxa"/>
            <w:vAlign w:val="bottom"/>
          </w:tcPr>
          <w:p>
            <w:pPr>
              <w:jc w:val="right"/>
              <w:ind w:right="2540"/>
              <w:spacing w:after="0"/>
              <w:rPr>
                <w:sz w:val="20"/>
                <w:szCs w:val="20"/>
                <w:color w:val="auto"/>
              </w:rPr>
            </w:pPr>
            <w:r>
              <w:rPr>
                <w:rFonts w:ascii="Times New Roman" w:cs="Times New Roman" w:eastAsia="Times New Roman" w:hAnsi="Times New Roman"/>
                <w:sz w:val="12"/>
                <w:szCs w:val="12"/>
                <w:color w:val="auto"/>
              </w:rPr>
              <w:t>Brandy Treadway</w:t>
            </w:r>
          </w:p>
        </w:tc>
      </w:tr>
      <w:tr>
        <w:trPr>
          <w:trHeight w:val="180"/>
        </w:trPr>
        <w:tc>
          <w:tcPr>
            <w:tcW w:w="126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Title:</w:t>
            </w:r>
          </w:p>
        </w:tc>
        <w:tc>
          <w:tcPr>
            <w:tcW w:w="3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Executive Vice President, Chief Legal Officer and Corporate Secretary</w:t>
            </w:r>
          </w:p>
        </w:tc>
      </w:tr>
    </w:tbl>
    <w:p>
      <w:pPr>
        <w:sectPr>
          <w:pgSz w:w="11900" w:h="16838" w:orient="portrait"/>
          <w:cols w:equalWidth="0" w:num="1">
            <w:col w:w="10340"/>
          </w:cols>
          <w:pgMar w:left="300" w:top="989" w:right="1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24765</wp:posOffset>
            </wp:positionV>
            <wp:extent cx="126301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30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Academy Sports + Outdoors Reports Fourth Quarter and Fiscal 2025 Results</w:t>
      </w:r>
    </w:p>
    <w:p>
      <w:pPr>
        <w:spacing w:after="0" w:line="164"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Fourth Quarter Sales Growth of 2.5%; Full Year Growth of 2.0%</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Fourth Quarter Comparable Sales Declined 1.6%; Full Year Declined 1.5%</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Fourth Quarter Diluted GAAP EPS of $1.98; up 4.8%</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Opened 24 new stores in 2025; Plans to Open an Additional 20 - 25 stores in 2026</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Increased Quarterly Dividend by 15% Per Share; Fourth Year of Sequential Growth</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1"/>
          <w:szCs w:val="11"/>
          <w:i w:val="1"/>
          <w:iCs w:val="1"/>
          <w:color w:val="auto"/>
        </w:rPr>
        <w:t>Releases 2026 Full Year Guidance; Expects Annual Sales Growth of 2% - 5%</w:t>
      </w:r>
    </w:p>
    <w:p>
      <w:pPr>
        <w:spacing w:after="0" w:line="329" w:lineRule="exact"/>
        <w:rPr>
          <w:sz w:val="20"/>
          <w:szCs w:val="20"/>
          <w:color w:val="auto"/>
        </w:rPr>
      </w:pPr>
    </w:p>
    <w:p>
      <w:pPr>
        <w:ind w:right="20" w:firstLine="216"/>
        <w:spacing w:after="0" w:line="286" w:lineRule="auto"/>
        <w:rPr>
          <w:sz w:val="20"/>
          <w:szCs w:val="20"/>
          <w:color w:val="auto"/>
        </w:rPr>
      </w:pPr>
      <w:r>
        <w:rPr>
          <w:rFonts w:ascii="Arial" w:cs="Arial" w:eastAsia="Arial" w:hAnsi="Arial"/>
          <w:sz w:val="12"/>
          <w:szCs w:val="12"/>
          <w:b w:val="1"/>
          <w:bCs w:val="1"/>
          <w:color w:val="auto"/>
        </w:rPr>
        <w:t xml:space="preserve">KATY, TEXAS (Globe Newswire — March 17, 2026) </w:t>
      </w:r>
      <w:r>
        <w:rPr>
          <w:rFonts w:ascii="Arial" w:cs="Arial" w:eastAsia="Arial" w:hAnsi="Arial"/>
          <w:sz w:val="12"/>
          <w:szCs w:val="12"/>
          <w:color w:val="auto"/>
        </w:rPr>
        <w:t>– Academy Sports and Outdoors, Inc. (Nasdaq: ASO) ("Academy" or the "Company") today announced its financial results for the fourth quarter and fiscal</w:t>
      </w:r>
      <w:r>
        <w:rPr>
          <w:rFonts w:ascii="Arial" w:cs="Arial" w:eastAsia="Arial" w:hAnsi="Arial"/>
          <w:sz w:val="12"/>
          <w:szCs w:val="12"/>
          <w:b w:val="1"/>
          <w:bCs w:val="1"/>
          <w:color w:val="auto"/>
        </w:rPr>
        <w:t xml:space="preserve"> </w:t>
      </w:r>
      <w:r>
        <w:rPr>
          <w:rFonts w:ascii="Arial" w:cs="Arial" w:eastAsia="Arial" w:hAnsi="Arial"/>
          <w:sz w:val="12"/>
          <w:szCs w:val="12"/>
          <w:color w:val="auto"/>
        </w:rPr>
        <w:t>year ended January 31, 2026.</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"This past year marked an inflection point for Academy as we continued to gain market share and moved back to topline growth. During 2025, we put in place many foundational building blocks that helped drive sales and will continue to pay dividends in 2026 and beyond," said Steve Lawrence, Chief Executive Officer. “We are accelerating the digital transformation of our business and building an omni-channel experience that will deepen engagement with our customers through data-driven personalization. While we believe many of the macro-economic pressures that the customer faced in the back half of the year will continue into 2026, we are optimistic the strategies we have in place should enable us to return to consistent comp sales growth."</w:t>
      </w:r>
    </w:p>
    <w:p>
      <w:pPr>
        <w:spacing w:after="0" w:line="144" w:lineRule="exact"/>
        <w:rPr>
          <w:sz w:val="20"/>
          <w:szCs w:val="20"/>
          <w:color w:val="auto"/>
        </w:rPr>
      </w:pPr>
    </w:p>
    <w:tbl>
      <w:tblPr>
        <w:tblLayout w:type="fixed"/>
        <w:tblInd w:w="690" w:type="dxa"/>
        <w:tblCellMar>
          <w:top w:w="0" w:type="dxa"/>
          <w:left w:w="0" w:type="dxa"/>
          <w:bottom w:w="0" w:type="dxa"/>
          <w:right w:w="0" w:type="dxa"/>
        </w:tblCellMar>
      </w:tblPr>
      <w:tr>
        <w:trPr>
          <w:trHeight w:val="192"/>
        </w:trPr>
        <w:tc>
          <w:tcPr>
            <w:tcW w:w="416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Fourth Quarter Operating Results </w:t>
            </w:r>
            <w:r>
              <w:rPr>
                <w:rFonts w:ascii="Arial" w:cs="Arial" w:eastAsia="Arial" w:hAnsi="Arial"/>
                <w:sz w:val="9"/>
                <w:szCs w:val="9"/>
                <w:color w:val="FFFFFF"/>
              </w:rPr>
              <w:t>($ in millions, except per share data)</w:t>
            </w:r>
          </w:p>
        </w:tc>
        <w:tc>
          <w:tcPr>
            <w:tcW w:w="700" w:type="dxa"/>
            <w:vAlign w:val="bottom"/>
            <w:tcBorders>
              <w:top w:val="single" w:sz="8" w:color="auto"/>
            </w:tcBorders>
            <w:shd w:val="clear" w:color="auto" w:fill="1928A0"/>
          </w:tcPr>
          <w:p>
            <w:pPr>
              <w:spacing w:after="0"/>
              <w:rPr>
                <w:sz w:val="16"/>
                <w:szCs w:val="16"/>
                <w:color w:val="auto"/>
              </w:rPr>
            </w:pPr>
          </w:p>
        </w:tc>
        <w:tc>
          <w:tcPr>
            <w:tcW w:w="3180" w:type="dxa"/>
            <w:vAlign w:val="bottom"/>
            <w:tcBorders>
              <w:top w:val="single" w:sz="8" w:color="auto"/>
            </w:tcBorders>
            <w:gridSpan w:val="2"/>
            <w:shd w:val="clear" w:color="auto" w:fill="1928A0"/>
          </w:tcPr>
          <w:p>
            <w:pPr>
              <w:jc w:val="right"/>
              <w:ind w:right="739"/>
              <w:spacing w:after="0"/>
              <w:rPr>
                <w:sz w:val="20"/>
                <w:szCs w:val="20"/>
                <w:color w:val="auto"/>
              </w:rPr>
            </w:pPr>
            <w:r>
              <w:rPr>
                <w:rFonts w:ascii="Arial" w:cs="Arial" w:eastAsia="Arial" w:hAnsi="Arial"/>
                <w:sz w:val="13"/>
                <w:szCs w:val="13"/>
                <w:b w:val="1"/>
                <w:bCs w:val="1"/>
                <w:color w:val="FFFFFF"/>
              </w:rPr>
              <w:t>Thirteen Weeks Ended</w:t>
            </w:r>
          </w:p>
        </w:tc>
        <w:tc>
          <w:tcPr>
            <w:tcW w:w="660" w:type="dxa"/>
            <w:vAlign w:val="bottom"/>
            <w:tcBorders>
              <w:top w:val="single" w:sz="8" w:color="auto"/>
            </w:tcBorders>
            <w:shd w:val="clear" w:color="auto" w:fill="1928A0"/>
          </w:tcPr>
          <w:p>
            <w:pPr>
              <w:spacing w:after="0"/>
              <w:rPr>
                <w:sz w:val="16"/>
                <w:szCs w:val="16"/>
                <w:color w:val="auto"/>
              </w:rPr>
            </w:pPr>
          </w:p>
        </w:tc>
        <w:tc>
          <w:tcPr>
            <w:tcW w:w="1260" w:type="dxa"/>
            <w:vAlign w:val="bottom"/>
            <w:tcBorders>
              <w:top w:val="single" w:sz="8" w:color="auto"/>
              <w:right w:val="single" w:sz="8" w:color="auto"/>
            </w:tcBorders>
            <w:shd w:val="clear" w:color="auto" w:fill="1928A0"/>
          </w:tcPr>
          <w:p>
            <w:pPr>
              <w:ind w:left="280"/>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99"/>
        </w:trPr>
        <w:tc>
          <w:tcPr>
            <w:tcW w:w="4160" w:type="dxa"/>
            <w:vAlign w:val="bottom"/>
            <w:tcBorders>
              <w:left w:val="single" w:sz="8" w:color="auto"/>
            </w:tcBorders>
            <w:vMerge w:val="continue"/>
            <w:shd w:val="clear" w:color="auto" w:fill="1928A0"/>
          </w:tcPr>
          <w:p>
            <w:pPr>
              <w:spacing w:after="0"/>
              <w:rPr>
                <w:sz w:val="8"/>
                <w:szCs w:val="8"/>
                <w:color w:val="auto"/>
              </w:rPr>
            </w:pPr>
          </w:p>
        </w:tc>
        <w:tc>
          <w:tcPr>
            <w:tcW w:w="700" w:type="dxa"/>
            <w:vAlign w:val="bottom"/>
            <w:shd w:val="clear" w:color="auto" w:fill="1928A0"/>
          </w:tcPr>
          <w:p>
            <w:pPr>
              <w:spacing w:after="0"/>
              <w:rPr>
                <w:sz w:val="8"/>
                <w:szCs w:val="8"/>
                <w:color w:val="auto"/>
              </w:rPr>
            </w:pPr>
          </w:p>
        </w:tc>
        <w:tc>
          <w:tcPr>
            <w:tcW w:w="1660" w:type="dxa"/>
            <w:vAlign w:val="bottom"/>
            <w:vMerge w:val="restart"/>
            <w:shd w:val="clear" w:color="auto" w:fill="1928A0"/>
          </w:tcPr>
          <w:p>
            <w:pPr>
              <w:jc w:val="right"/>
              <w:ind w:right="359"/>
              <w:spacing w:after="0"/>
              <w:rPr>
                <w:sz w:val="20"/>
                <w:szCs w:val="20"/>
                <w:color w:val="auto"/>
              </w:rPr>
            </w:pPr>
            <w:r>
              <w:rPr>
                <w:rFonts w:ascii="Arial" w:cs="Arial" w:eastAsia="Arial" w:hAnsi="Arial"/>
                <w:sz w:val="13"/>
                <w:szCs w:val="13"/>
                <w:b w:val="1"/>
                <w:bCs w:val="1"/>
                <w:color w:val="FFFFFF"/>
              </w:rPr>
              <w:t>January 31, 2026</w:t>
            </w:r>
          </w:p>
        </w:tc>
        <w:tc>
          <w:tcPr>
            <w:tcW w:w="1520" w:type="dxa"/>
            <w:vAlign w:val="bottom"/>
            <w:vMerge w:val="restart"/>
            <w:shd w:val="clear" w:color="auto" w:fill="1928A0"/>
          </w:tcPr>
          <w:p>
            <w:pPr>
              <w:jc w:val="right"/>
              <w:spacing w:after="0"/>
              <w:rPr>
                <w:sz w:val="20"/>
                <w:szCs w:val="20"/>
                <w:color w:val="auto"/>
              </w:rPr>
            </w:pPr>
            <w:r>
              <w:rPr>
                <w:rFonts w:ascii="Arial" w:cs="Arial" w:eastAsia="Arial" w:hAnsi="Arial"/>
                <w:sz w:val="13"/>
                <w:szCs w:val="13"/>
                <w:b w:val="1"/>
                <w:bCs w:val="1"/>
                <w:color w:val="FFFFFF"/>
              </w:rPr>
              <w:t>February 1, 2025</w:t>
            </w:r>
          </w:p>
        </w:tc>
        <w:tc>
          <w:tcPr>
            <w:tcW w:w="660" w:type="dxa"/>
            <w:vAlign w:val="bottom"/>
            <w:shd w:val="clear" w:color="auto" w:fill="1928A0"/>
          </w:tcPr>
          <w:p>
            <w:pPr>
              <w:spacing w:after="0"/>
              <w:rPr>
                <w:sz w:val="8"/>
                <w:szCs w:val="8"/>
                <w:color w:val="auto"/>
              </w:rPr>
            </w:pPr>
          </w:p>
        </w:tc>
        <w:tc>
          <w:tcPr>
            <w:tcW w:w="1260" w:type="dxa"/>
            <w:vAlign w:val="bottom"/>
            <w:tcBorders>
              <w:right w:val="single" w:sz="8" w:color="auto"/>
            </w:tcBorders>
            <w:vMerge w:val="restart"/>
            <w:shd w:val="clear" w:color="auto" w:fill="1928A0"/>
          </w:tcPr>
          <w:p>
            <w:pPr>
              <w:jc w:val="center"/>
              <w:ind w:right="159"/>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14"/>
        </w:trPr>
        <w:tc>
          <w:tcPr>
            <w:tcW w:w="4160" w:type="dxa"/>
            <w:vAlign w:val="bottom"/>
            <w:tcBorders>
              <w:left w:val="single" w:sz="8" w:color="auto"/>
            </w:tcBorders>
            <w:shd w:val="clear" w:color="auto" w:fill="1928A0"/>
          </w:tcPr>
          <w:p>
            <w:pPr>
              <w:spacing w:after="0"/>
              <w:rPr>
                <w:sz w:val="9"/>
                <w:szCs w:val="9"/>
                <w:color w:val="auto"/>
              </w:rPr>
            </w:pPr>
          </w:p>
        </w:tc>
        <w:tc>
          <w:tcPr>
            <w:tcW w:w="700" w:type="dxa"/>
            <w:vAlign w:val="bottom"/>
            <w:shd w:val="clear" w:color="auto" w:fill="1928A0"/>
          </w:tcPr>
          <w:p>
            <w:pPr>
              <w:spacing w:after="0"/>
              <w:rPr>
                <w:sz w:val="9"/>
                <w:szCs w:val="9"/>
                <w:color w:val="auto"/>
              </w:rPr>
            </w:pPr>
          </w:p>
        </w:tc>
        <w:tc>
          <w:tcPr>
            <w:tcW w:w="1660" w:type="dxa"/>
            <w:vAlign w:val="bottom"/>
            <w:vMerge w:val="continue"/>
            <w:shd w:val="clear" w:color="auto" w:fill="1928A0"/>
          </w:tcPr>
          <w:p>
            <w:pPr>
              <w:spacing w:after="0"/>
              <w:rPr>
                <w:sz w:val="9"/>
                <w:szCs w:val="9"/>
                <w:color w:val="auto"/>
              </w:rPr>
            </w:pPr>
          </w:p>
        </w:tc>
        <w:tc>
          <w:tcPr>
            <w:tcW w:w="1520" w:type="dxa"/>
            <w:vAlign w:val="bottom"/>
            <w:vMerge w:val="continue"/>
            <w:shd w:val="clear" w:color="auto" w:fill="1928A0"/>
          </w:tcPr>
          <w:p>
            <w:pPr>
              <w:spacing w:after="0"/>
              <w:rPr>
                <w:sz w:val="9"/>
                <w:szCs w:val="9"/>
                <w:color w:val="auto"/>
              </w:rPr>
            </w:pPr>
          </w:p>
        </w:tc>
        <w:tc>
          <w:tcPr>
            <w:tcW w:w="660" w:type="dxa"/>
            <w:vAlign w:val="bottom"/>
            <w:shd w:val="clear" w:color="auto" w:fill="1928A0"/>
          </w:tcPr>
          <w:p>
            <w:pPr>
              <w:spacing w:after="0"/>
              <w:rPr>
                <w:sz w:val="9"/>
                <w:szCs w:val="9"/>
                <w:color w:val="auto"/>
              </w:rPr>
            </w:pPr>
          </w:p>
        </w:tc>
        <w:tc>
          <w:tcPr>
            <w:tcW w:w="1260" w:type="dxa"/>
            <w:vAlign w:val="bottom"/>
            <w:tcBorders>
              <w:right w:val="single" w:sz="8" w:color="auto"/>
            </w:tcBorders>
            <w:vMerge w:val="continue"/>
            <w:shd w:val="clear" w:color="auto" w:fill="1928A0"/>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1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Net sales</w:t>
            </w:r>
          </w:p>
        </w:tc>
        <w:tc>
          <w:tcPr>
            <w:tcW w:w="70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1,718.5</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w w:val="94"/>
              </w:rPr>
              <w:t>1,676.9</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4"/>
              </w:rPr>
              <w:t>2.5%</w:t>
            </w:r>
          </w:p>
        </w:tc>
        <w:tc>
          <w:tcPr>
            <w:tcW w:w="0" w:type="dxa"/>
            <w:vAlign w:val="bottom"/>
          </w:tcPr>
          <w:p>
            <w:pPr>
              <w:spacing w:after="0"/>
              <w:rPr>
                <w:sz w:val="1"/>
                <w:szCs w:val="1"/>
                <w:color w:val="auto"/>
              </w:rPr>
            </w:pPr>
          </w:p>
        </w:tc>
      </w:tr>
      <w:tr>
        <w:trPr>
          <w:trHeight w:val="172"/>
        </w:trPr>
        <w:tc>
          <w:tcPr>
            <w:tcW w:w="41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Comparable sales</w:t>
            </w:r>
          </w:p>
        </w:tc>
        <w:tc>
          <w:tcPr>
            <w:tcW w:w="7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(1.6)%</w:t>
            </w:r>
          </w:p>
        </w:tc>
        <w:tc>
          <w:tcPr>
            <w:tcW w:w="1520" w:type="dxa"/>
            <w:vAlign w:val="bottom"/>
          </w:tcPr>
          <w:p>
            <w:pPr>
              <w:spacing w:after="0"/>
              <w:rPr>
                <w:sz w:val="14"/>
                <w:szCs w:val="14"/>
                <w:color w:val="auto"/>
              </w:rPr>
            </w:pPr>
          </w:p>
        </w:tc>
        <w:tc>
          <w:tcPr>
            <w:tcW w:w="660" w:type="dxa"/>
            <w:vAlign w:val="bottom"/>
          </w:tcPr>
          <w:p>
            <w:pPr>
              <w:jc w:val="right"/>
              <w:ind w:right="240"/>
              <w:spacing w:after="0"/>
              <w:rPr>
                <w:sz w:val="20"/>
                <w:szCs w:val="20"/>
                <w:color w:val="auto"/>
              </w:rPr>
            </w:pPr>
            <w:r>
              <w:rPr>
                <w:rFonts w:ascii="Arial" w:cs="Arial" w:eastAsia="Arial" w:hAnsi="Arial"/>
                <w:sz w:val="12"/>
                <w:szCs w:val="12"/>
                <w:color w:val="auto"/>
                <w:w w:val="96"/>
              </w:rPr>
              <w:t>(3.0)%</w:t>
            </w:r>
          </w:p>
        </w:tc>
        <w:tc>
          <w:tcPr>
            <w:tcW w:w="1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Income before income tax</w:t>
            </w:r>
          </w:p>
        </w:tc>
        <w:tc>
          <w:tcPr>
            <w:tcW w:w="70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164.2</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165.3</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6"/>
              </w:rPr>
              <w:t>(0.7)%</w:t>
            </w:r>
          </w:p>
        </w:tc>
        <w:tc>
          <w:tcPr>
            <w:tcW w:w="0" w:type="dxa"/>
            <w:vAlign w:val="bottom"/>
          </w:tcPr>
          <w:p>
            <w:pPr>
              <w:spacing w:after="0"/>
              <w:rPr>
                <w:sz w:val="1"/>
                <w:szCs w:val="1"/>
                <w:color w:val="auto"/>
              </w:rPr>
            </w:pPr>
          </w:p>
        </w:tc>
      </w:tr>
      <w:tr>
        <w:trPr>
          <w:trHeight w:val="172"/>
        </w:trPr>
        <w:tc>
          <w:tcPr>
            <w:tcW w:w="41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Net income</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133.7</w:t>
            </w:r>
          </w:p>
        </w:tc>
        <w:tc>
          <w:tcPr>
            <w:tcW w:w="1520" w:type="dxa"/>
            <w:vAlign w:val="bottom"/>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133.6</w:t>
            </w:r>
          </w:p>
        </w:tc>
        <w:tc>
          <w:tcPr>
            <w:tcW w:w="1260" w:type="dxa"/>
            <w:vAlign w:val="bottom"/>
            <w:tcBorders>
              <w:right w:val="single" w:sz="8" w:color="auto"/>
            </w:tcBorders>
          </w:tcPr>
          <w:p>
            <w:pPr>
              <w:jc w:val="center"/>
              <w:ind w:right="179"/>
              <w:spacing w:after="0"/>
              <w:rPr>
                <w:sz w:val="20"/>
                <w:szCs w:val="20"/>
                <w:color w:val="auto"/>
              </w:rPr>
            </w:pPr>
            <w:r>
              <w:rPr>
                <w:rFonts w:ascii="Arial" w:cs="Arial" w:eastAsia="Arial" w:hAnsi="Arial"/>
                <w:sz w:val="12"/>
                <w:szCs w:val="12"/>
                <w:color w:val="auto"/>
                <w:w w:val="94"/>
              </w:rPr>
              <w:t>0.1%</w:t>
            </w:r>
          </w:p>
        </w:tc>
        <w:tc>
          <w:tcPr>
            <w:tcW w:w="0" w:type="dxa"/>
            <w:vAlign w:val="bottom"/>
          </w:tcPr>
          <w:p>
            <w:pPr>
              <w:spacing w:after="0"/>
              <w:rPr>
                <w:sz w:val="1"/>
                <w:szCs w:val="1"/>
                <w:color w:val="auto"/>
              </w:rPr>
            </w:pPr>
          </w:p>
        </w:tc>
      </w:tr>
      <w:tr>
        <w:trPr>
          <w:trHeight w:val="188"/>
        </w:trPr>
        <w:tc>
          <w:tcPr>
            <w:tcW w:w="41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Adjusted net income</w:t>
            </w:r>
            <w:r>
              <w:rPr>
                <w:rFonts w:ascii="Arial" w:cs="Arial" w:eastAsia="Arial" w:hAnsi="Arial"/>
                <w:sz w:val="15"/>
                <w:szCs w:val="15"/>
                <w:color w:val="auto"/>
                <w:vertAlign w:val="superscript"/>
              </w:rPr>
              <w:t>(1)</w:t>
            </w:r>
          </w:p>
        </w:tc>
        <w:tc>
          <w:tcPr>
            <w:tcW w:w="70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132.9</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138.8</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6"/>
              </w:rPr>
              <w:t>(4.3)%</w:t>
            </w:r>
          </w:p>
        </w:tc>
        <w:tc>
          <w:tcPr>
            <w:tcW w:w="0" w:type="dxa"/>
            <w:vAlign w:val="bottom"/>
          </w:tcPr>
          <w:p>
            <w:pPr>
              <w:spacing w:after="0"/>
              <w:rPr>
                <w:sz w:val="1"/>
                <w:szCs w:val="1"/>
                <w:color w:val="auto"/>
              </w:rPr>
            </w:pPr>
          </w:p>
        </w:tc>
      </w:tr>
      <w:tr>
        <w:trPr>
          <w:trHeight w:val="172"/>
        </w:trPr>
        <w:tc>
          <w:tcPr>
            <w:tcW w:w="416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Earnings per common share, diluted</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1.98</w:t>
            </w:r>
          </w:p>
        </w:tc>
        <w:tc>
          <w:tcPr>
            <w:tcW w:w="1520" w:type="dxa"/>
            <w:vAlign w:val="bottom"/>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1.89</w:t>
            </w:r>
          </w:p>
        </w:tc>
        <w:tc>
          <w:tcPr>
            <w:tcW w:w="1260" w:type="dxa"/>
            <w:vAlign w:val="bottom"/>
            <w:tcBorders>
              <w:right w:val="single" w:sz="8" w:color="auto"/>
            </w:tcBorders>
          </w:tcPr>
          <w:p>
            <w:pPr>
              <w:jc w:val="center"/>
              <w:ind w:right="179"/>
              <w:spacing w:after="0"/>
              <w:rPr>
                <w:sz w:val="20"/>
                <w:szCs w:val="20"/>
                <w:color w:val="auto"/>
              </w:rPr>
            </w:pPr>
            <w:r>
              <w:rPr>
                <w:rFonts w:ascii="Arial" w:cs="Arial" w:eastAsia="Arial" w:hAnsi="Arial"/>
                <w:sz w:val="12"/>
                <w:szCs w:val="12"/>
                <w:color w:val="auto"/>
                <w:w w:val="94"/>
              </w:rPr>
              <w:t>4.8%</w:t>
            </w:r>
          </w:p>
        </w:tc>
        <w:tc>
          <w:tcPr>
            <w:tcW w:w="0" w:type="dxa"/>
            <w:vAlign w:val="bottom"/>
          </w:tcPr>
          <w:p>
            <w:pPr>
              <w:spacing w:after="0"/>
              <w:rPr>
                <w:sz w:val="1"/>
                <w:szCs w:val="1"/>
                <w:color w:val="auto"/>
              </w:rPr>
            </w:pPr>
          </w:p>
        </w:tc>
      </w:tr>
      <w:tr>
        <w:trPr>
          <w:trHeight w:val="188"/>
        </w:trPr>
        <w:tc>
          <w:tcPr>
            <w:tcW w:w="416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Adjusted earnings per common share, diluted</w:t>
            </w:r>
            <w:r>
              <w:rPr>
                <w:rFonts w:ascii="Arial" w:cs="Arial" w:eastAsia="Arial" w:hAnsi="Arial"/>
                <w:sz w:val="15"/>
                <w:szCs w:val="15"/>
                <w:color w:val="auto"/>
                <w:vertAlign w:val="superscript"/>
              </w:rPr>
              <w:t>(1)</w:t>
            </w:r>
          </w:p>
        </w:tc>
        <w:tc>
          <w:tcPr>
            <w:tcW w:w="70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1.97</w:t>
            </w:r>
          </w:p>
        </w:tc>
        <w:tc>
          <w:tcPr>
            <w:tcW w:w="1520" w:type="dxa"/>
            <w:vAlign w:val="bottom"/>
            <w:tcBorders>
              <w:bottom w:val="single" w:sz="8" w:color="auto"/>
            </w:tcBorders>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rPr>
              <w:t>1.96</w:t>
            </w:r>
          </w:p>
        </w:tc>
        <w:tc>
          <w:tcPr>
            <w:tcW w:w="1260" w:type="dxa"/>
            <w:vAlign w:val="bottom"/>
            <w:tcBorders>
              <w:bottom w:val="single" w:sz="8" w:color="auto"/>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4"/>
              </w:rPr>
              <w:t>0.5%</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80" w:hanging="110"/>
        <w:spacing w:after="0" w:line="281" w:lineRule="auto"/>
        <w:tabs>
          <w:tab w:leader="none" w:pos="498" w:val="left"/>
        </w:tabs>
        <w:numPr>
          <w:ilvl w:val="0"/>
          <w:numId w:val="2"/>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diluted are non-GAAP measures. See "Non-GAAP Measures" and "Reconciliations of GAAP to Non-GAAP Financial Measures" below for reconciliations of non-GAAP financial measures to their most directly comparable GAAP financial measures.</w:t>
      </w:r>
    </w:p>
    <w:p>
      <w:pPr>
        <w:spacing w:after="0" w:line="209" w:lineRule="exact"/>
        <w:rPr>
          <w:sz w:val="20"/>
          <w:szCs w:val="20"/>
          <w:color w:val="auto"/>
        </w:rPr>
      </w:pPr>
    </w:p>
    <w:tbl>
      <w:tblPr>
        <w:tblLayout w:type="fixed"/>
        <w:tblInd w:w="690" w:type="dxa"/>
        <w:tblCellMar>
          <w:top w:w="0" w:type="dxa"/>
          <w:left w:w="0" w:type="dxa"/>
          <w:bottom w:w="0" w:type="dxa"/>
          <w:right w:w="0" w:type="dxa"/>
        </w:tblCellMar>
      </w:tblPr>
      <w:tr>
        <w:trPr>
          <w:trHeight w:val="192"/>
        </w:trPr>
        <w:tc>
          <w:tcPr>
            <w:tcW w:w="4040" w:type="dxa"/>
            <w:vAlign w:val="bottom"/>
            <w:tcBorders>
              <w:top w:val="single" w:sz="8" w:color="auto"/>
              <w:left w:val="single" w:sz="8" w:color="auto"/>
            </w:tcBorders>
            <w:shd w:val="clear" w:color="auto" w:fill="1928A0"/>
          </w:tcPr>
          <w:p>
            <w:pPr>
              <w:spacing w:after="0"/>
              <w:rPr>
                <w:sz w:val="16"/>
                <w:szCs w:val="16"/>
                <w:color w:val="auto"/>
              </w:rPr>
            </w:pPr>
          </w:p>
        </w:tc>
        <w:tc>
          <w:tcPr>
            <w:tcW w:w="820" w:type="dxa"/>
            <w:vAlign w:val="bottom"/>
            <w:tcBorders>
              <w:top w:val="single" w:sz="8" w:color="auto"/>
            </w:tcBorders>
            <w:shd w:val="clear" w:color="auto" w:fill="1928A0"/>
          </w:tcPr>
          <w:p>
            <w:pPr>
              <w:spacing w:after="0"/>
              <w:rPr>
                <w:sz w:val="16"/>
                <w:szCs w:val="16"/>
                <w:color w:val="auto"/>
              </w:rPr>
            </w:pPr>
          </w:p>
        </w:tc>
        <w:tc>
          <w:tcPr>
            <w:tcW w:w="3180" w:type="dxa"/>
            <w:vAlign w:val="bottom"/>
            <w:tcBorders>
              <w:top w:val="single" w:sz="8" w:color="auto"/>
            </w:tcBorders>
            <w:gridSpan w:val="2"/>
            <w:shd w:val="clear" w:color="auto" w:fill="1928A0"/>
          </w:tcPr>
          <w:p>
            <w:pPr>
              <w:jc w:val="right"/>
              <w:ind w:right="699"/>
              <w:spacing w:after="0"/>
              <w:rPr>
                <w:sz w:val="20"/>
                <w:szCs w:val="20"/>
                <w:color w:val="auto"/>
              </w:rPr>
            </w:pPr>
            <w:r>
              <w:rPr>
                <w:rFonts w:ascii="Arial" w:cs="Arial" w:eastAsia="Arial" w:hAnsi="Arial"/>
                <w:sz w:val="13"/>
                <w:szCs w:val="13"/>
                <w:b w:val="1"/>
                <w:bCs w:val="1"/>
                <w:color w:val="FFFFFF"/>
              </w:rPr>
              <w:t>Fifty-Two Weeks Ended</w:t>
            </w:r>
          </w:p>
        </w:tc>
        <w:tc>
          <w:tcPr>
            <w:tcW w:w="660" w:type="dxa"/>
            <w:vAlign w:val="bottom"/>
            <w:tcBorders>
              <w:top w:val="single" w:sz="8" w:color="auto"/>
            </w:tcBorders>
            <w:shd w:val="clear" w:color="auto" w:fill="1928A0"/>
          </w:tcPr>
          <w:p>
            <w:pPr>
              <w:spacing w:after="0"/>
              <w:rPr>
                <w:sz w:val="16"/>
                <w:szCs w:val="16"/>
                <w:color w:val="auto"/>
              </w:rPr>
            </w:pPr>
          </w:p>
        </w:tc>
        <w:tc>
          <w:tcPr>
            <w:tcW w:w="1260" w:type="dxa"/>
            <w:vAlign w:val="bottom"/>
            <w:tcBorders>
              <w:top w:val="single" w:sz="8" w:color="auto"/>
              <w:right w:val="single" w:sz="8" w:color="auto"/>
            </w:tcBorders>
            <w:shd w:val="clear" w:color="auto" w:fill="1928A0"/>
          </w:tcPr>
          <w:p>
            <w:pPr>
              <w:ind w:left="280"/>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4040" w:type="dxa"/>
            <w:vAlign w:val="bottom"/>
            <w:tcBorders>
              <w:left w:val="single" w:sz="8" w:color="auto"/>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Fiscal 2025 Operating Results </w:t>
            </w:r>
            <w:r>
              <w:rPr>
                <w:rFonts w:ascii="Arial" w:cs="Arial" w:eastAsia="Arial" w:hAnsi="Arial"/>
                <w:sz w:val="9"/>
                <w:szCs w:val="9"/>
                <w:color w:val="FFFFFF"/>
              </w:rPr>
              <w:t>($ in millions, except per share data)</w:t>
            </w:r>
          </w:p>
        </w:tc>
        <w:tc>
          <w:tcPr>
            <w:tcW w:w="820" w:type="dxa"/>
            <w:vAlign w:val="bottom"/>
            <w:shd w:val="clear" w:color="auto" w:fill="1928A0"/>
          </w:tcPr>
          <w:p>
            <w:pPr>
              <w:spacing w:after="0"/>
              <w:rPr>
                <w:sz w:val="18"/>
                <w:szCs w:val="18"/>
                <w:color w:val="auto"/>
              </w:rPr>
            </w:pPr>
          </w:p>
        </w:tc>
        <w:tc>
          <w:tcPr>
            <w:tcW w:w="1660" w:type="dxa"/>
            <w:vAlign w:val="bottom"/>
            <w:shd w:val="clear" w:color="auto" w:fill="1928A0"/>
          </w:tcPr>
          <w:p>
            <w:pPr>
              <w:jc w:val="right"/>
              <w:ind w:right="359"/>
              <w:spacing w:after="0"/>
              <w:rPr>
                <w:sz w:val="20"/>
                <w:szCs w:val="20"/>
                <w:color w:val="auto"/>
              </w:rPr>
            </w:pPr>
            <w:r>
              <w:rPr>
                <w:rFonts w:ascii="Arial" w:cs="Arial" w:eastAsia="Arial" w:hAnsi="Arial"/>
                <w:sz w:val="13"/>
                <w:szCs w:val="13"/>
                <w:b w:val="1"/>
                <w:bCs w:val="1"/>
                <w:color w:val="FFFFFF"/>
              </w:rPr>
              <w:t>January 31, 2026</w:t>
            </w:r>
          </w:p>
        </w:tc>
        <w:tc>
          <w:tcPr>
            <w:tcW w:w="152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February 1, 2025</w:t>
            </w:r>
          </w:p>
        </w:tc>
        <w:tc>
          <w:tcPr>
            <w:tcW w:w="660" w:type="dxa"/>
            <w:vAlign w:val="bottom"/>
            <w:shd w:val="clear" w:color="auto" w:fill="1928A0"/>
          </w:tcPr>
          <w:p>
            <w:pPr>
              <w:spacing w:after="0"/>
              <w:rPr>
                <w:sz w:val="18"/>
                <w:szCs w:val="18"/>
                <w:color w:val="auto"/>
              </w:rPr>
            </w:pPr>
          </w:p>
        </w:tc>
        <w:tc>
          <w:tcPr>
            <w:tcW w:w="1260" w:type="dxa"/>
            <w:vAlign w:val="bottom"/>
            <w:tcBorders>
              <w:right w:val="single" w:sz="8" w:color="auto"/>
            </w:tcBorders>
            <w:shd w:val="clear" w:color="auto" w:fill="1928A0"/>
          </w:tcPr>
          <w:p>
            <w:pPr>
              <w:jc w:val="center"/>
              <w:ind w:right="159"/>
              <w:spacing w:after="0"/>
              <w:rPr>
                <w:sz w:val="20"/>
                <w:szCs w:val="20"/>
                <w:color w:val="auto"/>
              </w:rPr>
            </w:pPr>
            <w:r>
              <w:rPr>
                <w:rFonts w:ascii="Arial" w:cs="Arial" w:eastAsia="Arial" w:hAnsi="Arial"/>
                <w:sz w:val="13"/>
                <w:szCs w:val="13"/>
                <w:b w:val="1"/>
                <w:bCs w:val="1"/>
                <w:color w:val="FFFFFF"/>
              </w:rPr>
              <w:t>%</w:t>
            </w:r>
          </w:p>
        </w:tc>
      </w:tr>
      <w:tr>
        <w:trPr>
          <w:trHeight w:val="180"/>
        </w:trPr>
        <w:tc>
          <w:tcPr>
            <w:tcW w:w="40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Net sales</w:t>
            </w:r>
          </w:p>
        </w:tc>
        <w:tc>
          <w:tcPr>
            <w:tcW w:w="82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6,053.4</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w w:val="94"/>
              </w:rPr>
              <w:t>5,933.4</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4"/>
              </w:rPr>
              <w:t>2.0%</w:t>
            </w:r>
          </w:p>
        </w:tc>
      </w:tr>
      <w:tr>
        <w:trPr>
          <w:trHeight w:val="172"/>
        </w:trPr>
        <w:tc>
          <w:tcPr>
            <w:tcW w:w="404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Comparable sales</w:t>
            </w:r>
          </w:p>
        </w:tc>
        <w:tc>
          <w:tcPr>
            <w:tcW w:w="8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(1.5)%</w:t>
            </w:r>
          </w:p>
        </w:tc>
        <w:tc>
          <w:tcPr>
            <w:tcW w:w="1520" w:type="dxa"/>
            <w:vAlign w:val="bottom"/>
          </w:tcPr>
          <w:p>
            <w:pPr>
              <w:spacing w:after="0"/>
              <w:rPr>
                <w:sz w:val="14"/>
                <w:szCs w:val="14"/>
                <w:color w:val="auto"/>
              </w:rPr>
            </w:pP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(5.1)%</w:t>
            </w:r>
          </w:p>
        </w:tc>
        <w:tc>
          <w:tcPr>
            <w:tcW w:w="1260" w:type="dxa"/>
            <w:vAlign w:val="bottom"/>
            <w:tcBorders>
              <w:right w:val="single" w:sz="8" w:color="auto"/>
            </w:tcBorders>
          </w:tcPr>
          <w:p>
            <w:pPr>
              <w:spacing w:after="0"/>
              <w:rPr>
                <w:sz w:val="14"/>
                <w:szCs w:val="14"/>
                <w:color w:val="auto"/>
              </w:rPr>
            </w:pPr>
          </w:p>
        </w:tc>
      </w:tr>
      <w:tr>
        <w:trPr>
          <w:trHeight w:val="188"/>
        </w:trPr>
        <w:tc>
          <w:tcPr>
            <w:tcW w:w="40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Income before income tax</w:t>
            </w:r>
          </w:p>
        </w:tc>
        <w:tc>
          <w:tcPr>
            <w:tcW w:w="82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486.1</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538.2</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6"/>
              </w:rPr>
              <w:t>(9.7)%</w:t>
            </w:r>
          </w:p>
        </w:tc>
      </w:tr>
      <w:tr>
        <w:trPr>
          <w:trHeight w:val="172"/>
        </w:trPr>
        <w:tc>
          <w:tcPr>
            <w:tcW w:w="404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Net income</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376.8</w:t>
            </w:r>
          </w:p>
        </w:tc>
        <w:tc>
          <w:tcPr>
            <w:tcW w:w="1520" w:type="dxa"/>
            <w:vAlign w:val="bottom"/>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418.4</w:t>
            </w:r>
          </w:p>
        </w:tc>
        <w:tc>
          <w:tcPr>
            <w:tcW w:w="1260" w:type="dxa"/>
            <w:vAlign w:val="bottom"/>
            <w:tcBorders>
              <w:right w:val="single" w:sz="8" w:color="auto"/>
            </w:tcBorders>
          </w:tcPr>
          <w:p>
            <w:pPr>
              <w:jc w:val="center"/>
              <w:ind w:right="179"/>
              <w:spacing w:after="0"/>
              <w:rPr>
                <w:sz w:val="20"/>
                <w:szCs w:val="20"/>
                <w:color w:val="auto"/>
              </w:rPr>
            </w:pPr>
            <w:r>
              <w:rPr>
                <w:rFonts w:ascii="Arial" w:cs="Arial" w:eastAsia="Arial" w:hAnsi="Arial"/>
                <w:sz w:val="12"/>
                <w:szCs w:val="12"/>
                <w:color w:val="auto"/>
                <w:w w:val="96"/>
              </w:rPr>
              <w:t>(9.9)%</w:t>
            </w:r>
          </w:p>
        </w:tc>
      </w:tr>
      <w:tr>
        <w:trPr>
          <w:trHeight w:val="188"/>
        </w:trPr>
        <w:tc>
          <w:tcPr>
            <w:tcW w:w="40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(1)</w:t>
            </w:r>
          </w:p>
        </w:tc>
        <w:tc>
          <w:tcPr>
            <w:tcW w:w="82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393.2</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439.5</w:t>
            </w:r>
          </w:p>
        </w:tc>
        <w:tc>
          <w:tcPr>
            <w:tcW w:w="1260" w:type="dxa"/>
            <w:vAlign w:val="bottom"/>
            <w:tcBorders>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9"/>
              </w:rPr>
              <w:t>(10.5)%</w:t>
            </w:r>
          </w:p>
        </w:tc>
      </w:tr>
      <w:tr>
        <w:trPr>
          <w:trHeight w:val="172"/>
        </w:trPr>
        <w:tc>
          <w:tcPr>
            <w:tcW w:w="404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Earnings per common share, diluted</w:t>
            </w:r>
          </w:p>
        </w:tc>
        <w:tc>
          <w:tcPr>
            <w:tcW w:w="8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Pr>
          <w:p>
            <w:pPr>
              <w:jc w:val="right"/>
              <w:spacing w:after="0"/>
              <w:rPr>
                <w:sz w:val="20"/>
                <w:szCs w:val="20"/>
                <w:color w:val="auto"/>
              </w:rPr>
            </w:pPr>
            <w:r>
              <w:rPr>
                <w:rFonts w:ascii="Arial" w:cs="Arial" w:eastAsia="Arial" w:hAnsi="Arial"/>
                <w:sz w:val="12"/>
                <w:szCs w:val="12"/>
                <w:color w:val="auto"/>
              </w:rPr>
              <w:t>5.54</w:t>
            </w:r>
          </w:p>
        </w:tc>
        <w:tc>
          <w:tcPr>
            <w:tcW w:w="1520" w:type="dxa"/>
            <w:vAlign w:val="bottom"/>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rPr>
              <w:t>5.73</w:t>
            </w:r>
          </w:p>
        </w:tc>
        <w:tc>
          <w:tcPr>
            <w:tcW w:w="1260" w:type="dxa"/>
            <w:vAlign w:val="bottom"/>
            <w:tcBorders>
              <w:right w:val="single" w:sz="8" w:color="auto"/>
            </w:tcBorders>
          </w:tcPr>
          <w:p>
            <w:pPr>
              <w:jc w:val="center"/>
              <w:ind w:right="179"/>
              <w:spacing w:after="0"/>
              <w:rPr>
                <w:sz w:val="20"/>
                <w:szCs w:val="20"/>
                <w:color w:val="auto"/>
              </w:rPr>
            </w:pPr>
            <w:r>
              <w:rPr>
                <w:rFonts w:ascii="Arial" w:cs="Arial" w:eastAsia="Arial" w:hAnsi="Arial"/>
                <w:sz w:val="12"/>
                <w:szCs w:val="12"/>
                <w:color w:val="auto"/>
                <w:w w:val="96"/>
              </w:rPr>
              <w:t>(3.3)%</w:t>
            </w:r>
          </w:p>
        </w:tc>
      </w:tr>
      <w:tr>
        <w:trPr>
          <w:trHeight w:val="188"/>
        </w:trPr>
        <w:tc>
          <w:tcPr>
            <w:tcW w:w="404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 xml:space="preserve">Adjusted earnings per common share, diluted </w:t>
            </w:r>
            <w:r>
              <w:rPr>
                <w:rFonts w:ascii="Arial" w:cs="Arial" w:eastAsia="Arial" w:hAnsi="Arial"/>
                <w:sz w:val="15"/>
                <w:szCs w:val="15"/>
                <w:color w:val="auto"/>
                <w:vertAlign w:val="superscript"/>
              </w:rPr>
              <w:t>(1)</w:t>
            </w:r>
          </w:p>
        </w:tc>
        <w:tc>
          <w:tcPr>
            <w:tcW w:w="82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5.78</w:t>
            </w:r>
          </w:p>
        </w:tc>
        <w:tc>
          <w:tcPr>
            <w:tcW w:w="1520" w:type="dxa"/>
            <w:vAlign w:val="bottom"/>
            <w:tcBorders>
              <w:bottom w:val="single" w:sz="8" w:color="auto"/>
            </w:tcBorders>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rPr>
              <w:t>6.02</w:t>
            </w:r>
          </w:p>
        </w:tc>
        <w:tc>
          <w:tcPr>
            <w:tcW w:w="1260" w:type="dxa"/>
            <w:vAlign w:val="bottom"/>
            <w:tcBorders>
              <w:bottom w:val="single" w:sz="8" w:color="auto"/>
              <w:right w:val="single" w:sz="8" w:color="auto"/>
            </w:tcBorders>
            <w:shd w:val="clear" w:color="auto" w:fill="DBDBDB"/>
          </w:tcPr>
          <w:p>
            <w:pPr>
              <w:jc w:val="center"/>
              <w:ind w:right="179"/>
              <w:spacing w:after="0"/>
              <w:rPr>
                <w:sz w:val="20"/>
                <w:szCs w:val="20"/>
                <w:color w:val="auto"/>
              </w:rPr>
            </w:pPr>
            <w:r>
              <w:rPr>
                <w:rFonts w:ascii="Arial" w:cs="Arial" w:eastAsia="Arial" w:hAnsi="Arial"/>
                <w:sz w:val="12"/>
                <w:szCs w:val="12"/>
                <w:color w:val="auto"/>
                <w:w w:val="96"/>
              </w:rPr>
              <w:t>(4.0)%</w:t>
            </w:r>
          </w:p>
        </w:tc>
      </w:tr>
    </w:tbl>
    <w:p>
      <w:pPr>
        <w:spacing w:after="0" w:line="204" w:lineRule="exact"/>
        <w:rPr>
          <w:sz w:val="20"/>
          <w:szCs w:val="20"/>
          <w:color w:val="auto"/>
        </w:rPr>
      </w:pPr>
    </w:p>
    <w:p>
      <w:pPr>
        <w:ind w:left="420" w:hanging="104"/>
        <w:spacing w:after="0" w:line="305" w:lineRule="auto"/>
        <w:tabs>
          <w:tab w:leader="none" w:pos="440" w:val="left"/>
        </w:tabs>
        <w:numPr>
          <w:ilvl w:val="0"/>
          <w:numId w:val="3"/>
        </w:numPr>
        <w:rPr>
          <w:rFonts w:ascii="Arial" w:cs="Arial" w:eastAsia="Arial" w:hAnsi="Arial"/>
          <w:sz w:val="8"/>
          <w:szCs w:val="8"/>
          <w:color w:val="auto"/>
        </w:rPr>
      </w:pPr>
      <w:r>
        <w:rPr>
          <w:rFonts w:ascii="Arial" w:cs="Arial" w:eastAsia="Arial" w:hAnsi="Arial"/>
          <w:sz w:val="8"/>
          <w:szCs w:val="8"/>
          <w:color w:val="auto"/>
        </w:rPr>
        <w:t>Adjusted net income and adjusted earnings per common share (EPS), diluted are non-GAAP measures. See "Non-GAAP Measures" and "Reconciliations of GAAP to Non-GAAP Financial Measures" below for reconciliations of non-GAAP financial measures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11300"/>
          </w:cols>
          <w:pgMar w:left="300" w:top="773" w:right="299" w:bottom="1440" w:gutter="0" w:footer="0" w:header="0"/>
        </w:sectPr>
      </w:pPr>
    </w:p>
    <w:bookmarkStart w:id="4" w:name="page5"/>
    <w:bookmarkEnd w:id="4"/>
    <w:tbl>
      <w:tblPr>
        <w:tblLayout w:type="fixed"/>
        <w:tblInd w:w="730" w:type="dxa"/>
        <w:tblCellMar>
          <w:top w:w="0" w:type="dxa"/>
          <w:left w:w="0" w:type="dxa"/>
          <w:bottom w:w="0" w:type="dxa"/>
          <w:right w:w="0" w:type="dxa"/>
        </w:tblCellMar>
      </w:tblPr>
      <w:tr>
        <w:trPr>
          <w:trHeight w:val="192"/>
        </w:trPr>
        <w:tc>
          <w:tcPr>
            <w:tcW w:w="2940" w:type="dxa"/>
            <w:vAlign w:val="bottom"/>
            <w:tcBorders>
              <w:top w:val="single" w:sz="8" w:color="auto"/>
              <w:left w:val="single" w:sz="8" w:color="auto"/>
            </w:tcBorders>
            <w:shd w:val="clear" w:color="auto" w:fill="1928A0"/>
          </w:tcPr>
          <w:p>
            <w:pPr>
              <w:spacing w:after="0"/>
              <w:rPr>
                <w:sz w:val="16"/>
                <w:szCs w:val="16"/>
                <w:color w:val="auto"/>
              </w:rPr>
            </w:pPr>
          </w:p>
        </w:tc>
        <w:tc>
          <w:tcPr>
            <w:tcW w:w="2980" w:type="dxa"/>
            <w:vAlign w:val="bottom"/>
            <w:tcBorders>
              <w:top w:val="single" w:sz="8" w:color="auto"/>
            </w:tcBorders>
            <w:shd w:val="clear" w:color="auto" w:fill="1928A0"/>
          </w:tcPr>
          <w:p>
            <w:pPr>
              <w:spacing w:after="0"/>
              <w:rPr>
                <w:sz w:val="16"/>
                <w:szCs w:val="16"/>
                <w:color w:val="auto"/>
              </w:rPr>
            </w:pPr>
          </w:p>
        </w:tc>
        <w:tc>
          <w:tcPr>
            <w:tcW w:w="2020" w:type="dxa"/>
            <w:vAlign w:val="bottom"/>
            <w:tcBorders>
              <w:top w:val="single" w:sz="8" w:color="auto"/>
            </w:tcBorders>
            <w:gridSpan w:val="2"/>
            <w:shd w:val="clear" w:color="auto" w:fill="1928A0"/>
          </w:tcPr>
          <w:p>
            <w:pPr>
              <w:jc w:val="right"/>
              <w:ind w:right="1419"/>
              <w:spacing w:after="0"/>
              <w:rPr>
                <w:sz w:val="20"/>
                <w:szCs w:val="20"/>
                <w:color w:val="auto"/>
              </w:rPr>
            </w:pPr>
            <w:r>
              <w:rPr>
                <w:rFonts w:ascii="Arial" w:cs="Arial" w:eastAsia="Arial" w:hAnsi="Arial"/>
                <w:sz w:val="13"/>
                <w:szCs w:val="13"/>
                <w:b w:val="1"/>
                <w:bCs w:val="1"/>
                <w:color w:val="FFFFFF"/>
              </w:rPr>
              <w:t>As of</w:t>
            </w:r>
          </w:p>
        </w:tc>
        <w:tc>
          <w:tcPr>
            <w:tcW w:w="660" w:type="dxa"/>
            <w:vAlign w:val="bottom"/>
            <w:tcBorders>
              <w:top w:val="single" w:sz="8" w:color="auto"/>
            </w:tcBorders>
            <w:shd w:val="clear" w:color="auto" w:fill="1928A0"/>
          </w:tcPr>
          <w:p>
            <w:pPr>
              <w:spacing w:after="0"/>
              <w:rPr>
                <w:sz w:val="16"/>
                <w:szCs w:val="16"/>
                <w:color w:val="auto"/>
              </w:rPr>
            </w:pPr>
          </w:p>
        </w:tc>
        <w:tc>
          <w:tcPr>
            <w:tcW w:w="1260" w:type="dxa"/>
            <w:vAlign w:val="bottom"/>
            <w:tcBorders>
              <w:top w:val="single" w:sz="8" w:color="auto"/>
              <w:right w:val="single" w:sz="8" w:color="auto"/>
            </w:tcBorders>
            <w:shd w:val="clear" w:color="auto" w:fill="1928A0"/>
          </w:tcPr>
          <w:p>
            <w:pPr>
              <w:ind w:left="280"/>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2940" w:type="dxa"/>
            <w:vAlign w:val="bottom"/>
            <w:tcBorders>
              <w:left w:val="single" w:sz="8" w:color="auto"/>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Balance Sheet </w:t>
            </w:r>
            <w:r>
              <w:rPr>
                <w:rFonts w:ascii="Arial" w:cs="Arial" w:eastAsia="Arial" w:hAnsi="Arial"/>
                <w:sz w:val="9"/>
                <w:szCs w:val="9"/>
                <w:color w:val="FFFFFF"/>
              </w:rPr>
              <w:t>($ in millions)</w:t>
            </w:r>
          </w:p>
        </w:tc>
        <w:tc>
          <w:tcPr>
            <w:tcW w:w="2980" w:type="dxa"/>
            <w:vAlign w:val="bottom"/>
            <w:shd w:val="clear" w:color="auto" w:fill="1928A0"/>
          </w:tcPr>
          <w:p>
            <w:pPr>
              <w:jc w:val="right"/>
              <w:ind w:right="19"/>
              <w:spacing w:after="0"/>
              <w:rPr>
                <w:sz w:val="20"/>
                <w:szCs w:val="20"/>
                <w:color w:val="auto"/>
              </w:rPr>
            </w:pPr>
            <w:r>
              <w:rPr>
                <w:rFonts w:ascii="Arial" w:cs="Arial" w:eastAsia="Arial" w:hAnsi="Arial"/>
                <w:sz w:val="13"/>
                <w:szCs w:val="13"/>
                <w:b w:val="1"/>
                <w:bCs w:val="1"/>
                <w:color w:val="FFFFFF"/>
              </w:rPr>
              <w:t>January 31, 2026</w:t>
            </w:r>
          </w:p>
        </w:tc>
        <w:tc>
          <w:tcPr>
            <w:tcW w:w="500" w:type="dxa"/>
            <w:vAlign w:val="bottom"/>
            <w:shd w:val="clear" w:color="auto" w:fill="1928A0"/>
          </w:tcPr>
          <w:p>
            <w:pPr>
              <w:spacing w:after="0"/>
              <w:rPr>
                <w:sz w:val="18"/>
                <w:szCs w:val="18"/>
                <w:color w:val="auto"/>
              </w:rPr>
            </w:pPr>
          </w:p>
        </w:tc>
        <w:tc>
          <w:tcPr>
            <w:tcW w:w="152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February 1, 2025</w:t>
            </w:r>
          </w:p>
        </w:tc>
        <w:tc>
          <w:tcPr>
            <w:tcW w:w="660" w:type="dxa"/>
            <w:vAlign w:val="bottom"/>
            <w:shd w:val="clear" w:color="auto" w:fill="1928A0"/>
          </w:tcPr>
          <w:p>
            <w:pPr>
              <w:spacing w:after="0"/>
              <w:rPr>
                <w:sz w:val="18"/>
                <w:szCs w:val="18"/>
                <w:color w:val="auto"/>
              </w:rPr>
            </w:pPr>
          </w:p>
        </w:tc>
        <w:tc>
          <w:tcPr>
            <w:tcW w:w="1260" w:type="dxa"/>
            <w:vAlign w:val="bottom"/>
            <w:tcBorders>
              <w:right w:val="single" w:sz="8" w:color="auto"/>
            </w:tcBorders>
            <w:shd w:val="clear" w:color="auto" w:fill="1928A0"/>
          </w:tcPr>
          <w:p>
            <w:pPr>
              <w:jc w:val="center"/>
              <w:ind w:right="158"/>
              <w:spacing w:after="0"/>
              <w:rPr>
                <w:sz w:val="20"/>
                <w:szCs w:val="20"/>
                <w:color w:val="auto"/>
              </w:rPr>
            </w:pPr>
            <w:r>
              <w:rPr>
                <w:rFonts w:ascii="Arial" w:cs="Arial" w:eastAsia="Arial" w:hAnsi="Arial"/>
                <w:sz w:val="13"/>
                <w:szCs w:val="13"/>
                <w:b w:val="1"/>
                <w:bCs w:val="1"/>
                <w:color w:val="FFFFFF"/>
              </w:rPr>
              <w:t>%</w:t>
            </w:r>
          </w:p>
        </w:tc>
      </w:tr>
      <w:tr>
        <w:trPr>
          <w:trHeight w:val="180"/>
        </w:trPr>
        <w:tc>
          <w:tcPr>
            <w:tcW w:w="294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Cash and cash equivalents</w:t>
            </w:r>
          </w:p>
        </w:tc>
        <w:tc>
          <w:tcPr>
            <w:tcW w:w="2980" w:type="dxa"/>
            <w:vAlign w:val="bottom"/>
            <w:shd w:val="clear" w:color="auto" w:fill="DBDBDB"/>
          </w:tcPr>
          <w:p>
            <w:pPr>
              <w:jc w:val="right"/>
              <w:ind w:right="1599"/>
              <w:spacing w:after="0"/>
              <w:rPr>
                <w:sz w:val="20"/>
                <w:szCs w:val="20"/>
                <w:color w:val="auto"/>
              </w:rPr>
            </w:pPr>
            <w:r>
              <w:rPr>
                <w:rFonts w:ascii="Arial" w:cs="Arial" w:eastAsia="Arial" w:hAnsi="Arial"/>
                <w:sz w:val="12"/>
                <w:szCs w:val="12"/>
                <w:color w:val="auto"/>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330.3</w:t>
            </w:r>
          </w:p>
        </w:tc>
        <w:tc>
          <w:tcPr>
            <w:tcW w:w="1520" w:type="dxa"/>
            <w:vAlign w:val="bottom"/>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rPr>
              <w:t>288.9</w:t>
            </w:r>
          </w:p>
        </w:tc>
        <w:tc>
          <w:tcPr>
            <w:tcW w:w="1260" w:type="dxa"/>
            <w:vAlign w:val="bottom"/>
            <w:tcBorders>
              <w:right w:val="single" w:sz="8" w:color="auto"/>
            </w:tcBorders>
            <w:shd w:val="clear" w:color="auto" w:fill="DBDBDB"/>
          </w:tcPr>
          <w:p>
            <w:pPr>
              <w:jc w:val="center"/>
              <w:ind w:right="178"/>
              <w:spacing w:after="0"/>
              <w:rPr>
                <w:sz w:val="20"/>
                <w:szCs w:val="20"/>
                <w:color w:val="auto"/>
              </w:rPr>
            </w:pPr>
            <w:r>
              <w:rPr>
                <w:rFonts w:ascii="Arial" w:cs="Arial" w:eastAsia="Arial" w:hAnsi="Arial"/>
                <w:sz w:val="12"/>
                <w:szCs w:val="12"/>
                <w:color w:val="auto"/>
                <w:w w:val="99"/>
              </w:rPr>
              <w:t>14.3%</w:t>
            </w:r>
          </w:p>
        </w:tc>
      </w:tr>
      <w:tr>
        <w:trPr>
          <w:trHeight w:val="180"/>
        </w:trPr>
        <w:tc>
          <w:tcPr>
            <w:tcW w:w="2940" w:type="dxa"/>
            <w:vAlign w:val="bottom"/>
            <w:tcBorders>
              <w:left w:val="single" w:sz="8" w:color="auto"/>
            </w:tcBorders>
          </w:tcPr>
          <w:p>
            <w:pPr>
              <w:ind w:left="20"/>
              <w:spacing w:after="0"/>
              <w:rPr>
                <w:sz w:val="20"/>
                <w:szCs w:val="20"/>
                <w:color w:val="auto"/>
              </w:rPr>
            </w:pPr>
            <w:r>
              <w:rPr>
                <w:rFonts w:ascii="Arial" w:cs="Arial" w:eastAsia="Arial" w:hAnsi="Arial"/>
                <w:sz w:val="12"/>
                <w:szCs w:val="12"/>
                <w:color w:val="auto"/>
              </w:rPr>
              <w:t xml:space="preserve">Merchandise inventories, net </w:t>
            </w:r>
            <w:r>
              <w:rPr>
                <w:rFonts w:ascii="Arial" w:cs="Arial" w:eastAsia="Arial" w:hAnsi="Arial"/>
                <w:sz w:val="15"/>
                <w:szCs w:val="15"/>
                <w:color w:val="auto"/>
                <w:vertAlign w:val="superscript"/>
              </w:rPr>
              <w:t>(1)</w:t>
            </w:r>
          </w:p>
        </w:tc>
        <w:tc>
          <w:tcPr>
            <w:tcW w:w="2980" w:type="dxa"/>
            <w:vAlign w:val="bottom"/>
          </w:tcPr>
          <w:p>
            <w:pPr>
              <w:jc w:val="right"/>
              <w:ind w:right="1599"/>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1,503.8</w:t>
            </w:r>
          </w:p>
        </w:tc>
        <w:tc>
          <w:tcPr>
            <w:tcW w:w="1520" w:type="dxa"/>
            <w:vAlign w:val="bottom"/>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0"/>
              <w:spacing w:after="0"/>
              <w:rPr>
                <w:sz w:val="20"/>
                <w:szCs w:val="20"/>
                <w:color w:val="auto"/>
              </w:rPr>
            </w:pPr>
            <w:r>
              <w:rPr>
                <w:rFonts w:ascii="Arial" w:cs="Arial" w:eastAsia="Arial" w:hAnsi="Arial"/>
                <w:sz w:val="12"/>
                <w:szCs w:val="12"/>
                <w:color w:val="auto"/>
                <w:w w:val="94"/>
              </w:rPr>
              <w:t>1,308.8</w:t>
            </w:r>
          </w:p>
        </w:tc>
        <w:tc>
          <w:tcPr>
            <w:tcW w:w="1260" w:type="dxa"/>
            <w:vAlign w:val="bottom"/>
            <w:tcBorders>
              <w:right w:val="single" w:sz="8" w:color="auto"/>
            </w:tcBorders>
          </w:tcPr>
          <w:p>
            <w:pPr>
              <w:jc w:val="center"/>
              <w:ind w:right="178"/>
              <w:spacing w:after="0"/>
              <w:rPr>
                <w:sz w:val="20"/>
                <w:szCs w:val="20"/>
                <w:color w:val="auto"/>
              </w:rPr>
            </w:pPr>
            <w:r>
              <w:rPr>
                <w:rFonts w:ascii="Arial" w:cs="Arial" w:eastAsia="Arial" w:hAnsi="Arial"/>
                <w:sz w:val="12"/>
                <w:szCs w:val="12"/>
                <w:color w:val="auto"/>
                <w:w w:val="99"/>
              </w:rPr>
              <w:t>14.9%</w:t>
            </w:r>
          </w:p>
        </w:tc>
      </w:tr>
      <w:tr>
        <w:trPr>
          <w:trHeight w:val="172"/>
        </w:trPr>
        <w:tc>
          <w:tcPr>
            <w:tcW w:w="2940" w:type="dxa"/>
            <w:vAlign w:val="bottom"/>
            <w:tcBorders>
              <w:left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Long-term debt, net</w:t>
            </w:r>
          </w:p>
        </w:tc>
        <w:tc>
          <w:tcPr>
            <w:tcW w:w="2980" w:type="dxa"/>
            <w:vAlign w:val="bottom"/>
            <w:tcBorders>
              <w:bottom w:val="single" w:sz="8" w:color="auto"/>
            </w:tcBorders>
            <w:shd w:val="clear" w:color="auto" w:fill="DBDBDB"/>
          </w:tcPr>
          <w:p>
            <w:pPr>
              <w:jc w:val="right"/>
              <w:ind w:right="1599"/>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480.8</w:t>
            </w:r>
          </w:p>
        </w:tc>
        <w:tc>
          <w:tcPr>
            <w:tcW w:w="1520" w:type="dxa"/>
            <w:vAlign w:val="bottom"/>
            <w:tcBorders>
              <w:bottom w:val="single" w:sz="8" w:color="auto"/>
            </w:tcBorders>
            <w:shd w:val="clear" w:color="auto" w:fill="DBDBDB"/>
          </w:tcPr>
          <w:p>
            <w:pPr>
              <w:jc w:val="right"/>
              <w:ind w:right="1359"/>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rPr>
              <w:t>482.7</w:t>
            </w:r>
          </w:p>
        </w:tc>
        <w:tc>
          <w:tcPr>
            <w:tcW w:w="1260" w:type="dxa"/>
            <w:vAlign w:val="bottom"/>
            <w:tcBorders>
              <w:bottom w:val="single" w:sz="8" w:color="auto"/>
              <w:right w:val="single" w:sz="8" w:color="auto"/>
            </w:tcBorders>
            <w:shd w:val="clear" w:color="auto" w:fill="DBDBDB"/>
          </w:tcPr>
          <w:p>
            <w:pPr>
              <w:jc w:val="center"/>
              <w:ind w:right="158"/>
              <w:spacing w:after="0"/>
              <w:rPr>
                <w:sz w:val="20"/>
                <w:szCs w:val="20"/>
                <w:color w:val="auto"/>
              </w:rPr>
            </w:pPr>
            <w:r>
              <w:rPr>
                <w:rFonts w:ascii="Arial" w:cs="Arial" w:eastAsia="Arial" w:hAnsi="Arial"/>
                <w:sz w:val="12"/>
                <w:szCs w:val="12"/>
                <w:color w:val="auto"/>
              </w:rPr>
              <w:t>(0.4)%</w:t>
            </w:r>
          </w:p>
        </w:tc>
      </w:tr>
    </w:tbl>
    <w:p>
      <w:pPr>
        <w:spacing w:after="0" w:line="87" w:lineRule="exact"/>
        <w:rPr>
          <w:sz w:val="20"/>
          <w:szCs w:val="20"/>
          <w:color w:val="auto"/>
        </w:rPr>
      </w:pPr>
    </w:p>
    <w:p>
      <w:pPr>
        <w:ind w:left="320"/>
        <w:spacing w:after="0"/>
        <w:rPr>
          <w:sz w:val="20"/>
          <w:szCs w:val="20"/>
          <w:color w:val="auto"/>
        </w:rPr>
      </w:pPr>
      <w:r>
        <w:rPr>
          <w:rFonts w:ascii="Arial" w:cs="Arial" w:eastAsia="Arial" w:hAnsi="Arial"/>
          <w:sz w:val="8"/>
          <w:szCs w:val="8"/>
          <w:color w:val="auto"/>
        </w:rPr>
        <w:t>(1) As of January 31, 2026 inventory per store was up 6.3% in dollars and flat in units.</w:t>
      </w:r>
    </w:p>
    <w:p>
      <w:pPr>
        <w:spacing w:after="0" w:line="179" w:lineRule="exact"/>
        <w:rPr>
          <w:sz w:val="20"/>
          <w:szCs w:val="20"/>
          <w:color w:val="auto"/>
        </w:rPr>
      </w:pPr>
    </w:p>
    <w:tbl>
      <w:tblPr>
        <w:tblLayout w:type="fixed"/>
        <w:tblInd w:w="730" w:type="dxa"/>
        <w:tblCellMar>
          <w:top w:w="0" w:type="dxa"/>
          <w:left w:w="0" w:type="dxa"/>
          <w:bottom w:w="0" w:type="dxa"/>
          <w:right w:w="0" w:type="dxa"/>
        </w:tblCellMar>
      </w:tblPr>
      <w:tr>
        <w:trPr>
          <w:trHeight w:val="192"/>
        </w:trPr>
        <w:tc>
          <w:tcPr>
            <w:tcW w:w="3120" w:type="dxa"/>
            <w:vAlign w:val="bottom"/>
            <w:tcBorders>
              <w:top w:val="single" w:sz="8" w:color="auto"/>
              <w:left w:val="single" w:sz="8" w:color="auto"/>
            </w:tcBorders>
            <w:shd w:val="clear" w:color="auto" w:fill="1928A0"/>
          </w:tcPr>
          <w:p>
            <w:pPr>
              <w:spacing w:after="0"/>
              <w:rPr>
                <w:sz w:val="16"/>
                <w:szCs w:val="16"/>
                <w:color w:val="auto"/>
              </w:rPr>
            </w:pPr>
          </w:p>
        </w:tc>
        <w:tc>
          <w:tcPr>
            <w:tcW w:w="4780" w:type="dxa"/>
            <w:vAlign w:val="bottom"/>
            <w:tcBorders>
              <w:top w:val="single" w:sz="8" w:color="auto"/>
            </w:tcBorders>
            <w:gridSpan w:val="3"/>
            <w:shd w:val="clear" w:color="auto" w:fill="1928A0"/>
          </w:tcPr>
          <w:p>
            <w:pPr>
              <w:jc w:val="right"/>
              <w:ind w:right="878"/>
              <w:spacing w:after="0"/>
              <w:rPr>
                <w:sz w:val="20"/>
                <w:szCs w:val="20"/>
                <w:color w:val="auto"/>
              </w:rPr>
            </w:pPr>
            <w:r>
              <w:rPr>
                <w:rFonts w:ascii="Arial" w:cs="Arial" w:eastAsia="Arial" w:hAnsi="Arial"/>
                <w:sz w:val="13"/>
                <w:szCs w:val="13"/>
                <w:b w:val="1"/>
                <w:bCs w:val="1"/>
                <w:color w:val="FFFFFF"/>
              </w:rPr>
              <w:t>Fiscal Year Ended</w:t>
            </w:r>
          </w:p>
        </w:tc>
        <w:tc>
          <w:tcPr>
            <w:tcW w:w="620" w:type="dxa"/>
            <w:vAlign w:val="bottom"/>
            <w:tcBorders>
              <w:top w:val="single" w:sz="8" w:color="auto"/>
            </w:tcBorders>
            <w:shd w:val="clear" w:color="auto" w:fill="1928A0"/>
          </w:tcPr>
          <w:p>
            <w:pPr>
              <w:spacing w:after="0"/>
              <w:rPr>
                <w:sz w:val="16"/>
                <w:szCs w:val="16"/>
                <w:color w:val="auto"/>
              </w:rPr>
            </w:pPr>
          </w:p>
        </w:tc>
        <w:tc>
          <w:tcPr>
            <w:tcW w:w="1340" w:type="dxa"/>
            <w:vAlign w:val="bottom"/>
            <w:tcBorders>
              <w:top w:val="single" w:sz="8" w:color="auto"/>
              <w:right w:val="single" w:sz="8" w:color="auto"/>
            </w:tcBorders>
            <w:shd w:val="clear" w:color="auto" w:fill="1928A0"/>
          </w:tcPr>
          <w:p>
            <w:pPr>
              <w:jc w:val="right"/>
              <w:ind w:right="497"/>
              <w:spacing w:after="0"/>
              <w:rPr>
                <w:sz w:val="20"/>
                <w:szCs w:val="20"/>
                <w:color w:val="auto"/>
              </w:rPr>
            </w:pPr>
            <w:r>
              <w:rPr>
                <w:rFonts w:ascii="Arial" w:cs="Arial" w:eastAsia="Arial" w:hAnsi="Arial"/>
                <w:sz w:val="13"/>
                <w:szCs w:val="13"/>
                <w:b w:val="1"/>
                <w:bCs w:val="1"/>
                <w:color w:val="FFFFFF"/>
              </w:rPr>
              <w:t>Change</w:t>
            </w:r>
          </w:p>
        </w:tc>
      </w:tr>
      <w:tr>
        <w:trPr>
          <w:trHeight w:val="213"/>
        </w:trPr>
        <w:tc>
          <w:tcPr>
            <w:tcW w:w="3120" w:type="dxa"/>
            <w:vAlign w:val="bottom"/>
            <w:tcBorders>
              <w:left w:val="single" w:sz="8" w:color="auto"/>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 xml:space="preserve">Capital Allocation </w:t>
            </w:r>
            <w:r>
              <w:rPr>
                <w:rFonts w:ascii="Arial" w:cs="Arial" w:eastAsia="Arial" w:hAnsi="Arial"/>
                <w:sz w:val="9"/>
                <w:szCs w:val="9"/>
                <w:color w:val="FFFFFF"/>
              </w:rPr>
              <w:t>($ in millions)</w:t>
            </w:r>
          </w:p>
        </w:tc>
        <w:tc>
          <w:tcPr>
            <w:tcW w:w="288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January 31, 2026</w:t>
            </w:r>
          </w:p>
        </w:tc>
        <w:tc>
          <w:tcPr>
            <w:tcW w:w="360" w:type="dxa"/>
            <w:vAlign w:val="bottom"/>
            <w:shd w:val="clear" w:color="auto" w:fill="1928A0"/>
          </w:tcPr>
          <w:p>
            <w:pPr>
              <w:spacing w:after="0"/>
              <w:rPr>
                <w:sz w:val="18"/>
                <w:szCs w:val="18"/>
                <w:color w:val="auto"/>
              </w:rPr>
            </w:pPr>
          </w:p>
        </w:tc>
        <w:tc>
          <w:tcPr>
            <w:tcW w:w="1540" w:type="dxa"/>
            <w:vAlign w:val="bottom"/>
            <w:shd w:val="clear" w:color="auto" w:fill="1928A0"/>
          </w:tcPr>
          <w:p>
            <w:pPr>
              <w:jc w:val="right"/>
              <w:spacing w:after="0"/>
              <w:rPr>
                <w:sz w:val="20"/>
                <w:szCs w:val="20"/>
                <w:color w:val="auto"/>
              </w:rPr>
            </w:pPr>
            <w:r>
              <w:rPr>
                <w:rFonts w:ascii="Arial" w:cs="Arial" w:eastAsia="Arial" w:hAnsi="Arial"/>
                <w:sz w:val="13"/>
                <w:szCs w:val="13"/>
                <w:b w:val="1"/>
                <w:bCs w:val="1"/>
                <w:color w:val="FFFFFF"/>
              </w:rPr>
              <w:t>February 1, 2025</w:t>
            </w:r>
          </w:p>
        </w:tc>
        <w:tc>
          <w:tcPr>
            <w:tcW w:w="620" w:type="dxa"/>
            <w:vAlign w:val="bottom"/>
            <w:shd w:val="clear" w:color="auto" w:fill="1928A0"/>
          </w:tcPr>
          <w:p>
            <w:pPr>
              <w:spacing w:after="0"/>
              <w:rPr>
                <w:sz w:val="18"/>
                <w:szCs w:val="18"/>
                <w:color w:val="auto"/>
              </w:rPr>
            </w:pPr>
          </w:p>
        </w:tc>
        <w:tc>
          <w:tcPr>
            <w:tcW w:w="1340" w:type="dxa"/>
            <w:vAlign w:val="bottom"/>
            <w:tcBorders>
              <w:right w:val="single" w:sz="8" w:color="auto"/>
            </w:tcBorders>
            <w:shd w:val="clear" w:color="auto" w:fill="1928A0"/>
          </w:tcPr>
          <w:p>
            <w:pPr>
              <w:jc w:val="right"/>
              <w:ind w:right="677"/>
              <w:spacing w:after="0"/>
              <w:rPr>
                <w:sz w:val="20"/>
                <w:szCs w:val="20"/>
                <w:color w:val="auto"/>
              </w:rPr>
            </w:pPr>
            <w:r>
              <w:rPr>
                <w:rFonts w:ascii="Arial" w:cs="Arial" w:eastAsia="Arial" w:hAnsi="Arial"/>
                <w:sz w:val="13"/>
                <w:szCs w:val="13"/>
                <w:b w:val="1"/>
                <w:bCs w:val="1"/>
                <w:color w:val="FFFFFF"/>
              </w:rPr>
              <w:t>%</w:t>
            </w:r>
          </w:p>
        </w:tc>
      </w:tr>
      <w:tr>
        <w:trPr>
          <w:trHeight w:val="180"/>
        </w:trPr>
        <w:tc>
          <w:tcPr>
            <w:tcW w:w="312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Share repurchases</w:t>
            </w:r>
            <w:r>
              <w:rPr>
                <w:rFonts w:ascii="Arial" w:cs="Arial" w:eastAsia="Arial" w:hAnsi="Arial"/>
                <w:sz w:val="15"/>
                <w:szCs w:val="15"/>
                <w:color w:val="auto"/>
                <w:vertAlign w:val="superscript"/>
              </w:rPr>
              <w:t>(1)</w:t>
            </w:r>
          </w:p>
        </w:tc>
        <w:tc>
          <w:tcPr>
            <w:tcW w:w="2880" w:type="dxa"/>
            <w:vAlign w:val="bottom"/>
            <w:shd w:val="clear" w:color="auto" w:fill="DBDBDB"/>
          </w:tcPr>
          <w:p>
            <w:pPr>
              <w:jc w:val="right"/>
              <w:ind w:right="1377"/>
              <w:spacing w:after="0"/>
              <w:rPr>
                <w:sz w:val="20"/>
                <w:szCs w:val="20"/>
                <w:color w:val="auto"/>
              </w:rPr>
            </w:pPr>
            <w:r>
              <w:rPr>
                <w:rFonts w:ascii="Arial" w:cs="Arial" w:eastAsia="Arial" w:hAnsi="Arial"/>
                <w:sz w:val="12"/>
                <w:szCs w:val="12"/>
                <w:color w:val="auto"/>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200.8</w:t>
            </w:r>
          </w:p>
        </w:tc>
        <w:tc>
          <w:tcPr>
            <w:tcW w:w="1540" w:type="dxa"/>
            <w:vAlign w:val="bottom"/>
            <w:shd w:val="clear" w:color="auto" w:fill="DBDBDB"/>
          </w:tcPr>
          <w:p>
            <w:pPr>
              <w:jc w:val="right"/>
              <w:ind w:right="1378"/>
              <w:spacing w:after="0"/>
              <w:rPr>
                <w:sz w:val="20"/>
                <w:szCs w:val="20"/>
                <w:color w:val="auto"/>
              </w:rPr>
            </w:pPr>
            <w:r>
              <w:rPr>
                <w:rFonts w:ascii="Arial" w:cs="Arial" w:eastAsia="Arial" w:hAnsi="Arial"/>
                <w:sz w:val="12"/>
                <w:szCs w:val="12"/>
                <w:color w:val="auto"/>
              </w:rPr>
              <w:t>$</w:t>
            </w:r>
          </w:p>
        </w:tc>
        <w:tc>
          <w:tcPr>
            <w:tcW w:w="620" w:type="dxa"/>
            <w:vAlign w:val="bottom"/>
            <w:shd w:val="clear" w:color="auto" w:fill="DBDBDB"/>
          </w:tcPr>
          <w:p>
            <w:pPr>
              <w:jc w:val="right"/>
              <w:ind w:right="220"/>
              <w:spacing w:after="0"/>
              <w:rPr>
                <w:sz w:val="20"/>
                <w:szCs w:val="20"/>
                <w:color w:val="auto"/>
              </w:rPr>
            </w:pPr>
            <w:r>
              <w:rPr>
                <w:rFonts w:ascii="Arial" w:cs="Arial" w:eastAsia="Arial" w:hAnsi="Arial"/>
                <w:sz w:val="12"/>
                <w:szCs w:val="12"/>
                <w:color w:val="auto"/>
              </w:rPr>
              <w:t>368.3</w:t>
            </w:r>
          </w:p>
        </w:tc>
        <w:tc>
          <w:tcPr>
            <w:tcW w:w="1340" w:type="dxa"/>
            <w:vAlign w:val="bottom"/>
            <w:tcBorders>
              <w:right w:val="single" w:sz="8" w:color="auto"/>
            </w:tcBorders>
            <w:shd w:val="clear" w:color="auto" w:fill="DBDBDB"/>
          </w:tcPr>
          <w:p>
            <w:pPr>
              <w:jc w:val="right"/>
              <w:ind w:right="517"/>
              <w:spacing w:after="0"/>
              <w:rPr>
                <w:sz w:val="20"/>
                <w:szCs w:val="20"/>
                <w:color w:val="auto"/>
              </w:rPr>
            </w:pPr>
            <w:r>
              <w:rPr>
                <w:rFonts w:ascii="Arial" w:cs="Arial" w:eastAsia="Arial" w:hAnsi="Arial"/>
                <w:sz w:val="12"/>
                <w:szCs w:val="12"/>
                <w:color w:val="auto"/>
              </w:rPr>
              <w:t>(45.5)%</w:t>
            </w:r>
          </w:p>
        </w:tc>
      </w:tr>
      <w:tr>
        <w:trPr>
          <w:trHeight w:val="172"/>
        </w:trPr>
        <w:tc>
          <w:tcPr>
            <w:tcW w:w="31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Dividends paid</w:t>
            </w:r>
          </w:p>
        </w:tc>
        <w:tc>
          <w:tcPr>
            <w:tcW w:w="2880" w:type="dxa"/>
            <w:vAlign w:val="bottom"/>
            <w:tcBorders>
              <w:bottom w:val="single" w:sz="8" w:color="auto"/>
            </w:tcBorders>
          </w:tcPr>
          <w:p>
            <w:pPr>
              <w:jc w:val="right"/>
              <w:ind w:right="1377"/>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1540" w:type="dxa"/>
            <w:vAlign w:val="bottom"/>
            <w:tcBorders>
              <w:bottom w:val="single" w:sz="8" w:color="auto"/>
            </w:tcBorders>
          </w:tcPr>
          <w:p>
            <w:pPr>
              <w:jc w:val="right"/>
              <w:ind w:right="137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31.5</w:t>
            </w:r>
          </w:p>
        </w:tc>
        <w:tc>
          <w:tcPr>
            <w:tcW w:w="1340" w:type="dxa"/>
            <w:vAlign w:val="bottom"/>
            <w:tcBorders>
              <w:bottom w:val="single" w:sz="8" w:color="auto"/>
              <w:right w:val="single" w:sz="8" w:color="auto"/>
            </w:tcBorders>
          </w:tcPr>
          <w:p>
            <w:pPr>
              <w:jc w:val="right"/>
              <w:ind w:right="557"/>
              <w:spacing w:after="0"/>
              <w:rPr>
                <w:sz w:val="20"/>
                <w:szCs w:val="20"/>
                <w:color w:val="auto"/>
              </w:rPr>
            </w:pPr>
            <w:r>
              <w:rPr>
                <w:rFonts w:ascii="Arial" w:cs="Arial" w:eastAsia="Arial" w:hAnsi="Arial"/>
                <w:sz w:val="12"/>
                <w:szCs w:val="12"/>
                <w:color w:val="auto"/>
              </w:rPr>
              <w:t>10.2%</w:t>
            </w:r>
          </w:p>
        </w:tc>
      </w:tr>
    </w:tbl>
    <w:p>
      <w:pPr>
        <w:spacing w:after="0" w:line="51" w:lineRule="exact"/>
        <w:rPr>
          <w:sz w:val="20"/>
          <w:szCs w:val="20"/>
          <w:color w:val="auto"/>
        </w:rPr>
      </w:pPr>
    </w:p>
    <w:p>
      <w:pPr>
        <w:ind w:left="320"/>
        <w:spacing w:after="0"/>
        <w:rPr>
          <w:sz w:val="20"/>
          <w:szCs w:val="20"/>
          <w:color w:val="auto"/>
        </w:rPr>
      </w:pPr>
      <w:r>
        <w:rPr>
          <w:rFonts w:ascii="Arial" w:cs="Arial" w:eastAsia="Arial" w:hAnsi="Arial"/>
          <w:sz w:val="8"/>
          <w:szCs w:val="8"/>
          <w:color w:val="auto"/>
        </w:rPr>
        <w:t>(1) Includes excise tax fees of $1.8 million and $3.4 million in 2025 and 2024, respectively.</w:t>
      </w:r>
    </w:p>
    <w:p>
      <w:pPr>
        <w:spacing w:after="0" w:line="15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Subsequent to the end of fiscal year 2025, on March 5, 2026 Academy announced its Board of Directors declared a quarterly cash dividend with respect to the quarter ended January 31, 2026, of $0.15 per share of common stock. This is an approximately 15 percent increase from the previous quarterly dividend payment. The dividend is payable on April 10, 2026 to stockholders of record as of the close of business on March 20, 2026.</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New Store Openings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Academy opened five new stores during the fourth quarter, totaling 24 new stores in fiscal 2025. In fiscal 2026, the Company plans to open 20-25 new stores.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Academy Store Footprint Update</w:t>
      </w:r>
    </w:p>
    <w:p>
      <w:pPr>
        <w:spacing w:after="0" w:line="170" w:lineRule="exact"/>
        <w:rPr>
          <w:sz w:val="20"/>
          <w:szCs w:val="20"/>
          <w:color w:val="auto"/>
        </w:rPr>
      </w:pPr>
    </w:p>
    <w:tbl>
      <w:tblPr>
        <w:tblLayout w:type="fixed"/>
        <w:tblInd w:w="790" w:type="dxa"/>
        <w:tblCellMar>
          <w:top w:w="0" w:type="dxa"/>
          <w:left w:w="0" w:type="dxa"/>
          <w:bottom w:w="0" w:type="dxa"/>
          <w:right w:w="0" w:type="dxa"/>
        </w:tblCellMar>
      </w:tblPr>
      <w:tr>
        <w:trPr>
          <w:trHeight w:val="175"/>
        </w:trPr>
        <w:tc>
          <w:tcPr>
            <w:tcW w:w="136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Arial" w:cs="Arial" w:eastAsia="Arial" w:hAnsi="Arial"/>
                <w:sz w:val="13"/>
                <w:szCs w:val="13"/>
                <w:b w:val="1"/>
                <w:bCs w:val="1"/>
                <w:color w:val="FFFFFF"/>
              </w:rPr>
              <w:t>Time Frame</w:t>
            </w:r>
          </w:p>
        </w:tc>
        <w:tc>
          <w:tcPr>
            <w:tcW w:w="2580" w:type="dxa"/>
            <w:vAlign w:val="bottom"/>
            <w:tcBorders>
              <w:top w:val="single" w:sz="8" w:color="auto"/>
            </w:tcBorders>
            <w:shd w:val="clear" w:color="auto" w:fill="1928A0"/>
          </w:tcPr>
          <w:p>
            <w:pPr>
              <w:jc w:val="center"/>
              <w:ind w:left="477"/>
              <w:spacing w:after="0"/>
              <w:rPr>
                <w:sz w:val="20"/>
                <w:szCs w:val="20"/>
                <w:color w:val="auto"/>
              </w:rPr>
            </w:pPr>
            <w:r>
              <w:rPr>
                <w:rFonts w:ascii="Arial" w:cs="Arial" w:eastAsia="Arial" w:hAnsi="Arial"/>
                <w:sz w:val="13"/>
                <w:szCs w:val="13"/>
                <w:b w:val="1"/>
                <w:bCs w:val="1"/>
                <w:color w:val="FFFFFF"/>
              </w:rPr>
              <w:t>Total stores open at beginning</w:t>
            </w:r>
          </w:p>
        </w:tc>
        <w:tc>
          <w:tcPr>
            <w:tcW w:w="1900" w:type="dxa"/>
            <w:vAlign w:val="bottom"/>
            <w:tcBorders>
              <w:top w:val="single" w:sz="8" w:color="auto"/>
            </w:tcBorders>
            <w:shd w:val="clear" w:color="auto" w:fill="1928A0"/>
          </w:tcPr>
          <w:p>
            <w:pPr>
              <w:jc w:val="center"/>
              <w:spacing w:after="0"/>
              <w:rPr>
                <w:sz w:val="20"/>
                <w:szCs w:val="20"/>
                <w:color w:val="auto"/>
              </w:rPr>
            </w:pPr>
            <w:r>
              <w:rPr>
                <w:rFonts w:ascii="Arial" w:cs="Arial" w:eastAsia="Arial" w:hAnsi="Arial"/>
                <w:sz w:val="13"/>
                <w:szCs w:val="13"/>
                <w:b w:val="1"/>
                <w:bCs w:val="1"/>
                <w:color w:val="FFFFFF"/>
              </w:rPr>
              <w:t>Number of stores opened</w:t>
            </w:r>
          </w:p>
        </w:tc>
        <w:tc>
          <w:tcPr>
            <w:tcW w:w="1920" w:type="dxa"/>
            <w:vAlign w:val="bottom"/>
            <w:tcBorders>
              <w:top w:val="single" w:sz="8" w:color="auto"/>
            </w:tcBorders>
            <w:shd w:val="clear" w:color="auto" w:fill="1928A0"/>
          </w:tcPr>
          <w:p>
            <w:pPr>
              <w:jc w:val="center"/>
              <w:spacing w:after="0"/>
              <w:rPr>
                <w:sz w:val="20"/>
                <w:szCs w:val="20"/>
                <w:color w:val="auto"/>
              </w:rPr>
            </w:pPr>
            <w:r>
              <w:rPr>
                <w:rFonts w:ascii="Arial" w:cs="Arial" w:eastAsia="Arial" w:hAnsi="Arial"/>
                <w:sz w:val="13"/>
                <w:szCs w:val="13"/>
                <w:b w:val="1"/>
                <w:bCs w:val="1"/>
                <w:color w:val="FFFFFF"/>
              </w:rPr>
              <w:t>Number of stores closed</w:t>
            </w:r>
          </w:p>
        </w:tc>
        <w:tc>
          <w:tcPr>
            <w:tcW w:w="2000" w:type="dxa"/>
            <w:vAlign w:val="bottom"/>
            <w:tcBorders>
              <w:top w:val="single" w:sz="8" w:color="auto"/>
              <w:right w:val="single" w:sz="8" w:color="auto"/>
            </w:tcBorders>
            <w:shd w:val="clear" w:color="auto" w:fill="1928A0"/>
          </w:tcPr>
          <w:p>
            <w:pPr>
              <w:jc w:val="center"/>
              <w:spacing w:after="0"/>
              <w:rPr>
                <w:sz w:val="20"/>
                <w:szCs w:val="20"/>
                <w:color w:val="auto"/>
              </w:rPr>
            </w:pPr>
            <w:r>
              <w:rPr>
                <w:rFonts w:ascii="Arial" w:cs="Arial" w:eastAsia="Arial" w:hAnsi="Arial"/>
                <w:sz w:val="13"/>
                <w:szCs w:val="13"/>
                <w:b w:val="1"/>
                <w:bCs w:val="1"/>
                <w:color w:val="FFFFFF"/>
              </w:rPr>
              <w:t>Total stores open at end of</w:t>
            </w:r>
          </w:p>
        </w:tc>
        <w:tc>
          <w:tcPr>
            <w:tcW w:w="0" w:type="dxa"/>
            <w:vAlign w:val="bottom"/>
          </w:tcPr>
          <w:p>
            <w:pPr>
              <w:spacing w:after="0"/>
              <w:rPr>
                <w:sz w:val="1"/>
                <w:szCs w:val="1"/>
                <w:color w:val="auto"/>
              </w:rPr>
            </w:pPr>
          </w:p>
        </w:tc>
      </w:tr>
      <w:tr>
        <w:trPr>
          <w:trHeight w:val="185"/>
        </w:trPr>
        <w:tc>
          <w:tcPr>
            <w:tcW w:w="1360" w:type="dxa"/>
            <w:vAlign w:val="bottom"/>
            <w:tcBorders>
              <w:left w:val="single" w:sz="8" w:color="auto"/>
            </w:tcBorders>
            <w:vMerge w:val="continue"/>
            <w:shd w:val="clear" w:color="auto" w:fill="1928A0"/>
          </w:tcPr>
          <w:p>
            <w:pPr>
              <w:spacing w:after="0"/>
              <w:rPr>
                <w:sz w:val="16"/>
                <w:szCs w:val="16"/>
                <w:color w:val="auto"/>
              </w:rPr>
            </w:pPr>
          </w:p>
        </w:tc>
        <w:tc>
          <w:tcPr>
            <w:tcW w:w="2580" w:type="dxa"/>
            <w:vAlign w:val="bottom"/>
            <w:shd w:val="clear" w:color="auto" w:fill="1928A0"/>
          </w:tcPr>
          <w:p>
            <w:pPr>
              <w:jc w:val="center"/>
              <w:ind w:left="497"/>
              <w:spacing w:after="0"/>
              <w:rPr>
                <w:sz w:val="20"/>
                <w:szCs w:val="20"/>
                <w:color w:val="auto"/>
              </w:rPr>
            </w:pPr>
            <w:r>
              <w:rPr>
                <w:rFonts w:ascii="Arial" w:cs="Arial" w:eastAsia="Arial" w:hAnsi="Arial"/>
                <w:sz w:val="13"/>
                <w:szCs w:val="13"/>
                <w:b w:val="1"/>
                <w:bCs w:val="1"/>
                <w:color w:val="FFFFFF"/>
              </w:rPr>
              <w:t>of the year</w:t>
            </w:r>
          </w:p>
        </w:tc>
        <w:tc>
          <w:tcPr>
            <w:tcW w:w="1900" w:type="dxa"/>
            <w:vAlign w:val="bottom"/>
            <w:shd w:val="clear" w:color="auto" w:fill="1928A0"/>
          </w:tcPr>
          <w:p>
            <w:pPr>
              <w:jc w:val="center"/>
              <w:spacing w:after="0"/>
              <w:rPr>
                <w:sz w:val="20"/>
                <w:szCs w:val="20"/>
                <w:color w:val="auto"/>
              </w:rPr>
            </w:pPr>
            <w:r>
              <w:rPr>
                <w:rFonts w:ascii="Arial" w:cs="Arial" w:eastAsia="Arial" w:hAnsi="Arial"/>
                <w:sz w:val="13"/>
                <w:szCs w:val="13"/>
                <w:b w:val="1"/>
                <w:bCs w:val="1"/>
                <w:color w:val="FFFFFF"/>
              </w:rPr>
              <w:t>during the year</w:t>
            </w:r>
          </w:p>
        </w:tc>
        <w:tc>
          <w:tcPr>
            <w:tcW w:w="1920" w:type="dxa"/>
            <w:vAlign w:val="bottom"/>
            <w:shd w:val="clear" w:color="auto" w:fill="1928A0"/>
          </w:tcPr>
          <w:p>
            <w:pPr>
              <w:jc w:val="center"/>
              <w:spacing w:after="0"/>
              <w:rPr>
                <w:sz w:val="20"/>
                <w:szCs w:val="20"/>
                <w:color w:val="auto"/>
              </w:rPr>
            </w:pPr>
            <w:r>
              <w:rPr>
                <w:rFonts w:ascii="Arial" w:cs="Arial" w:eastAsia="Arial" w:hAnsi="Arial"/>
                <w:sz w:val="13"/>
                <w:szCs w:val="13"/>
                <w:b w:val="1"/>
                <w:bCs w:val="1"/>
                <w:color w:val="FFFFFF"/>
              </w:rPr>
              <w:t>during the year</w:t>
            </w:r>
          </w:p>
        </w:tc>
        <w:tc>
          <w:tcPr>
            <w:tcW w:w="2000" w:type="dxa"/>
            <w:vAlign w:val="bottom"/>
            <w:tcBorders>
              <w:right w:val="single" w:sz="8" w:color="auto"/>
            </w:tcBorders>
            <w:shd w:val="clear" w:color="auto" w:fill="1928A0"/>
          </w:tcPr>
          <w:p>
            <w:pPr>
              <w:jc w:val="center"/>
              <w:spacing w:after="0"/>
              <w:rPr>
                <w:sz w:val="20"/>
                <w:szCs w:val="20"/>
                <w:color w:val="auto"/>
              </w:rPr>
            </w:pPr>
            <w:r>
              <w:rPr>
                <w:rFonts w:ascii="Arial" w:cs="Arial" w:eastAsia="Arial" w:hAnsi="Arial"/>
                <w:sz w:val="13"/>
                <w:szCs w:val="13"/>
                <w:b w:val="1"/>
                <w:bCs w:val="1"/>
                <w:color w:val="FFFFFF"/>
              </w:rPr>
              <w:t>year</w:t>
            </w:r>
          </w:p>
        </w:tc>
        <w:tc>
          <w:tcPr>
            <w:tcW w:w="0" w:type="dxa"/>
            <w:vAlign w:val="bottom"/>
          </w:tcPr>
          <w:p>
            <w:pPr>
              <w:spacing w:after="0"/>
              <w:rPr>
                <w:sz w:val="1"/>
                <w:szCs w:val="1"/>
                <w:color w:val="auto"/>
              </w:rPr>
            </w:pPr>
          </w:p>
        </w:tc>
      </w:tr>
      <w:tr>
        <w:trPr>
          <w:trHeight w:val="180"/>
        </w:trPr>
        <w:tc>
          <w:tcPr>
            <w:tcW w:w="13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FY 2024</w:t>
            </w:r>
          </w:p>
        </w:tc>
        <w:tc>
          <w:tcPr>
            <w:tcW w:w="2580" w:type="dxa"/>
            <w:vAlign w:val="bottom"/>
            <w:shd w:val="clear" w:color="auto" w:fill="DBDBDB"/>
          </w:tcPr>
          <w:p>
            <w:pPr>
              <w:jc w:val="center"/>
              <w:ind w:left="477"/>
              <w:spacing w:after="0"/>
              <w:rPr>
                <w:sz w:val="20"/>
                <w:szCs w:val="20"/>
                <w:color w:val="auto"/>
              </w:rPr>
            </w:pPr>
            <w:r>
              <w:rPr>
                <w:rFonts w:ascii="Arial" w:cs="Arial" w:eastAsia="Arial" w:hAnsi="Arial"/>
                <w:sz w:val="12"/>
                <w:szCs w:val="12"/>
                <w:color w:val="auto"/>
                <w:w w:val="99"/>
              </w:rPr>
              <w:t>282</w:t>
            </w:r>
          </w:p>
        </w:tc>
        <w:tc>
          <w:tcPr>
            <w:tcW w:w="19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16</w:t>
            </w:r>
          </w:p>
        </w:tc>
        <w:tc>
          <w:tcPr>
            <w:tcW w:w="19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20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298</w:t>
            </w:r>
          </w:p>
        </w:tc>
        <w:tc>
          <w:tcPr>
            <w:tcW w:w="0" w:type="dxa"/>
            <w:vAlign w:val="bottom"/>
          </w:tcPr>
          <w:p>
            <w:pPr>
              <w:spacing w:after="0"/>
              <w:rPr>
                <w:sz w:val="1"/>
                <w:szCs w:val="1"/>
                <w:color w:val="auto"/>
              </w:rPr>
            </w:pPr>
          </w:p>
        </w:tc>
      </w:tr>
      <w:tr>
        <w:trPr>
          <w:trHeight w:val="172"/>
        </w:trPr>
        <w:tc>
          <w:tcPr>
            <w:tcW w:w="13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FY 2025</w:t>
            </w:r>
          </w:p>
        </w:tc>
        <w:tc>
          <w:tcPr>
            <w:tcW w:w="2580" w:type="dxa"/>
            <w:vAlign w:val="bottom"/>
            <w:tcBorders>
              <w:bottom w:val="single" w:sz="8" w:color="auto"/>
            </w:tcBorders>
          </w:tcPr>
          <w:p>
            <w:pPr>
              <w:jc w:val="center"/>
              <w:ind w:left="477"/>
              <w:spacing w:after="0"/>
              <w:rPr>
                <w:sz w:val="20"/>
                <w:szCs w:val="20"/>
                <w:color w:val="auto"/>
              </w:rPr>
            </w:pPr>
            <w:r>
              <w:rPr>
                <w:rFonts w:ascii="Arial" w:cs="Arial" w:eastAsia="Arial" w:hAnsi="Arial"/>
                <w:sz w:val="12"/>
                <w:szCs w:val="12"/>
                <w:color w:val="auto"/>
                <w:w w:val="99"/>
              </w:rPr>
              <w:t>298</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24</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322</w:t>
            </w:r>
          </w:p>
        </w:tc>
        <w:tc>
          <w:tcPr>
            <w:tcW w:w="0" w:type="dxa"/>
            <w:vAlign w:val="bottom"/>
          </w:tcPr>
          <w:p>
            <w:pPr>
              <w:spacing w:after="0"/>
              <w:rPr>
                <w:sz w:val="1"/>
                <w:szCs w:val="1"/>
                <w:color w:val="auto"/>
              </w:rPr>
            </w:pPr>
          </w:p>
        </w:tc>
      </w:tr>
      <w:tr>
        <w:trPr>
          <w:trHeight w:val="240"/>
        </w:trPr>
        <w:tc>
          <w:tcPr>
            <w:tcW w:w="1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1360" w:type="dxa"/>
            <w:vAlign w:val="bottom"/>
            <w:tcBorders>
              <w:left w:val="single" w:sz="8" w:color="auto"/>
            </w:tcBorders>
            <w:vMerge w:val="restart"/>
            <w:shd w:val="clear" w:color="auto" w:fill="1928A0"/>
          </w:tcPr>
          <w:p>
            <w:pPr>
              <w:ind w:left="20"/>
              <w:spacing w:after="0"/>
              <w:rPr>
                <w:sz w:val="20"/>
                <w:szCs w:val="20"/>
                <w:color w:val="auto"/>
              </w:rPr>
            </w:pPr>
            <w:r>
              <w:rPr>
                <w:rFonts w:ascii="Arial" w:cs="Arial" w:eastAsia="Arial" w:hAnsi="Arial"/>
                <w:sz w:val="13"/>
                <w:szCs w:val="13"/>
                <w:b w:val="1"/>
                <w:bCs w:val="1"/>
                <w:color w:val="FFFFFF"/>
              </w:rPr>
              <w:t>Time Frame</w:t>
            </w:r>
          </w:p>
        </w:tc>
        <w:tc>
          <w:tcPr>
            <w:tcW w:w="2580" w:type="dxa"/>
            <w:vAlign w:val="bottom"/>
            <w:shd w:val="clear" w:color="auto" w:fill="1928A0"/>
          </w:tcPr>
          <w:p>
            <w:pPr>
              <w:jc w:val="center"/>
              <w:ind w:left="477"/>
              <w:spacing w:after="0" w:line="146" w:lineRule="exact"/>
              <w:rPr>
                <w:sz w:val="20"/>
                <w:szCs w:val="20"/>
                <w:color w:val="auto"/>
              </w:rPr>
            </w:pPr>
            <w:r>
              <w:rPr>
                <w:rFonts w:ascii="Arial" w:cs="Arial" w:eastAsia="Arial" w:hAnsi="Arial"/>
                <w:sz w:val="13"/>
                <w:szCs w:val="13"/>
                <w:b w:val="1"/>
                <w:bCs w:val="1"/>
                <w:color w:val="FFFFFF"/>
              </w:rPr>
              <w:t>Total gross square feet open</w:t>
            </w:r>
          </w:p>
        </w:tc>
        <w:tc>
          <w:tcPr>
            <w:tcW w:w="1900" w:type="dxa"/>
            <w:vAlign w:val="bottom"/>
            <w:shd w:val="clear" w:color="auto" w:fill="1928A0"/>
          </w:tcPr>
          <w:p>
            <w:pPr>
              <w:jc w:val="center"/>
              <w:spacing w:after="0" w:line="146" w:lineRule="exact"/>
              <w:rPr>
                <w:sz w:val="20"/>
                <w:szCs w:val="20"/>
                <w:color w:val="auto"/>
              </w:rPr>
            </w:pPr>
            <w:r>
              <w:rPr>
                <w:rFonts w:ascii="Arial" w:cs="Arial" w:eastAsia="Arial" w:hAnsi="Arial"/>
                <w:sz w:val="13"/>
                <w:szCs w:val="13"/>
                <w:b w:val="1"/>
                <w:bCs w:val="1"/>
                <w:color w:val="FFFFFF"/>
              </w:rPr>
              <w:t>Gross square feet for stores</w:t>
            </w:r>
          </w:p>
        </w:tc>
        <w:tc>
          <w:tcPr>
            <w:tcW w:w="1920" w:type="dxa"/>
            <w:vAlign w:val="bottom"/>
            <w:shd w:val="clear" w:color="auto" w:fill="1928A0"/>
          </w:tcPr>
          <w:p>
            <w:pPr>
              <w:jc w:val="center"/>
              <w:spacing w:after="0" w:line="146" w:lineRule="exact"/>
              <w:rPr>
                <w:sz w:val="20"/>
                <w:szCs w:val="20"/>
                <w:color w:val="auto"/>
              </w:rPr>
            </w:pPr>
            <w:r>
              <w:rPr>
                <w:rFonts w:ascii="Arial" w:cs="Arial" w:eastAsia="Arial" w:hAnsi="Arial"/>
                <w:sz w:val="13"/>
                <w:szCs w:val="13"/>
                <w:b w:val="1"/>
                <w:bCs w:val="1"/>
                <w:color w:val="FFFFFF"/>
              </w:rPr>
              <w:t>Gross square feet for stores</w:t>
            </w:r>
          </w:p>
        </w:tc>
        <w:tc>
          <w:tcPr>
            <w:tcW w:w="2000" w:type="dxa"/>
            <w:vAlign w:val="bottom"/>
            <w:tcBorders>
              <w:right w:val="single" w:sz="8" w:color="auto"/>
            </w:tcBorders>
            <w:shd w:val="clear" w:color="auto" w:fill="1928A0"/>
          </w:tcPr>
          <w:p>
            <w:pPr>
              <w:jc w:val="center"/>
              <w:spacing w:after="0" w:line="146" w:lineRule="exact"/>
              <w:rPr>
                <w:sz w:val="20"/>
                <w:szCs w:val="20"/>
                <w:color w:val="auto"/>
              </w:rPr>
            </w:pPr>
            <w:r>
              <w:rPr>
                <w:rFonts w:ascii="Arial" w:cs="Arial" w:eastAsia="Arial" w:hAnsi="Arial"/>
                <w:sz w:val="13"/>
                <w:szCs w:val="13"/>
                <w:b w:val="1"/>
                <w:bCs w:val="1"/>
                <w:color w:val="FFFFFF"/>
              </w:rPr>
              <w:t>Total gross square feet at the</w:t>
            </w:r>
          </w:p>
        </w:tc>
        <w:tc>
          <w:tcPr>
            <w:tcW w:w="0" w:type="dxa"/>
            <w:vAlign w:val="bottom"/>
          </w:tcPr>
          <w:p>
            <w:pPr>
              <w:spacing w:after="0"/>
              <w:rPr>
                <w:sz w:val="1"/>
                <w:szCs w:val="1"/>
                <w:color w:val="auto"/>
              </w:rPr>
            </w:pPr>
          </w:p>
        </w:tc>
      </w:tr>
      <w:tr>
        <w:trPr>
          <w:trHeight w:val="194"/>
        </w:trPr>
        <w:tc>
          <w:tcPr>
            <w:tcW w:w="1360" w:type="dxa"/>
            <w:vAlign w:val="bottom"/>
            <w:tcBorders>
              <w:left w:val="single" w:sz="8" w:color="auto"/>
            </w:tcBorders>
            <w:vMerge w:val="continue"/>
            <w:shd w:val="clear" w:color="auto" w:fill="1928A0"/>
          </w:tcPr>
          <w:p>
            <w:pPr>
              <w:spacing w:after="0"/>
              <w:rPr>
                <w:sz w:val="16"/>
                <w:szCs w:val="16"/>
                <w:color w:val="auto"/>
              </w:rPr>
            </w:pPr>
          </w:p>
        </w:tc>
        <w:tc>
          <w:tcPr>
            <w:tcW w:w="2580" w:type="dxa"/>
            <w:vAlign w:val="bottom"/>
            <w:shd w:val="clear" w:color="auto" w:fill="1928A0"/>
          </w:tcPr>
          <w:p>
            <w:pPr>
              <w:jc w:val="center"/>
              <w:ind w:left="497"/>
              <w:spacing w:after="0" w:line="194" w:lineRule="exact"/>
              <w:rPr>
                <w:sz w:val="20"/>
                <w:szCs w:val="20"/>
                <w:color w:val="auto"/>
              </w:rPr>
            </w:pPr>
            <w:r>
              <w:rPr>
                <w:rFonts w:ascii="Arial" w:cs="Arial" w:eastAsia="Arial" w:hAnsi="Arial"/>
                <w:sz w:val="13"/>
                <w:szCs w:val="13"/>
                <w:b w:val="1"/>
                <w:bCs w:val="1"/>
                <w:color w:val="FFFFFF"/>
              </w:rPr>
              <w:t>at beginning of the year</w:t>
            </w:r>
            <w:r>
              <w:rPr>
                <w:rFonts w:ascii="Arial" w:cs="Arial" w:eastAsia="Arial" w:hAnsi="Arial"/>
                <w:sz w:val="17"/>
                <w:szCs w:val="17"/>
                <w:b w:val="1"/>
                <w:bCs w:val="1"/>
                <w:color w:val="FFFFFF"/>
                <w:vertAlign w:val="superscript"/>
              </w:rPr>
              <w:t>1</w:t>
            </w:r>
          </w:p>
        </w:tc>
        <w:tc>
          <w:tcPr>
            <w:tcW w:w="1900" w:type="dxa"/>
            <w:vAlign w:val="bottom"/>
            <w:shd w:val="clear" w:color="auto" w:fill="1928A0"/>
          </w:tcPr>
          <w:p>
            <w:pPr>
              <w:jc w:val="center"/>
              <w:spacing w:after="0" w:line="194" w:lineRule="exact"/>
              <w:rPr>
                <w:sz w:val="20"/>
                <w:szCs w:val="20"/>
                <w:color w:val="auto"/>
              </w:rPr>
            </w:pPr>
            <w:r>
              <w:rPr>
                <w:rFonts w:ascii="Arial" w:cs="Arial" w:eastAsia="Arial" w:hAnsi="Arial"/>
                <w:sz w:val="13"/>
                <w:szCs w:val="13"/>
                <w:b w:val="1"/>
                <w:bCs w:val="1"/>
                <w:color w:val="FFFFFF"/>
                <w:w w:val="99"/>
              </w:rPr>
              <w:t>opened during the year</w:t>
            </w:r>
            <w:r>
              <w:rPr>
                <w:rFonts w:ascii="Arial" w:cs="Arial" w:eastAsia="Arial" w:hAnsi="Arial"/>
                <w:sz w:val="17"/>
                <w:szCs w:val="17"/>
                <w:b w:val="1"/>
                <w:bCs w:val="1"/>
                <w:color w:val="FFFFFF"/>
                <w:w w:val="99"/>
                <w:vertAlign w:val="superscript"/>
              </w:rPr>
              <w:t>1</w:t>
            </w:r>
          </w:p>
        </w:tc>
        <w:tc>
          <w:tcPr>
            <w:tcW w:w="1920" w:type="dxa"/>
            <w:vAlign w:val="bottom"/>
            <w:shd w:val="clear" w:color="auto" w:fill="1928A0"/>
          </w:tcPr>
          <w:p>
            <w:pPr>
              <w:jc w:val="center"/>
              <w:spacing w:after="0" w:line="194" w:lineRule="exact"/>
              <w:rPr>
                <w:sz w:val="20"/>
                <w:szCs w:val="20"/>
                <w:color w:val="auto"/>
              </w:rPr>
            </w:pPr>
            <w:r>
              <w:rPr>
                <w:rFonts w:ascii="Arial" w:cs="Arial" w:eastAsia="Arial" w:hAnsi="Arial"/>
                <w:sz w:val="13"/>
                <w:szCs w:val="13"/>
                <w:b w:val="1"/>
                <w:bCs w:val="1"/>
                <w:color w:val="FFFFFF"/>
              </w:rPr>
              <w:t>closed during the year</w:t>
            </w:r>
            <w:r>
              <w:rPr>
                <w:rFonts w:ascii="Arial" w:cs="Arial" w:eastAsia="Arial" w:hAnsi="Arial"/>
                <w:sz w:val="17"/>
                <w:szCs w:val="17"/>
                <w:b w:val="1"/>
                <w:bCs w:val="1"/>
                <w:color w:val="FFFFFF"/>
                <w:vertAlign w:val="superscript"/>
              </w:rPr>
              <w:t>1</w:t>
            </w:r>
          </w:p>
        </w:tc>
        <w:tc>
          <w:tcPr>
            <w:tcW w:w="2000" w:type="dxa"/>
            <w:vAlign w:val="bottom"/>
            <w:tcBorders>
              <w:right w:val="single" w:sz="8" w:color="auto"/>
            </w:tcBorders>
            <w:shd w:val="clear" w:color="auto" w:fill="1928A0"/>
          </w:tcPr>
          <w:p>
            <w:pPr>
              <w:jc w:val="center"/>
              <w:spacing w:after="0" w:line="194" w:lineRule="exact"/>
              <w:rPr>
                <w:sz w:val="20"/>
                <w:szCs w:val="20"/>
                <w:color w:val="auto"/>
              </w:rPr>
            </w:pPr>
            <w:r>
              <w:rPr>
                <w:rFonts w:ascii="Arial" w:cs="Arial" w:eastAsia="Arial" w:hAnsi="Arial"/>
                <w:sz w:val="13"/>
                <w:szCs w:val="13"/>
                <w:b w:val="1"/>
                <w:bCs w:val="1"/>
                <w:color w:val="FFFFFF"/>
                <w:w w:val="99"/>
              </w:rPr>
              <w:t>end of the year</w:t>
            </w:r>
            <w:r>
              <w:rPr>
                <w:rFonts w:ascii="Arial" w:cs="Arial" w:eastAsia="Arial" w:hAnsi="Arial"/>
                <w:sz w:val="17"/>
                <w:szCs w:val="17"/>
                <w:b w:val="1"/>
                <w:bCs w:val="1"/>
                <w:color w:val="FFFFFF"/>
                <w:w w:val="99"/>
                <w:vertAlign w:val="superscript"/>
              </w:rPr>
              <w:t>1</w:t>
            </w:r>
          </w:p>
        </w:tc>
        <w:tc>
          <w:tcPr>
            <w:tcW w:w="0" w:type="dxa"/>
            <w:vAlign w:val="bottom"/>
          </w:tcPr>
          <w:p>
            <w:pPr>
              <w:spacing w:after="0"/>
              <w:rPr>
                <w:sz w:val="1"/>
                <w:szCs w:val="1"/>
                <w:color w:val="auto"/>
              </w:rPr>
            </w:pPr>
          </w:p>
        </w:tc>
      </w:tr>
      <w:tr>
        <w:trPr>
          <w:trHeight w:val="180"/>
        </w:trPr>
        <w:tc>
          <w:tcPr>
            <w:tcW w:w="1360" w:type="dxa"/>
            <w:vAlign w:val="bottom"/>
            <w:tcBorders>
              <w:left w:val="single" w:sz="8" w:color="auto"/>
            </w:tcBorders>
            <w:shd w:val="clear" w:color="auto" w:fill="DBDBDB"/>
          </w:tcPr>
          <w:p>
            <w:pPr>
              <w:ind w:left="20"/>
              <w:spacing w:after="0"/>
              <w:rPr>
                <w:sz w:val="20"/>
                <w:szCs w:val="20"/>
                <w:color w:val="auto"/>
              </w:rPr>
            </w:pPr>
            <w:r>
              <w:rPr>
                <w:rFonts w:ascii="Arial" w:cs="Arial" w:eastAsia="Arial" w:hAnsi="Arial"/>
                <w:sz w:val="12"/>
                <w:szCs w:val="12"/>
                <w:color w:val="auto"/>
              </w:rPr>
              <w:t>FY 2024</w:t>
            </w:r>
          </w:p>
        </w:tc>
        <w:tc>
          <w:tcPr>
            <w:tcW w:w="2580" w:type="dxa"/>
            <w:vAlign w:val="bottom"/>
            <w:shd w:val="clear" w:color="auto" w:fill="DBDBDB"/>
          </w:tcPr>
          <w:p>
            <w:pPr>
              <w:jc w:val="center"/>
              <w:ind w:left="477"/>
              <w:spacing w:after="0"/>
              <w:rPr>
                <w:sz w:val="20"/>
                <w:szCs w:val="20"/>
                <w:color w:val="auto"/>
              </w:rPr>
            </w:pPr>
            <w:r>
              <w:rPr>
                <w:rFonts w:ascii="Arial" w:cs="Arial" w:eastAsia="Arial" w:hAnsi="Arial"/>
                <w:sz w:val="12"/>
                <w:szCs w:val="12"/>
                <w:color w:val="auto"/>
                <w:w w:val="97"/>
              </w:rPr>
              <w:t>19,679</w:t>
            </w:r>
          </w:p>
        </w:tc>
        <w:tc>
          <w:tcPr>
            <w:tcW w:w="19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925</w:t>
            </w:r>
          </w:p>
        </w:tc>
        <w:tc>
          <w:tcPr>
            <w:tcW w:w="19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w:t>
            </w:r>
          </w:p>
        </w:tc>
        <w:tc>
          <w:tcPr>
            <w:tcW w:w="20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7"/>
              </w:rPr>
              <w:t>20,604</w:t>
            </w:r>
          </w:p>
        </w:tc>
        <w:tc>
          <w:tcPr>
            <w:tcW w:w="0" w:type="dxa"/>
            <w:vAlign w:val="bottom"/>
          </w:tcPr>
          <w:p>
            <w:pPr>
              <w:spacing w:after="0"/>
              <w:rPr>
                <w:sz w:val="1"/>
                <w:szCs w:val="1"/>
                <w:color w:val="auto"/>
              </w:rPr>
            </w:pPr>
          </w:p>
        </w:tc>
      </w:tr>
      <w:tr>
        <w:trPr>
          <w:trHeight w:val="172"/>
        </w:trPr>
        <w:tc>
          <w:tcPr>
            <w:tcW w:w="13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FY 2025</w:t>
            </w:r>
          </w:p>
        </w:tc>
        <w:tc>
          <w:tcPr>
            <w:tcW w:w="2580" w:type="dxa"/>
            <w:vAlign w:val="bottom"/>
            <w:tcBorders>
              <w:bottom w:val="single" w:sz="8" w:color="auto"/>
            </w:tcBorders>
          </w:tcPr>
          <w:p>
            <w:pPr>
              <w:jc w:val="center"/>
              <w:ind w:left="477"/>
              <w:spacing w:after="0"/>
              <w:rPr>
                <w:sz w:val="20"/>
                <w:szCs w:val="20"/>
                <w:color w:val="auto"/>
              </w:rPr>
            </w:pPr>
            <w:r>
              <w:rPr>
                <w:rFonts w:ascii="Arial" w:cs="Arial" w:eastAsia="Arial" w:hAnsi="Arial"/>
                <w:sz w:val="12"/>
                <w:szCs w:val="12"/>
                <w:color w:val="auto"/>
                <w:w w:val="97"/>
              </w:rPr>
              <w:t>20,604</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1,321</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21,925</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320"/>
        <w:spacing w:after="0"/>
        <w:rPr>
          <w:sz w:val="20"/>
          <w:szCs w:val="20"/>
          <w:color w:val="auto"/>
        </w:rPr>
      </w:pPr>
      <w:r>
        <w:rPr>
          <w:rFonts w:ascii="Arial" w:cs="Arial" w:eastAsia="Arial" w:hAnsi="Arial"/>
          <w:sz w:val="8"/>
          <w:szCs w:val="8"/>
          <w:color w:val="auto"/>
        </w:rPr>
        <w:t>(1) All figures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2026 Outlook</w:t>
      </w:r>
    </w:p>
    <w:p>
      <w:pPr>
        <w:spacing w:after="0" w:line="18" w:lineRule="exact"/>
        <w:rPr>
          <w:sz w:val="20"/>
          <w:szCs w:val="20"/>
          <w:color w:val="auto"/>
        </w:rPr>
      </w:pPr>
    </w:p>
    <w:p>
      <w:pPr>
        <w:jc w:val="both"/>
        <w:ind w:right="140"/>
        <w:spacing w:after="0" w:line="242" w:lineRule="auto"/>
        <w:rPr>
          <w:sz w:val="20"/>
          <w:szCs w:val="20"/>
          <w:color w:val="auto"/>
        </w:rPr>
      </w:pPr>
      <w:r>
        <w:rPr>
          <w:rFonts w:ascii="Arial" w:cs="Arial" w:eastAsia="Arial" w:hAnsi="Arial"/>
          <w:sz w:val="12"/>
          <w:szCs w:val="12"/>
          <w:color w:val="auto"/>
        </w:rPr>
        <w:t>“As we move through the year, we expect to see tailwinds from our internal initiatives of new store growth, omni-channel growth and the expansion of the current business. We also expect to see growth aided by external events, including increased tax refunds, international sporting events and America's 250th anniversary," said Carl Ford, Executive Vice President and Chief Financial Officer. "We are also mindful that the American consumer is still under financial pressure that we expect to persist throughout 2026."</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Academy is providing the following initial guidance for fiscal 2026 (year ending January 30, 2027). This guidance takes into account various factors, both internal and external, such as the expected benefits of the Company's growth initiatives, current consumer demand, the competitive environment, as well as the potential impacts from inflation and other economic risks. The earnings per share estimates do not include any potential future share repurchases and assume a tax rate of 22.0% to 23.0%. At the end of fiscal 2025 the Company had approximately $437 million remaining on its current share repurchase authorization.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300"/>
          </w:cols>
          <w:pgMar w:left="300" w:top="354" w:right="299" w:bottom="1440" w:gutter="0" w:footer="0" w:header="0"/>
        </w:sectPr>
      </w:pPr>
    </w:p>
    <w:bookmarkStart w:id="5" w:name="page6"/>
    <w:bookmarkEnd w:id="5"/>
    <w:tbl>
      <w:tblPr>
        <w:tblLayout w:type="fixed"/>
        <w:tblInd w:w="830" w:type="dxa"/>
        <w:tblCellMar>
          <w:top w:w="0" w:type="dxa"/>
          <w:left w:w="0" w:type="dxa"/>
          <w:bottom w:w="0" w:type="dxa"/>
          <w:right w:w="0" w:type="dxa"/>
        </w:tblCellMar>
      </w:tblPr>
      <w:tr>
        <w:trPr>
          <w:trHeight w:val="202"/>
        </w:trPr>
        <w:tc>
          <w:tcPr>
            <w:tcW w:w="4520" w:type="dxa"/>
            <w:vAlign w:val="bottom"/>
            <w:tcBorders>
              <w:top w:val="single" w:sz="8" w:color="auto"/>
              <w:left w:val="single" w:sz="8" w:color="auto"/>
              <w:bottom w:val="single" w:sz="8" w:color="1928A0"/>
              <w:right w:val="single" w:sz="8" w:color="auto"/>
            </w:tcBorders>
            <w:shd w:val="clear" w:color="auto" w:fill="1928A0"/>
          </w:tcPr>
          <w:p>
            <w:pPr>
              <w:spacing w:after="0"/>
              <w:rPr>
                <w:sz w:val="17"/>
                <w:szCs w:val="17"/>
                <w:color w:val="auto"/>
              </w:rPr>
            </w:pPr>
          </w:p>
        </w:tc>
        <w:tc>
          <w:tcPr>
            <w:tcW w:w="2320" w:type="dxa"/>
            <w:vAlign w:val="bottom"/>
            <w:tcBorders>
              <w:top w:val="single" w:sz="8" w:color="auto"/>
              <w:bottom w:val="single" w:sz="8" w:color="auto"/>
              <w:right w:val="single" w:sz="8" w:color="auto"/>
            </w:tcBorders>
            <w:gridSpan w:val="2"/>
            <w:shd w:val="clear" w:color="auto" w:fill="1928A0"/>
          </w:tcPr>
          <w:p>
            <w:pPr>
              <w:jc w:val="right"/>
              <w:ind w:right="420"/>
              <w:spacing w:after="0"/>
              <w:rPr>
                <w:sz w:val="20"/>
                <w:szCs w:val="20"/>
                <w:color w:val="auto"/>
              </w:rPr>
            </w:pPr>
            <w:r>
              <w:rPr>
                <w:rFonts w:ascii="Arial" w:cs="Arial" w:eastAsia="Arial" w:hAnsi="Arial"/>
                <w:sz w:val="13"/>
                <w:szCs w:val="13"/>
                <w:b w:val="1"/>
                <w:bCs w:val="1"/>
                <w:color w:val="FFFFFF"/>
              </w:rPr>
              <w:t>Fiscal 2026 Guidance</w:t>
            </w:r>
          </w:p>
        </w:tc>
        <w:tc>
          <w:tcPr>
            <w:tcW w:w="1380" w:type="dxa"/>
            <w:vAlign w:val="bottom"/>
            <w:tcBorders>
              <w:top w:val="single" w:sz="8" w:color="auto"/>
              <w:bottom w:val="single" w:sz="8" w:color="1928A0"/>
            </w:tcBorders>
            <w:shd w:val="clear" w:color="auto" w:fill="1928A0"/>
          </w:tcPr>
          <w:p>
            <w:pPr>
              <w:spacing w:after="0"/>
              <w:rPr>
                <w:sz w:val="17"/>
                <w:szCs w:val="17"/>
                <w:color w:val="auto"/>
              </w:rPr>
            </w:pPr>
          </w:p>
        </w:tc>
        <w:tc>
          <w:tcPr>
            <w:tcW w:w="1460" w:type="dxa"/>
            <w:vAlign w:val="bottom"/>
            <w:tcBorders>
              <w:top w:val="single" w:sz="8" w:color="auto"/>
              <w:bottom w:val="single" w:sz="8" w:color="1928A0"/>
              <w:right w:val="single" w:sz="8" w:color="auto"/>
            </w:tcBorders>
            <w:shd w:val="clear" w:color="auto" w:fill="1928A0"/>
          </w:tcPr>
          <w:p>
            <w:pPr>
              <w:jc w:val="right"/>
              <w:ind w:right="100"/>
              <w:spacing w:after="0"/>
              <w:rPr>
                <w:sz w:val="20"/>
                <w:szCs w:val="20"/>
                <w:color w:val="auto"/>
              </w:rPr>
            </w:pPr>
            <w:r>
              <w:rPr>
                <w:rFonts w:ascii="Arial" w:cs="Arial" w:eastAsia="Arial" w:hAnsi="Arial"/>
                <w:sz w:val="11"/>
                <w:szCs w:val="11"/>
                <w:b w:val="1"/>
                <w:bCs w:val="1"/>
                <w:color w:val="FFFFFF"/>
              </w:rPr>
              <w:t>change (at midpoint)</w:t>
            </w:r>
          </w:p>
        </w:tc>
      </w:tr>
      <w:tr>
        <w:trPr>
          <w:trHeight w:val="184"/>
        </w:trPr>
        <w:tc>
          <w:tcPr>
            <w:tcW w:w="4520" w:type="dxa"/>
            <w:vAlign w:val="bottom"/>
            <w:tcBorders>
              <w:left w:val="single" w:sz="8" w:color="auto"/>
              <w:bottom w:val="single" w:sz="8" w:color="auto"/>
              <w:right w:val="single" w:sz="8" w:color="auto"/>
            </w:tcBorders>
            <w:shd w:val="clear" w:color="auto" w:fill="1928A0"/>
          </w:tcPr>
          <w:p>
            <w:pPr>
              <w:ind w:left="20"/>
              <w:spacing w:after="0"/>
              <w:rPr>
                <w:sz w:val="20"/>
                <w:szCs w:val="20"/>
                <w:color w:val="auto"/>
              </w:rPr>
            </w:pPr>
            <w:r>
              <w:rPr>
                <w:rFonts w:ascii="Arial" w:cs="Arial" w:eastAsia="Arial" w:hAnsi="Arial"/>
                <w:sz w:val="13"/>
                <w:szCs w:val="13"/>
                <w:b w:val="1"/>
                <w:bCs w:val="1"/>
                <w:color w:val="FFFFFF"/>
              </w:rPr>
              <w:t>(in millions, except per share amounts)</w:t>
            </w:r>
          </w:p>
        </w:tc>
        <w:tc>
          <w:tcPr>
            <w:tcW w:w="1260" w:type="dxa"/>
            <w:vAlign w:val="bottom"/>
            <w:tcBorders>
              <w:bottom w:val="single" w:sz="8" w:color="auto"/>
            </w:tcBorders>
            <w:shd w:val="clear" w:color="auto" w:fill="1928A0"/>
          </w:tcPr>
          <w:p>
            <w:pPr>
              <w:jc w:val="right"/>
              <w:ind w:right="379"/>
              <w:spacing w:after="0"/>
              <w:rPr>
                <w:sz w:val="20"/>
                <w:szCs w:val="20"/>
                <w:color w:val="auto"/>
              </w:rPr>
            </w:pPr>
            <w:r>
              <w:rPr>
                <w:rFonts w:ascii="Arial" w:cs="Arial" w:eastAsia="Arial" w:hAnsi="Arial"/>
                <w:sz w:val="13"/>
                <w:szCs w:val="13"/>
                <w:b w:val="1"/>
                <w:bCs w:val="1"/>
                <w:color w:val="FFFFFF"/>
              </w:rPr>
              <w:t>Low end</w:t>
            </w:r>
          </w:p>
        </w:tc>
        <w:tc>
          <w:tcPr>
            <w:tcW w:w="1060" w:type="dxa"/>
            <w:vAlign w:val="bottom"/>
            <w:tcBorders>
              <w:bottom w:val="single" w:sz="8" w:color="auto"/>
              <w:right w:val="single" w:sz="8" w:color="auto"/>
            </w:tcBorders>
            <w:shd w:val="clear" w:color="auto" w:fill="1928A0"/>
          </w:tcPr>
          <w:p>
            <w:pPr>
              <w:jc w:val="right"/>
              <w:ind w:right="260"/>
              <w:spacing w:after="0"/>
              <w:rPr>
                <w:sz w:val="20"/>
                <w:szCs w:val="20"/>
                <w:color w:val="auto"/>
              </w:rPr>
            </w:pPr>
            <w:r>
              <w:rPr>
                <w:rFonts w:ascii="Arial" w:cs="Arial" w:eastAsia="Arial" w:hAnsi="Arial"/>
                <w:sz w:val="13"/>
                <w:szCs w:val="13"/>
                <w:b w:val="1"/>
                <w:bCs w:val="1"/>
                <w:color w:val="FFFFFF"/>
              </w:rPr>
              <w:t>High end</w:t>
            </w:r>
          </w:p>
        </w:tc>
        <w:tc>
          <w:tcPr>
            <w:tcW w:w="1380" w:type="dxa"/>
            <w:vAlign w:val="bottom"/>
            <w:tcBorders>
              <w:bottom w:val="single" w:sz="8" w:color="auto"/>
            </w:tcBorders>
            <w:shd w:val="clear" w:color="auto" w:fill="1928A0"/>
          </w:tcPr>
          <w:p>
            <w:pPr>
              <w:jc w:val="right"/>
              <w:ind w:right="340"/>
              <w:spacing w:after="0"/>
              <w:rPr>
                <w:sz w:val="20"/>
                <w:szCs w:val="20"/>
                <w:color w:val="auto"/>
              </w:rPr>
            </w:pPr>
            <w:r>
              <w:rPr>
                <w:rFonts w:ascii="Arial" w:cs="Arial" w:eastAsia="Arial" w:hAnsi="Arial"/>
                <w:sz w:val="13"/>
                <w:szCs w:val="13"/>
                <w:b w:val="1"/>
                <w:bCs w:val="1"/>
                <w:color w:val="FFFFFF"/>
              </w:rPr>
              <w:t>2025 Actuals</w:t>
            </w:r>
          </w:p>
        </w:tc>
        <w:tc>
          <w:tcPr>
            <w:tcW w:w="1460" w:type="dxa"/>
            <w:vAlign w:val="bottom"/>
            <w:tcBorders>
              <w:bottom w:val="single" w:sz="8" w:color="auto"/>
              <w:right w:val="single" w:sz="8" w:color="auto"/>
            </w:tcBorders>
            <w:shd w:val="clear" w:color="auto" w:fill="1928A0"/>
          </w:tcPr>
          <w:p>
            <w:pPr>
              <w:jc w:val="right"/>
              <w:ind w:right="360"/>
              <w:spacing w:after="0"/>
              <w:rPr>
                <w:sz w:val="20"/>
                <w:szCs w:val="20"/>
                <w:color w:val="auto"/>
              </w:rPr>
            </w:pPr>
            <w:r>
              <w:rPr>
                <w:rFonts w:ascii="Arial" w:cs="Arial" w:eastAsia="Arial" w:hAnsi="Arial"/>
                <w:sz w:val="13"/>
                <w:szCs w:val="13"/>
                <w:b w:val="1"/>
                <w:bCs w:val="1"/>
                <w:color w:val="FFFFFF"/>
              </w:rPr>
              <w:t>vs. 2025</w:t>
            </w:r>
          </w:p>
        </w:tc>
      </w:tr>
      <w:tr>
        <w:trPr>
          <w:trHeight w:val="161"/>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Net sales</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$6,175</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$6,355</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$6,053</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3.5 %</w:t>
            </w:r>
          </w:p>
        </w:tc>
      </w:tr>
      <w:tr>
        <w:trPr>
          <w:trHeight w:val="252"/>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Sales growth</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2.0 %</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5.0 %</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2.0%</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3.5 %</w:t>
            </w:r>
          </w:p>
        </w:tc>
      </w:tr>
      <w:tr>
        <w:trPr>
          <w:trHeight w:val="290"/>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Comparable sales </w:t>
            </w:r>
            <w:r>
              <w:rPr>
                <w:rFonts w:ascii="Arial" w:cs="Arial" w:eastAsia="Arial" w:hAnsi="Arial"/>
                <w:sz w:val="15"/>
                <w:szCs w:val="15"/>
                <w:color w:val="auto"/>
                <w:vertAlign w:val="superscript"/>
              </w:rPr>
              <w:t>(1)</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(1.0)%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2.0 %</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(1.5)%</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133.3 %</w:t>
            </w:r>
          </w:p>
        </w:tc>
      </w:tr>
      <w:tr>
        <w:trPr>
          <w:trHeight w:val="31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Gross margin rate</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34.5 %</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35.0 %</w:t>
            </w:r>
          </w:p>
        </w:tc>
        <w:tc>
          <w:tcPr>
            <w:tcW w:w="1380" w:type="dxa"/>
            <w:vAlign w:val="bottom"/>
          </w:tcPr>
          <w:p>
            <w:pPr>
              <w:jc w:val="right"/>
              <w:ind w:right="220"/>
              <w:spacing w:after="0"/>
              <w:rPr>
                <w:sz w:val="20"/>
                <w:szCs w:val="20"/>
                <w:color w:val="auto"/>
              </w:rPr>
            </w:pPr>
            <w:r>
              <w:rPr>
                <w:rFonts w:ascii="Arial" w:cs="Arial" w:eastAsia="Arial" w:hAnsi="Arial"/>
                <w:sz w:val="12"/>
                <w:szCs w:val="12"/>
                <w:color w:val="auto"/>
              </w:rPr>
              <w:t>34.8%</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24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GAAP net income</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$380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$415</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$377</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5.6 %</w:t>
            </w:r>
          </w:p>
        </w:tc>
      </w:tr>
      <w:tr>
        <w:trPr>
          <w:trHeight w:val="290"/>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5"/>
                <w:szCs w:val="15"/>
                <w:color w:val="auto"/>
                <w:vertAlign w:val="superscript"/>
              </w:rPr>
              <w:t>(2)</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$410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$445</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$393</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8.9 %</w:t>
            </w:r>
          </w:p>
        </w:tc>
      </w:tr>
      <w:tr>
        <w:trPr>
          <w:trHeight w:val="196"/>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GAAP earnings per common share, diluted</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$5.65</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$6.15</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$5.54</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6.5 %</w:t>
            </w:r>
          </w:p>
        </w:tc>
      </w:tr>
      <w:tr>
        <w:trPr>
          <w:trHeight w:val="407"/>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earnings per common share, diluted </w:t>
            </w:r>
            <w:r>
              <w:rPr>
                <w:rFonts w:ascii="Arial" w:cs="Arial" w:eastAsia="Arial" w:hAnsi="Arial"/>
                <w:sz w:val="15"/>
                <w:szCs w:val="15"/>
                <w:color w:val="auto"/>
                <w:vertAlign w:val="superscript"/>
              </w:rPr>
              <w:t>(2)</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$6.10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$6.60</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$5.78</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9.9 %</w:t>
            </w:r>
          </w:p>
        </w:tc>
      </w:tr>
      <w:tr>
        <w:trPr>
          <w:trHeight w:val="196"/>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Diluted weighted average common shares</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67.0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67.0</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68.0</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w:t>
            </w:r>
          </w:p>
        </w:tc>
      </w:tr>
      <w:tr>
        <w:trPr>
          <w:trHeight w:val="243"/>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Capital expenditures</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$200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$213</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3.2 %</w:t>
            </w:r>
          </w:p>
        </w:tc>
      </w:tr>
      <w:tr>
        <w:trPr>
          <w:trHeight w:val="290"/>
        </w:trPr>
        <w:tc>
          <w:tcPr>
            <w:tcW w:w="4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free cash flow </w:t>
            </w:r>
            <w:r>
              <w:rPr>
                <w:rFonts w:ascii="Arial" w:cs="Arial" w:eastAsia="Arial" w:hAnsi="Arial"/>
                <w:sz w:val="15"/>
                <w:szCs w:val="15"/>
                <w:color w:val="auto"/>
                <w:vertAlign w:val="superscript"/>
              </w:rPr>
              <w:t>(2), (3)</w:t>
            </w:r>
          </w:p>
        </w:tc>
        <w:tc>
          <w:tcPr>
            <w:tcW w:w="1260" w:type="dxa"/>
            <w:vAlign w:val="bottom"/>
          </w:tcPr>
          <w:p>
            <w:pPr>
              <w:jc w:val="right"/>
              <w:ind w:right="99"/>
              <w:spacing w:after="0"/>
              <w:rPr>
                <w:sz w:val="20"/>
                <w:szCs w:val="20"/>
                <w:color w:val="auto"/>
              </w:rPr>
            </w:pPr>
            <w:r>
              <w:rPr>
                <w:rFonts w:ascii="Arial" w:cs="Arial" w:eastAsia="Arial" w:hAnsi="Arial"/>
                <w:sz w:val="12"/>
                <w:szCs w:val="12"/>
                <w:color w:val="auto"/>
              </w:rPr>
              <w:t>$250</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$300</w:t>
            </w:r>
          </w:p>
        </w:tc>
        <w:tc>
          <w:tcPr>
            <w:tcW w:w="1380" w:type="dxa"/>
            <w:vAlign w:val="bottom"/>
          </w:tcPr>
          <w:p>
            <w:pPr>
              <w:jc w:val="right"/>
              <w:ind w:right="180"/>
              <w:spacing w:after="0"/>
              <w:rPr>
                <w:sz w:val="20"/>
                <w:szCs w:val="20"/>
                <w:color w:val="auto"/>
              </w:rPr>
            </w:pPr>
            <w:r>
              <w:rPr>
                <w:rFonts w:ascii="Arial" w:cs="Arial" w:eastAsia="Arial" w:hAnsi="Arial"/>
                <w:sz w:val="12"/>
                <w:szCs w:val="12"/>
                <w:color w:val="auto"/>
              </w:rPr>
              <w:t>$263</w:t>
            </w:r>
          </w:p>
        </w:tc>
        <w:tc>
          <w:tcPr>
            <w:tcW w:w="14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4.6 %</w:t>
            </w:r>
          </w:p>
        </w:tc>
      </w:tr>
      <w:tr>
        <w:trPr>
          <w:trHeight w:val="32"/>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r>
    </w:tbl>
    <w:p>
      <w:pPr>
        <w:spacing w:after="0" w:line="375" w:lineRule="exact"/>
        <w:rPr>
          <w:sz w:val="20"/>
          <w:szCs w:val="20"/>
          <w:color w:val="auto"/>
        </w:rPr>
      </w:pPr>
    </w:p>
    <w:p>
      <w:pPr>
        <w:ind w:left="560" w:hanging="136"/>
        <w:spacing w:after="0"/>
        <w:tabs>
          <w:tab w:leader="none" w:pos="560" w:val="left"/>
        </w:tabs>
        <w:numPr>
          <w:ilvl w:val="0"/>
          <w:numId w:val="4"/>
        </w:numPr>
        <w:rPr>
          <w:rFonts w:ascii="Arial" w:cs="Arial" w:eastAsia="Arial" w:hAnsi="Arial"/>
          <w:sz w:val="8"/>
          <w:szCs w:val="8"/>
          <w:color w:val="auto"/>
        </w:rPr>
      </w:pPr>
      <w:r>
        <w:rPr>
          <w:rFonts w:ascii="Arial" w:cs="Arial" w:eastAsia="Arial" w:hAnsi="Arial"/>
          <w:sz w:val="8"/>
          <w:szCs w:val="8"/>
          <w:color w:val="auto"/>
        </w:rPr>
        <w:t>We define comparable sales as the percentage of period-over-period net sales increase or decrease, in the aggregate, for stores open after thirteen full fiscal months, as well as for all e-Commerce sales.</w:t>
      </w:r>
    </w:p>
    <w:p>
      <w:pPr>
        <w:spacing w:after="0" w:line="160" w:lineRule="exact"/>
        <w:rPr>
          <w:rFonts w:ascii="Arial" w:cs="Arial" w:eastAsia="Arial" w:hAnsi="Arial"/>
          <w:sz w:val="8"/>
          <w:szCs w:val="8"/>
          <w:color w:val="auto"/>
        </w:rPr>
      </w:pPr>
    </w:p>
    <w:p>
      <w:pPr>
        <w:ind w:left="560" w:hanging="136"/>
        <w:spacing w:after="0"/>
        <w:tabs>
          <w:tab w:leader="none" w:pos="560" w:val="left"/>
        </w:tabs>
        <w:numPr>
          <w:ilvl w:val="0"/>
          <w:numId w:val="4"/>
        </w:numPr>
        <w:rPr>
          <w:rFonts w:ascii="Arial" w:cs="Arial" w:eastAsia="Arial" w:hAnsi="Arial"/>
          <w:sz w:val="8"/>
          <w:szCs w:val="8"/>
          <w:color w:val="auto"/>
        </w:rPr>
      </w:pPr>
      <w:r>
        <w:rPr>
          <w:rFonts w:ascii="Arial" w:cs="Arial" w:eastAsia="Arial" w:hAnsi="Arial"/>
          <w:sz w:val="8"/>
          <w:szCs w:val="8"/>
          <w:color w:val="auto"/>
        </w:rPr>
        <w:t>Adjusted net income, adjusted earnings per common share (EPS), diluted, and adjusted free cash flow are non-GAAP measures. See appendix for "GAAP to Non-GAAP Reconciliations.</w:t>
      </w:r>
    </w:p>
    <w:p>
      <w:pPr>
        <w:spacing w:after="0" w:line="169" w:lineRule="exact"/>
        <w:rPr>
          <w:rFonts w:ascii="Arial" w:cs="Arial" w:eastAsia="Arial" w:hAnsi="Arial"/>
          <w:sz w:val="8"/>
          <w:szCs w:val="8"/>
          <w:color w:val="auto"/>
        </w:rPr>
      </w:pPr>
    </w:p>
    <w:p>
      <w:pPr>
        <w:ind w:left="420" w:right="20" w:firstLine="4"/>
        <w:spacing w:after="0" w:line="305" w:lineRule="auto"/>
        <w:tabs>
          <w:tab w:leader="none" w:pos="550" w:val="left"/>
        </w:tabs>
        <w:numPr>
          <w:ilvl w:val="0"/>
          <w:numId w:val="4"/>
        </w:numPr>
        <w:rPr>
          <w:rFonts w:ascii="Arial" w:cs="Arial" w:eastAsia="Arial" w:hAnsi="Arial"/>
          <w:sz w:val="8"/>
          <w:szCs w:val="8"/>
          <w:color w:val="auto"/>
        </w:rPr>
      </w:pPr>
      <w:r>
        <w:rPr>
          <w:rFonts w:ascii="Arial" w:cs="Arial" w:eastAsia="Arial" w:hAnsi="Arial"/>
          <w:sz w:val="8"/>
          <w:szCs w:val="8"/>
          <w:color w:val="auto"/>
        </w:rPr>
        <w:t>We have not reconciled guidance for adjusted free cash flow to the most comparable GAAP measure because it is not possible to do so without unreasonable efforts given the uncertainty and potential variability of reconciling items, which are dependent on future events often outside of management's control and could be significant; therefore, we are unable to provide an estimate of the most closely comparable GAAP measure at this time.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Conference Call Info</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 xml:space="preserve">Academy will host a conference call today at 10:00 a.m. Eastern Time to discuss its financial results. The call will be webcast at </w:t>
      </w:r>
      <w:r>
        <w:rPr>
          <w:rFonts w:ascii="Arial" w:cs="Arial" w:eastAsia="Arial" w:hAnsi="Arial"/>
          <w:sz w:val="12"/>
          <w:szCs w:val="12"/>
          <w:u w:val="single" w:color="auto"/>
          <w:color w:val="0E32E1"/>
        </w:rPr>
        <w:t>investors.academy.com</w:t>
      </w:r>
      <w:r>
        <w:rPr>
          <w:rFonts w:ascii="Arial" w:cs="Arial" w:eastAsia="Arial" w:hAnsi="Arial"/>
          <w:sz w:val="12"/>
          <w:szCs w:val="12"/>
          <w:color w:val="auto"/>
        </w:rPr>
        <w:t>. The following information is provided for those who would like to participate in the conference call:</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780" w:type="dxa"/>
            <w:vAlign w:val="bottom"/>
          </w:tcPr>
          <w:p>
            <w:pPr>
              <w:spacing w:after="0"/>
              <w:rPr>
                <w:sz w:val="20"/>
                <w:szCs w:val="20"/>
                <w:color w:val="auto"/>
              </w:rPr>
            </w:pPr>
            <w:r>
              <w:rPr>
                <w:rFonts w:ascii="Arial" w:cs="Arial" w:eastAsia="Arial" w:hAnsi="Arial"/>
                <w:sz w:val="12"/>
                <w:szCs w:val="12"/>
                <w:color w:val="auto"/>
              </w:rPr>
              <w:t>U.S. callers</w:t>
            </w:r>
          </w:p>
        </w:tc>
        <w:tc>
          <w:tcPr>
            <w:tcW w:w="1020" w:type="dxa"/>
            <w:vAlign w:val="bottom"/>
          </w:tcPr>
          <w:p>
            <w:pPr>
              <w:jc w:val="right"/>
              <w:spacing w:after="0"/>
              <w:rPr>
                <w:sz w:val="20"/>
                <w:szCs w:val="20"/>
                <w:color w:val="auto"/>
              </w:rPr>
            </w:pPr>
            <w:r>
              <w:rPr>
                <w:rFonts w:ascii="Arial" w:cs="Arial" w:eastAsia="Arial" w:hAnsi="Arial"/>
                <w:sz w:val="12"/>
                <w:szCs w:val="12"/>
                <w:color w:val="auto"/>
              </w:rPr>
              <w:t>1-877-407-3982</w:t>
            </w:r>
          </w:p>
        </w:tc>
      </w:tr>
    </w:tbl>
    <w:p>
      <w:pPr>
        <w:ind w:left="120"/>
        <w:spacing w:after="0"/>
        <w:tabs>
          <w:tab w:leader="none" w:pos="1320" w:val="left"/>
        </w:tabs>
        <w:rPr>
          <w:sz w:val="20"/>
          <w:szCs w:val="20"/>
          <w:color w:val="auto"/>
        </w:rPr>
      </w:pPr>
      <w:r>
        <w:rPr>
          <w:rFonts w:ascii="Arial" w:cs="Arial" w:eastAsia="Arial" w:hAnsi="Arial"/>
          <w:sz w:val="12"/>
          <w:szCs w:val="12"/>
          <w:color w:val="auto"/>
        </w:rPr>
        <w:t>International callers</w:t>
      </w:r>
      <w:r>
        <w:rPr>
          <w:sz w:val="20"/>
          <w:szCs w:val="20"/>
          <w:color w:val="auto"/>
        </w:rPr>
        <w:tab/>
      </w:r>
      <w:r>
        <w:rPr>
          <w:rFonts w:ascii="Arial" w:cs="Arial" w:eastAsia="Arial" w:hAnsi="Arial"/>
          <w:sz w:val="11"/>
          <w:szCs w:val="11"/>
          <w:color w:val="auto"/>
        </w:rPr>
        <w:t>1-201-493-6780</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59"/>
        </w:trPr>
        <w:tc>
          <w:tcPr>
            <w:tcW w:w="700" w:type="dxa"/>
            <w:vAlign w:val="bottom"/>
          </w:tcPr>
          <w:p>
            <w:pPr>
              <w:spacing w:after="0"/>
              <w:rPr>
                <w:sz w:val="20"/>
                <w:szCs w:val="20"/>
                <w:color w:val="auto"/>
              </w:rPr>
            </w:pPr>
            <w:r>
              <w:rPr>
                <w:rFonts w:ascii="Arial" w:cs="Arial" w:eastAsia="Arial" w:hAnsi="Arial"/>
                <w:sz w:val="12"/>
                <w:szCs w:val="12"/>
                <w:color w:val="auto"/>
              </w:rPr>
              <w:t>Passcode</w:t>
            </w:r>
          </w:p>
        </w:tc>
        <w:tc>
          <w:tcPr>
            <w:tcW w:w="700" w:type="dxa"/>
            <w:vAlign w:val="bottom"/>
          </w:tcPr>
          <w:p>
            <w:pPr>
              <w:jc w:val="right"/>
              <w:spacing w:after="0"/>
              <w:rPr>
                <w:sz w:val="20"/>
                <w:szCs w:val="20"/>
                <w:color w:val="auto"/>
              </w:rPr>
            </w:pPr>
            <w:r>
              <w:rPr>
                <w:rFonts w:ascii="Arial" w:cs="Arial" w:eastAsia="Arial" w:hAnsi="Arial"/>
                <w:sz w:val="12"/>
                <w:szCs w:val="12"/>
                <w:color w:val="auto"/>
              </w:rPr>
              <w:t>13758909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conference call will be available for approximately 30 days on the Company's website.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About Academy Sports + Outdoors</w:t>
      </w:r>
    </w:p>
    <w:p>
      <w:pPr>
        <w:ind w:right="160"/>
        <w:spacing w:after="0" w:line="242" w:lineRule="auto"/>
        <w:rPr>
          <w:sz w:val="20"/>
          <w:szCs w:val="20"/>
          <w:color w:val="auto"/>
        </w:rPr>
      </w:pPr>
      <w:r>
        <w:rPr>
          <w:rFonts w:ascii="Arial" w:cs="Arial" w:eastAsia="Arial" w:hAnsi="Arial"/>
          <w:sz w:val="12"/>
          <w:szCs w:val="12"/>
          <w:color w:val="auto"/>
        </w:rPr>
        <w:t>Academy is a leading full-line sporting goods and outdoor recreation retailer in the United States. Originally founded in 1938 as a family business in Texas, Academy has grown to more than 300 stores across 21 states and counting.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Non-GAAP Measures</w:t>
      </w:r>
    </w:p>
    <w:p>
      <w:pPr>
        <w:spacing w:after="0" w:line="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00"/>
          </w:cols>
          <w:pgMar w:left="300" w:top="354" w:right="29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2"/>
          <w:szCs w:val="12"/>
          <w:color w:val="auto"/>
        </w:rPr>
        <w:t>similarly titled measures. For additional information on these non-GAAP financial measures, please see our Annual Report for the fiscal year ended January 31, 2026 (the "Annual Report"), to be filed on March 17, 2026, which may be updated from time to time in our periodic filings with the Securities and Exchange Commission (the "SEC"), which are accessible on the SEC's website at www.sec.gov.</w:t>
      </w:r>
    </w:p>
    <w:p>
      <w:pPr>
        <w:spacing w:after="0" w:line="123" w:lineRule="exact"/>
        <w:rPr>
          <w:sz w:val="20"/>
          <w:szCs w:val="20"/>
          <w:color w:val="auto"/>
        </w:rPr>
      </w:pPr>
    </w:p>
    <w:p>
      <w:pPr>
        <w:ind w:right="480"/>
        <w:spacing w:after="0" w:line="282" w:lineRule="auto"/>
        <w:rPr>
          <w:sz w:val="20"/>
          <w:szCs w:val="20"/>
          <w:color w:val="auto"/>
        </w:rPr>
      </w:pPr>
      <w:r>
        <w:rPr>
          <w:rFonts w:ascii="Arial" w:cs="Arial" w:eastAsia="Arial" w:hAnsi="Arial"/>
          <w:sz w:val="12"/>
          <w:szCs w:val="12"/>
          <w:i w:val="1"/>
          <w:iCs w:val="1"/>
          <w:color w:val="auto"/>
        </w:rPr>
        <w:t>See “Reconciliations of GAAP to Non-GAAP Financial Measures” below for reconciliations of non-GAAP financial measures presented in this press release to their most directly comparable 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Forward Looking Statements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 press release include, among other things, statements regarding the Company’s fiscal 2026 outlook under the caption "2026 Outlook," the Company's strategic plans and financial objectives, including the implementation of such plans, the growth of the Company's business and operations, including the opening of new stores and the expansion into new markets, the Company's payment of dividends, including the timing and the amount thereof, share repurchases by the Company, and the Company's expectations regarding its future performance and future financial condition are subject to various risks, uncertainties, assumptions, or changes in circumstances that are all difficult to predict or quantify.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under the caption "Part 1A.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Investor Contact</w:t>
            </w:r>
          </w:p>
        </w:tc>
        <w:tc>
          <w:tcPr>
            <w:tcW w:w="3360" w:type="dxa"/>
            <w:vAlign w:val="bottom"/>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Media Contact</w:t>
            </w:r>
          </w:p>
        </w:tc>
        <w:tc>
          <w:tcPr>
            <w:tcW w:w="780" w:type="dxa"/>
            <w:vAlign w:val="bottom"/>
          </w:tcPr>
          <w:p>
            <w:pPr>
              <w:spacing w:after="0"/>
              <w:rPr>
                <w:sz w:val="13"/>
                <w:szCs w:val="13"/>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2"/>
                <w:szCs w:val="12"/>
                <w:color w:val="auto"/>
              </w:rPr>
              <w:t>Dan Aldridge</w:t>
            </w:r>
          </w:p>
        </w:tc>
        <w:tc>
          <w:tcPr>
            <w:tcW w:w="1600" w:type="dxa"/>
            <w:vAlign w:val="bottom"/>
            <w:gridSpan w:val="2"/>
          </w:tcPr>
          <w:p>
            <w:pPr>
              <w:spacing w:after="0"/>
              <w:rPr>
                <w:sz w:val="20"/>
                <w:szCs w:val="20"/>
                <w:color w:val="auto"/>
              </w:rPr>
            </w:pPr>
            <w:r>
              <w:rPr>
                <w:rFonts w:ascii="Arial" w:cs="Arial" w:eastAsia="Arial" w:hAnsi="Arial"/>
                <w:sz w:val="12"/>
                <w:szCs w:val="12"/>
                <w:color w:val="auto"/>
              </w:rPr>
              <w:t>Meredith Klein</w:t>
            </w: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VP, Investor Relations</w:t>
            </w:r>
          </w:p>
        </w:tc>
        <w:tc>
          <w:tcPr>
            <w:tcW w:w="1600" w:type="dxa"/>
            <w:vAlign w:val="bottom"/>
            <w:gridSpan w:val="2"/>
          </w:tcPr>
          <w:p>
            <w:pPr>
              <w:spacing w:after="0"/>
              <w:rPr>
                <w:sz w:val="20"/>
                <w:szCs w:val="20"/>
                <w:color w:val="auto"/>
              </w:rPr>
            </w:pPr>
            <w:r>
              <w:rPr>
                <w:rFonts w:ascii="Arial" w:cs="Arial" w:eastAsia="Arial" w:hAnsi="Arial"/>
                <w:sz w:val="12"/>
                <w:szCs w:val="12"/>
                <w:color w:val="auto"/>
              </w:rPr>
              <w:t>VP, Communications</w:t>
            </w:r>
          </w:p>
        </w:tc>
      </w:tr>
      <w:tr>
        <w:trPr>
          <w:trHeight w:val="180"/>
        </w:trPr>
        <w:tc>
          <w:tcPr>
            <w:tcW w:w="960" w:type="dxa"/>
            <w:vAlign w:val="bottom"/>
          </w:tcPr>
          <w:p>
            <w:pPr>
              <w:spacing w:after="0"/>
              <w:rPr>
                <w:sz w:val="20"/>
                <w:szCs w:val="20"/>
                <w:color w:val="auto"/>
              </w:rPr>
            </w:pPr>
            <w:r>
              <w:rPr>
                <w:rFonts w:ascii="Arial" w:cs="Arial" w:eastAsia="Arial" w:hAnsi="Arial"/>
                <w:sz w:val="12"/>
                <w:szCs w:val="12"/>
                <w:color w:val="auto"/>
              </w:rPr>
              <w:t>832-739-4102</w:t>
            </w:r>
          </w:p>
        </w:tc>
        <w:tc>
          <w:tcPr>
            <w:tcW w:w="33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346-823-6514</w:t>
            </w:r>
          </w:p>
        </w:tc>
        <w:tc>
          <w:tcPr>
            <w:tcW w:w="780" w:type="dxa"/>
            <w:vAlign w:val="bottom"/>
          </w:tcPr>
          <w:p>
            <w:pPr>
              <w:spacing w:after="0"/>
              <w:rPr>
                <w:sz w:val="15"/>
                <w:szCs w:val="15"/>
                <w:color w:val="auto"/>
              </w:rPr>
            </w:pPr>
          </w:p>
        </w:tc>
      </w:tr>
      <w:tr>
        <w:trPr>
          <w:trHeight w:val="180"/>
        </w:trPr>
        <w:tc>
          <w:tcPr>
            <w:tcW w:w="4320" w:type="dxa"/>
            <w:vAlign w:val="bottom"/>
            <w:gridSpan w:val="2"/>
          </w:tcPr>
          <w:p>
            <w:pPr>
              <w:spacing w:after="0"/>
              <w:rPr>
                <w:sz w:val="20"/>
                <w:szCs w:val="20"/>
                <w:color w:val="auto"/>
              </w:rPr>
            </w:pPr>
            <w:r>
              <w:rPr>
                <w:rFonts w:ascii="Arial" w:cs="Arial" w:eastAsia="Arial" w:hAnsi="Arial"/>
                <w:sz w:val="12"/>
                <w:szCs w:val="12"/>
                <w:color w:val="auto"/>
              </w:rPr>
              <w:t>dan.aldridge@academy.com</w:t>
            </w:r>
          </w:p>
        </w:tc>
        <w:tc>
          <w:tcPr>
            <w:tcW w:w="1600" w:type="dxa"/>
            <w:vAlign w:val="bottom"/>
            <w:gridSpan w:val="2"/>
          </w:tcPr>
          <w:p>
            <w:pPr>
              <w:spacing w:after="0"/>
              <w:rPr>
                <w:sz w:val="20"/>
                <w:szCs w:val="20"/>
                <w:color w:val="auto"/>
              </w:rPr>
            </w:pPr>
            <w:r>
              <w:rPr>
                <w:rFonts w:ascii="Arial" w:cs="Arial" w:eastAsia="Arial" w:hAnsi="Arial"/>
                <w:sz w:val="12"/>
                <w:szCs w:val="12"/>
                <w:color w:val="auto"/>
                <w:w w:val="97"/>
              </w:rPr>
              <w:t>meredith.klein@academy.com</w:t>
            </w:r>
          </w:p>
        </w:tc>
      </w:tr>
      <w:tr>
        <w:trPr>
          <w:trHeight w:val="352"/>
        </w:trPr>
        <w:tc>
          <w:tcPr>
            <w:tcW w:w="9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0" w:type="dxa"/>
            <w:vAlign w:val="bottom"/>
            <w:gridSpan w:val="2"/>
          </w:tcPr>
          <w:p>
            <w:pPr>
              <w:ind w:left="1300"/>
              <w:spacing w:after="0"/>
              <w:rPr>
                <w:sz w:val="20"/>
                <w:szCs w:val="20"/>
                <w:color w:val="auto"/>
              </w:rPr>
            </w:pPr>
            <w:r>
              <w:rPr>
                <w:rFonts w:ascii="Arial" w:cs="Arial" w:eastAsia="Arial" w:hAnsi="Arial"/>
                <w:sz w:val="10"/>
                <w:szCs w:val="10"/>
                <w:color w:val="auto"/>
              </w:rPr>
              <w:t>4</w:t>
            </w:r>
          </w:p>
        </w:tc>
      </w:tr>
    </w:tbl>
    <w:p>
      <w:pPr>
        <w:sectPr>
          <w:pgSz w:w="11900" w:h="16838" w:orient="portrait"/>
          <w:cols w:equalWidth="0" w:num="1">
            <w:col w:w="11300"/>
          </w:cols>
          <w:pgMar w:left="300" w:top="379" w:right="299" w:bottom="1440" w:gutter="0" w:footer="0" w:header="0"/>
        </w:sectPr>
      </w:pPr>
    </w:p>
    <w:bookmarkStart w:id="7" w:name="page8"/>
    <w:bookmarkEnd w:id="7"/>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4200" w:type="dxa"/>
            <w:vAlign w:val="bottom"/>
          </w:tcPr>
          <w:p>
            <w:pPr>
              <w:spacing w:after="0"/>
              <w:rPr>
                <w:sz w:val="17"/>
                <w:szCs w:val="17"/>
                <w:color w:val="auto"/>
              </w:rPr>
            </w:pPr>
          </w:p>
        </w:tc>
        <w:tc>
          <w:tcPr>
            <w:tcW w:w="240" w:type="dxa"/>
            <w:vAlign w:val="bottom"/>
            <w:shd w:val="clear" w:color="auto" w:fill="1928A0"/>
          </w:tcPr>
          <w:p>
            <w:pPr>
              <w:spacing w:after="0"/>
              <w:rPr>
                <w:sz w:val="17"/>
                <w:szCs w:val="17"/>
                <w:color w:val="auto"/>
              </w:rPr>
            </w:pPr>
          </w:p>
        </w:tc>
        <w:tc>
          <w:tcPr>
            <w:tcW w:w="1560" w:type="dxa"/>
            <w:vAlign w:val="bottom"/>
            <w:shd w:val="clear" w:color="auto" w:fill="1928A0"/>
          </w:tcPr>
          <w:p>
            <w:pPr>
              <w:spacing w:after="0"/>
              <w:rPr>
                <w:sz w:val="17"/>
                <w:szCs w:val="17"/>
                <w:color w:val="auto"/>
              </w:rPr>
            </w:pPr>
          </w:p>
        </w:tc>
        <w:tc>
          <w:tcPr>
            <w:tcW w:w="60" w:type="dxa"/>
            <w:vAlign w:val="bottom"/>
            <w:shd w:val="clear" w:color="auto" w:fill="1928A0"/>
          </w:tcPr>
          <w:p>
            <w:pPr>
              <w:spacing w:after="0"/>
              <w:rPr>
                <w:sz w:val="17"/>
                <w:szCs w:val="17"/>
                <w:color w:val="auto"/>
              </w:rPr>
            </w:pPr>
          </w:p>
        </w:tc>
        <w:tc>
          <w:tcPr>
            <w:tcW w:w="3580" w:type="dxa"/>
            <w:vAlign w:val="bottom"/>
            <w:gridSpan w:val="5"/>
            <w:shd w:val="clear" w:color="auto" w:fill="1928A0"/>
          </w:tcPr>
          <w:p>
            <w:pPr>
              <w:ind w:left="1020"/>
              <w:spacing w:after="0"/>
              <w:rPr>
                <w:sz w:val="20"/>
                <w:szCs w:val="20"/>
                <w:color w:val="auto"/>
              </w:rPr>
            </w:pPr>
            <w:r>
              <w:rPr>
                <w:rFonts w:ascii="Arial" w:cs="Arial" w:eastAsia="Arial" w:hAnsi="Arial"/>
                <w:sz w:val="13"/>
                <w:szCs w:val="13"/>
                <w:b w:val="1"/>
                <w:bCs w:val="1"/>
                <w:color w:val="FFFFFF"/>
              </w:rPr>
              <w:t>Fiscal Quarter Ended</w:t>
            </w:r>
          </w:p>
        </w:tc>
        <w:tc>
          <w:tcPr>
            <w:tcW w:w="1660" w:type="dxa"/>
            <w:vAlign w:val="bottom"/>
            <w:shd w:val="clear" w:color="auto" w:fill="1928A0"/>
          </w:tcPr>
          <w:p>
            <w:pPr>
              <w:spacing w:after="0"/>
              <w:rPr>
                <w:sz w:val="17"/>
                <w:szCs w:val="17"/>
                <w:color w:val="auto"/>
              </w:rPr>
            </w:pPr>
          </w:p>
        </w:tc>
      </w:tr>
      <w:tr>
        <w:trPr>
          <w:trHeight w:val="188"/>
        </w:trPr>
        <w:tc>
          <w:tcPr>
            <w:tcW w:w="4200" w:type="dxa"/>
            <w:vAlign w:val="bottom"/>
          </w:tcPr>
          <w:p>
            <w:pPr>
              <w:spacing w:after="0"/>
              <w:rPr>
                <w:sz w:val="16"/>
                <w:szCs w:val="16"/>
                <w:color w:val="auto"/>
              </w:rPr>
            </w:pPr>
          </w:p>
        </w:tc>
        <w:tc>
          <w:tcPr>
            <w:tcW w:w="240" w:type="dxa"/>
            <w:vAlign w:val="bottom"/>
            <w:shd w:val="clear" w:color="auto" w:fill="1928A0"/>
          </w:tcPr>
          <w:p>
            <w:pPr>
              <w:spacing w:after="0"/>
              <w:rPr>
                <w:sz w:val="16"/>
                <w:szCs w:val="16"/>
                <w:color w:val="auto"/>
              </w:rPr>
            </w:pPr>
          </w:p>
        </w:tc>
        <w:tc>
          <w:tcPr>
            <w:tcW w:w="1620" w:type="dxa"/>
            <w:vAlign w:val="bottom"/>
            <w:gridSpan w:val="2"/>
            <w:shd w:val="clear" w:color="auto" w:fill="1928A0"/>
          </w:tcPr>
          <w:p>
            <w:pPr>
              <w:ind w:left="180"/>
              <w:spacing w:after="0"/>
              <w:rPr>
                <w:sz w:val="20"/>
                <w:szCs w:val="20"/>
                <w:color w:val="auto"/>
              </w:rPr>
            </w:pPr>
            <w:r>
              <w:rPr>
                <w:rFonts w:ascii="Arial" w:cs="Arial" w:eastAsia="Arial" w:hAnsi="Arial"/>
                <w:sz w:val="12"/>
                <w:szCs w:val="12"/>
                <w:b w:val="1"/>
                <w:bCs w:val="1"/>
                <w:color w:val="FFFFFF"/>
              </w:rPr>
              <w:t>January 31, 2026</w:t>
            </w:r>
          </w:p>
        </w:tc>
        <w:tc>
          <w:tcPr>
            <w:tcW w:w="1720" w:type="dxa"/>
            <w:vAlign w:val="bottom"/>
            <w:gridSpan w:val="2"/>
            <w:shd w:val="clear" w:color="auto" w:fill="1928A0"/>
          </w:tcPr>
          <w:p>
            <w:pPr>
              <w:ind w:left="20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c>
          <w:tcPr>
            <w:tcW w:w="240" w:type="dxa"/>
            <w:vAlign w:val="bottom"/>
            <w:shd w:val="clear" w:color="auto" w:fill="1928A0"/>
          </w:tcPr>
          <w:p>
            <w:pPr>
              <w:spacing w:after="0"/>
              <w:rPr>
                <w:sz w:val="16"/>
                <w:szCs w:val="16"/>
                <w:color w:val="auto"/>
              </w:rPr>
            </w:pPr>
          </w:p>
        </w:tc>
        <w:tc>
          <w:tcPr>
            <w:tcW w:w="1620" w:type="dxa"/>
            <w:vAlign w:val="bottom"/>
            <w:gridSpan w:val="2"/>
            <w:shd w:val="clear" w:color="auto" w:fill="1928A0"/>
          </w:tcPr>
          <w:p>
            <w:pPr>
              <w:ind w:left="180"/>
              <w:spacing w:after="0"/>
              <w:rPr>
                <w:sz w:val="20"/>
                <w:szCs w:val="20"/>
                <w:color w:val="auto"/>
              </w:rPr>
            </w:pPr>
            <w:r>
              <w:rPr>
                <w:rFonts w:ascii="Arial" w:cs="Arial" w:eastAsia="Arial" w:hAnsi="Arial"/>
                <w:sz w:val="12"/>
                <w:szCs w:val="12"/>
                <w:b w:val="1"/>
                <w:bCs w:val="1"/>
                <w:color w:val="FFFFFF"/>
              </w:rPr>
              <w:t>February 1, 2025</w:t>
            </w:r>
          </w:p>
        </w:tc>
        <w:tc>
          <w:tcPr>
            <w:tcW w:w="1660" w:type="dxa"/>
            <w:vAlign w:val="bottom"/>
            <w:shd w:val="clear" w:color="auto" w:fill="1928A0"/>
          </w:tcPr>
          <w:p>
            <w:pPr>
              <w:jc w:val="right"/>
              <w:ind w:right="145"/>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r>
      <w:tr>
        <w:trPr>
          <w:trHeight w:val="162"/>
        </w:trPr>
        <w:tc>
          <w:tcPr>
            <w:tcW w:w="4200" w:type="dxa"/>
            <w:vAlign w:val="bottom"/>
            <w:shd w:val="clear" w:color="auto" w:fill="DBDBDB"/>
          </w:tcPr>
          <w:p>
            <w:pPr>
              <w:spacing w:after="0"/>
              <w:rPr>
                <w:sz w:val="20"/>
                <w:szCs w:val="20"/>
                <w:color w:val="auto"/>
              </w:rPr>
            </w:pPr>
            <w:r>
              <w:rPr>
                <w:rFonts w:ascii="Arial" w:cs="Arial" w:eastAsia="Arial" w:hAnsi="Arial"/>
                <w:sz w:val="11"/>
                <w:szCs w:val="11"/>
                <w:color w:val="auto"/>
              </w:rPr>
              <w:t>Net sales</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1,718,471</w:t>
            </w:r>
          </w:p>
        </w:tc>
        <w:tc>
          <w:tcPr>
            <w:tcW w:w="60" w:type="dxa"/>
            <w:vAlign w:val="bottom"/>
            <w:shd w:val="clear" w:color="auto" w:fill="DBDBDB"/>
          </w:tcPr>
          <w:p>
            <w:pPr>
              <w:spacing w:after="0"/>
              <w:rPr>
                <w:sz w:val="14"/>
                <w:szCs w:val="14"/>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1,676,920</w:t>
            </w:r>
          </w:p>
        </w:tc>
        <w:tc>
          <w:tcPr>
            <w:tcW w:w="80" w:type="dxa"/>
            <w:vAlign w:val="bottom"/>
            <w:shd w:val="clear" w:color="auto" w:fill="DBDBDB"/>
          </w:tcPr>
          <w:p>
            <w:pPr>
              <w:spacing w:after="0"/>
              <w:rPr>
                <w:sz w:val="14"/>
                <w:szCs w:val="14"/>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100.0 %</w:t>
            </w:r>
          </w:p>
        </w:tc>
      </w:tr>
      <w:tr>
        <w:trPr>
          <w:trHeight w:val="159"/>
        </w:trPr>
        <w:tc>
          <w:tcPr>
            <w:tcW w:w="42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Cost of goods sold</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1,141,869</w:t>
            </w:r>
          </w:p>
        </w:tc>
        <w:tc>
          <w:tcPr>
            <w:tcW w:w="60" w:type="dxa"/>
            <w:vAlign w:val="bottom"/>
            <w:tcBorders>
              <w:bottom w:val="single" w:sz="8" w:color="DBDBDB"/>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66.4 %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1,136,691</w:t>
            </w:r>
          </w:p>
        </w:tc>
        <w:tc>
          <w:tcPr>
            <w:tcW w:w="80" w:type="dxa"/>
            <w:vAlign w:val="bottom"/>
            <w:tcBorders>
              <w:bottom w:val="single" w:sz="8" w:color="DBDBDB"/>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67.8 %</w:t>
            </w:r>
          </w:p>
        </w:tc>
      </w:tr>
      <w:tr>
        <w:trPr>
          <w:trHeight w:val="153"/>
        </w:trPr>
        <w:tc>
          <w:tcPr>
            <w:tcW w:w="42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Gross margin</w:t>
            </w:r>
          </w:p>
        </w:tc>
        <w:tc>
          <w:tcPr>
            <w:tcW w:w="240" w:type="dxa"/>
            <w:vAlign w:val="bottom"/>
            <w:shd w:val="clear" w:color="auto" w:fill="DBDBDB"/>
          </w:tcPr>
          <w:p>
            <w:pPr>
              <w:spacing w:after="0"/>
              <w:rPr>
                <w:sz w:val="13"/>
                <w:szCs w:val="13"/>
                <w:color w:val="auto"/>
              </w:rPr>
            </w:pP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576,602</w:t>
            </w:r>
          </w:p>
        </w:tc>
        <w:tc>
          <w:tcPr>
            <w:tcW w:w="60" w:type="dxa"/>
            <w:vAlign w:val="bottom"/>
            <w:shd w:val="clear" w:color="auto" w:fill="DBDBDB"/>
          </w:tcPr>
          <w:p>
            <w:pPr>
              <w:spacing w:after="0"/>
              <w:rPr>
                <w:sz w:val="13"/>
                <w:szCs w:val="1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33.6 %</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540,229</w:t>
            </w:r>
          </w:p>
        </w:tc>
        <w:tc>
          <w:tcPr>
            <w:tcW w:w="80" w:type="dxa"/>
            <w:vAlign w:val="bottom"/>
            <w:shd w:val="clear" w:color="auto" w:fill="DBDBDB"/>
          </w:tcPr>
          <w:p>
            <w:pPr>
              <w:spacing w:after="0"/>
              <w:rPr>
                <w:sz w:val="13"/>
                <w:szCs w:val="1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32.2 %</w:t>
            </w:r>
          </w:p>
        </w:tc>
      </w:tr>
      <w:tr>
        <w:trPr>
          <w:trHeight w:val="160"/>
        </w:trPr>
        <w:tc>
          <w:tcPr>
            <w:tcW w:w="42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Selling, general and administrative expenses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406,456</w:t>
            </w:r>
          </w:p>
        </w:tc>
        <w:tc>
          <w:tcPr>
            <w:tcW w:w="60" w:type="dxa"/>
            <w:vAlign w:val="bottom"/>
            <w:tcBorders>
              <w:bottom w:val="single" w:sz="8" w:color="DBDBDB"/>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23.7 %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385,533</w:t>
            </w:r>
          </w:p>
        </w:tc>
        <w:tc>
          <w:tcPr>
            <w:tcW w:w="80" w:type="dxa"/>
            <w:vAlign w:val="bottom"/>
            <w:tcBorders>
              <w:bottom w:val="single" w:sz="8" w:color="DBDBDB"/>
            </w:tcBorders>
          </w:tcPr>
          <w:p>
            <w:pPr>
              <w:spacing w:after="0"/>
              <w:rPr>
                <w:sz w:val="13"/>
                <w:szCs w:val="1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23.0 %</w:t>
            </w:r>
          </w:p>
        </w:tc>
      </w:tr>
      <w:tr>
        <w:trPr>
          <w:trHeight w:val="153"/>
        </w:trPr>
        <w:tc>
          <w:tcPr>
            <w:tcW w:w="42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Operating income</w:t>
            </w:r>
          </w:p>
        </w:tc>
        <w:tc>
          <w:tcPr>
            <w:tcW w:w="240" w:type="dxa"/>
            <w:vAlign w:val="bottom"/>
            <w:shd w:val="clear" w:color="auto" w:fill="DBDBDB"/>
          </w:tcPr>
          <w:p>
            <w:pPr>
              <w:spacing w:after="0"/>
              <w:rPr>
                <w:sz w:val="13"/>
                <w:szCs w:val="13"/>
                <w:color w:val="auto"/>
              </w:rPr>
            </w:pP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170,146</w:t>
            </w:r>
          </w:p>
        </w:tc>
        <w:tc>
          <w:tcPr>
            <w:tcW w:w="60" w:type="dxa"/>
            <w:vAlign w:val="bottom"/>
            <w:shd w:val="clear" w:color="auto" w:fill="DBDBDB"/>
          </w:tcPr>
          <w:p>
            <w:pPr>
              <w:spacing w:after="0"/>
              <w:rPr>
                <w:sz w:val="13"/>
                <w:szCs w:val="1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9.9 %</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154,696</w:t>
            </w:r>
          </w:p>
        </w:tc>
        <w:tc>
          <w:tcPr>
            <w:tcW w:w="80" w:type="dxa"/>
            <w:vAlign w:val="bottom"/>
            <w:shd w:val="clear" w:color="auto" w:fill="DBDBDB"/>
          </w:tcPr>
          <w:p>
            <w:pPr>
              <w:spacing w:after="0"/>
              <w:rPr>
                <w:sz w:val="13"/>
                <w:szCs w:val="13"/>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9.2 %</w:t>
            </w:r>
          </w:p>
        </w:tc>
      </w:tr>
      <w:tr>
        <w:trPr>
          <w:trHeight w:val="159"/>
        </w:trPr>
        <w:tc>
          <w:tcPr>
            <w:tcW w:w="4200" w:type="dxa"/>
            <w:vAlign w:val="bottom"/>
          </w:tcPr>
          <w:p>
            <w:pPr>
              <w:spacing w:after="0"/>
              <w:rPr>
                <w:sz w:val="20"/>
                <w:szCs w:val="20"/>
                <w:color w:val="auto"/>
              </w:rPr>
            </w:pPr>
            <w:r>
              <w:rPr>
                <w:rFonts w:ascii="Arial" w:cs="Arial" w:eastAsia="Arial" w:hAnsi="Arial"/>
                <w:sz w:val="11"/>
                <w:szCs w:val="11"/>
                <w:color w:val="auto"/>
              </w:rPr>
              <w:t>Interest expense, net</w:t>
            </w:r>
          </w:p>
        </w:tc>
        <w:tc>
          <w:tcPr>
            <w:tcW w:w="240" w:type="dxa"/>
            <w:vAlign w:val="bottom"/>
          </w:tcPr>
          <w:p>
            <w:pPr>
              <w:spacing w:after="0"/>
              <w:rPr>
                <w:sz w:val="13"/>
                <w:szCs w:val="13"/>
                <w:color w:val="auto"/>
              </w:rPr>
            </w:pPr>
          </w:p>
        </w:tc>
        <w:tc>
          <w:tcPr>
            <w:tcW w:w="1560" w:type="dxa"/>
            <w:vAlign w:val="bottom"/>
          </w:tcPr>
          <w:p>
            <w:pPr>
              <w:jc w:val="right"/>
              <w:ind w:right="6"/>
              <w:spacing w:after="0"/>
              <w:rPr>
                <w:sz w:val="20"/>
                <w:szCs w:val="20"/>
                <w:color w:val="auto"/>
              </w:rPr>
            </w:pPr>
            <w:r>
              <w:rPr>
                <w:rFonts w:ascii="Arial" w:cs="Arial" w:eastAsia="Arial" w:hAnsi="Arial"/>
                <w:sz w:val="11"/>
                <w:szCs w:val="11"/>
                <w:b w:val="1"/>
                <w:bCs w:val="1"/>
                <w:color w:val="auto"/>
              </w:rPr>
              <w:t>9,157</w:t>
            </w:r>
          </w:p>
        </w:tc>
        <w:tc>
          <w:tcPr>
            <w:tcW w:w="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0.5 %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9,168</w:t>
            </w:r>
          </w:p>
        </w:tc>
        <w:tc>
          <w:tcPr>
            <w:tcW w:w="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0.5 %</w:t>
            </w:r>
          </w:p>
        </w:tc>
      </w:tr>
      <w:tr>
        <w:trPr>
          <w:trHeight w:val="162"/>
        </w:trPr>
        <w:tc>
          <w:tcPr>
            <w:tcW w:w="4200" w:type="dxa"/>
            <w:vAlign w:val="bottom"/>
            <w:shd w:val="clear" w:color="auto" w:fill="DBDBDB"/>
          </w:tcPr>
          <w:p>
            <w:pPr>
              <w:spacing w:after="0"/>
              <w:rPr>
                <w:sz w:val="20"/>
                <w:szCs w:val="20"/>
                <w:color w:val="auto"/>
              </w:rPr>
            </w:pPr>
            <w:r>
              <w:rPr>
                <w:rFonts w:ascii="Arial" w:cs="Arial" w:eastAsia="Arial" w:hAnsi="Arial"/>
                <w:sz w:val="11"/>
                <w:szCs w:val="11"/>
                <w:color w:val="auto"/>
              </w:rPr>
              <w:t>Other income, net</w:t>
            </w:r>
          </w:p>
        </w:tc>
        <w:tc>
          <w:tcPr>
            <w:tcW w:w="2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3,180</w:t>
            </w:r>
          </w:p>
        </w:tc>
        <w:tc>
          <w:tcPr>
            <w:tcW w:w="60" w:type="dxa"/>
            <w:vAlign w:val="bottom"/>
            <w:shd w:val="clear" w:color="auto" w:fill="DBDBDB"/>
          </w:tcPr>
          <w:p>
            <w:pPr>
              <w:spacing w:after="0"/>
              <w:rPr>
                <w:sz w:val="14"/>
                <w:szCs w:val="1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0.2 %</w:t>
            </w:r>
          </w:p>
        </w:tc>
        <w:tc>
          <w:tcPr>
            <w:tcW w:w="80" w:type="dxa"/>
            <w:vAlign w:val="bottom"/>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19,769</w:t>
            </w:r>
          </w:p>
        </w:tc>
        <w:tc>
          <w:tcPr>
            <w:tcW w:w="80" w:type="dxa"/>
            <w:vAlign w:val="bottom"/>
            <w:shd w:val="clear" w:color="auto" w:fill="DBDBDB"/>
          </w:tcPr>
          <w:p>
            <w:pPr>
              <w:spacing w:after="0"/>
              <w:rPr>
                <w:sz w:val="14"/>
                <w:szCs w:val="1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1.2 %</w:t>
            </w:r>
          </w:p>
        </w:tc>
      </w:tr>
      <w:tr>
        <w:trPr>
          <w:trHeight w:val="151"/>
        </w:trPr>
        <w:tc>
          <w:tcPr>
            <w:tcW w:w="4200" w:type="dxa"/>
            <w:vAlign w:val="bottom"/>
          </w:tcPr>
          <w:p>
            <w:pPr>
              <w:ind w:left="140"/>
              <w:spacing w:after="0"/>
              <w:rPr>
                <w:sz w:val="20"/>
                <w:szCs w:val="20"/>
                <w:color w:val="auto"/>
              </w:rPr>
            </w:pPr>
            <w:r>
              <w:rPr>
                <w:rFonts w:ascii="Arial" w:cs="Arial" w:eastAsia="Arial" w:hAnsi="Arial"/>
                <w:sz w:val="11"/>
                <w:szCs w:val="11"/>
                <w:color w:val="auto"/>
              </w:rPr>
              <w:t>Income before income taxes</w:t>
            </w:r>
          </w:p>
        </w:tc>
        <w:tc>
          <w:tcPr>
            <w:tcW w:w="240" w:type="dxa"/>
            <w:vAlign w:val="bottom"/>
          </w:tcPr>
          <w:p>
            <w:pPr>
              <w:spacing w:after="0"/>
              <w:rPr>
                <w:sz w:val="13"/>
                <w:szCs w:val="13"/>
                <w:color w:val="auto"/>
              </w:rPr>
            </w:pPr>
          </w:p>
        </w:tc>
        <w:tc>
          <w:tcPr>
            <w:tcW w:w="1560" w:type="dxa"/>
            <w:vAlign w:val="bottom"/>
          </w:tcPr>
          <w:p>
            <w:pPr>
              <w:jc w:val="right"/>
              <w:ind w:right="6"/>
              <w:spacing w:after="0"/>
              <w:rPr>
                <w:sz w:val="20"/>
                <w:szCs w:val="20"/>
                <w:color w:val="auto"/>
              </w:rPr>
            </w:pPr>
            <w:r>
              <w:rPr>
                <w:rFonts w:ascii="Arial" w:cs="Arial" w:eastAsia="Arial" w:hAnsi="Arial"/>
                <w:sz w:val="11"/>
                <w:szCs w:val="11"/>
                <w:b w:val="1"/>
                <w:bCs w:val="1"/>
                <w:color w:val="auto"/>
              </w:rPr>
              <w:t>164,169</w:t>
            </w:r>
          </w:p>
        </w:tc>
        <w:tc>
          <w:tcPr>
            <w:tcW w:w="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9.6 %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165,297</w:t>
            </w:r>
          </w:p>
        </w:tc>
        <w:tc>
          <w:tcPr>
            <w:tcW w:w="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1"/>
                <w:szCs w:val="11"/>
                <w:color w:val="auto"/>
              </w:rPr>
              <w:t>9.9 %</w:t>
            </w:r>
          </w:p>
        </w:tc>
      </w:tr>
      <w:tr>
        <w:trPr>
          <w:trHeight w:val="162"/>
        </w:trPr>
        <w:tc>
          <w:tcPr>
            <w:tcW w:w="4200" w:type="dxa"/>
            <w:vAlign w:val="bottom"/>
            <w:shd w:val="clear" w:color="auto" w:fill="DBDBDB"/>
          </w:tcPr>
          <w:p>
            <w:pPr>
              <w:spacing w:after="0"/>
              <w:rPr>
                <w:sz w:val="20"/>
                <w:szCs w:val="20"/>
                <w:color w:val="auto"/>
              </w:rPr>
            </w:pPr>
            <w:r>
              <w:rPr>
                <w:rFonts w:ascii="Arial" w:cs="Arial" w:eastAsia="Arial" w:hAnsi="Arial"/>
                <w:sz w:val="11"/>
                <w:szCs w:val="11"/>
                <w:color w:val="auto"/>
              </w:rPr>
              <w:t>Income tax expense</w:t>
            </w:r>
          </w:p>
        </w:tc>
        <w:tc>
          <w:tcPr>
            <w:tcW w:w="2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30,481</w:t>
            </w:r>
          </w:p>
        </w:tc>
        <w:tc>
          <w:tcPr>
            <w:tcW w:w="60" w:type="dxa"/>
            <w:vAlign w:val="bottom"/>
            <w:shd w:val="clear" w:color="auto" w:fill="DBDBDB"/>
          </w:tcPr>
          <w:p>
            <w:pPr>
              <w:spacing w:after="0"/>
              <w:rPr>
                <w:sz w:val="14"/>
                <w:szCs w:val="14"/>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1.8 %</w:t>
            </w:r>
          </w:p>
        </w:tc>
        <w:tc>
          <w:tcPr>
            <w:tcW w:w="80" w:type="dxa"/>
            <w:vAlign w:val="bottom"/>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31,666</w:t>
            </w:r>
          </w:p>
        </w:tc>
        <w:tc>
          <w:tcPr>
            <w:tcW w:w="80" w:type="dxa"/>
            <w:vAlign w:val="bottom"/>
            <w:shd w:val="clear" w:color="auto" w:fill="DBDBDB"/>
          </w:tcPr>
          <w:p>
            <w:pPr>
              <w:spacing w:after="0"/>
              <w:rPr>
                <w:sz w:val="14"/>
                <w:szCs w:val="14"/>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1.9 %</w:t>
            </w:r>
          </w:p>
        </w:tc>
      </w:tr>
      <w:tr>
        <w:trPr>
          <w:trHeight w:val="170"/>
        </w:trPr>
        <w:tc>
          <w:tcPr>
            <w:tcW w:w="4200" w:type="dxa"/>
            <w:vAlign w:val="bottom"/>
            <w:tcBorders>
              <w:bottom w:val="single" w:sz="8" w:color="DBDBDB"/>
            </w:tcBorders>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133,688</w:t>
            </w:r>
          </w:p>
        </w:tc>
        <w:tc>
          <w:tcPr>
            <w:tcW w:w="60" w:type="dxa"/>
            <w:vAlign w:val="bottom"/>
            <w:tcBorders>
              <w:bottom w:val="single" w:sz="8" w:color="DBDBDB"/>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7.8 %</w:t>
            </w:r>
          </w:p>
        </w:tc>
        <w:tc>
          <w:tcPr>
            <w:tcW w:w="80" w:type="dxa"/>
            <w:vAlign w:val="bottom"/>
            <w:tcBorders>
              <w:bottom w:val="single" w:sz="8" w:color="DBDBDB"/>
            </w:tcBorders>
          </w:tcPr>
          <w:p>
            <w:pPr>
              <w:spacing w:after="0"/>
              <w:rPr>
                <w:sz w:val="14"/>
                <w:szCs w:val="14"/>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133,631</w:t>
            </w:r>
          </w:p>
        </w:tc>
        <w:tc>
          <w:tcPr>
            <w:tcW w:w="80" w:type="dxa"/>
            <w:vAlign w:val="bottom"/>
            <w:tcBorders>
              <w:bottom w:val="single" w:sz="8" w:color="DBDBDB"/>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8.0 %</w:t>
            </w:r>
          </w:p>
        </w:tc>
      </w:tr>
      <w:tr>
        <w:trPr>
          <w:trHeight w:val="153"/>
        </w:trPr>
        <w:tc>
          <w:tcPr>
            <w:tcW w:w="42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1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60" w:type="dxa"/>
            <w:vAlign w:val="bottom"/>
            <w:shd w:val="clear" w:color="auto" w:fill="DBDBDB"/>
          </w:tcPr>
          <w:p>
            <w:pPr>
              <w:spacing w:after="0"/>
              <w:rPr>
                <w:sz w:val="13"/>
                <w:szCs w:val="13"/>
                <w:color w:val="auto"/>
              </w:rPr>
            </w:pPr>
          </w:p>
        </w:tc>
      </w:tr>
      <w:tr>
        <w:trPr>
          <w:trHeight w:val="157"/>
        </w:trPr>
        <w:tc>
          <w:tcPr>
            <w:tcW w:w="4200" w:type="dxa"/>
            <w:vAlign w:val="bottom"/>
          </w:tcPr>
          <w:p>
            <w:pPr>
              <w:spacing w:after="0"/>
              <w:rPr>
                <w:sz w:val="20"/>
                <w:szCs w:val="20"/>
                <w:color w:val="auto"/>
              </w:rPr>
            </w:pPr>
            <w:r>
              <w:rPr>
                <w:rFonts w:ascii="Arial" w:cs="Arial" w:eastAsia="Arial" w:hAnsi="Arial"/>
                <w:sz w:val="11"/>
                <w:szCs w:val="11"/>
                <w:color w:val="auto"/>
              </w:rPr>
              <w:t>Earnings Per Common Share:</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8"/>
        </w:trPr>
        <w:tc>
          <w:tcPr>
            <w:tcW w:w="42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2.02</w:t>
            </w:r>
          </w:p>
        </w:tc>
        <w:tc>
          <w:tcPr>
            <w:tcW w:w="60" w:type="dxa"/>
            <w:vAlign w:val="bottom"/>
            <w:shd w:val="clear" w:color="auto" w:fill="DBDBDB"/>
          </w:tcPr>
          <w:p>
            <w:pPr>
              <w:spacing w:after="0"/>
              <w:rPr>
                <w:sz w:val="14"/>
                <w:szCs w:val="14"/>
                <w:color w:val="auto"/>
              </w:rPr>
            </w:pPr>
          </w:p>
        </w:tc>
        <w:tc>
          <w:tcPr>
            <w:tcW w:w="16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1.93</w:t>
            </w:r>
          </w:p>
        </w:tc>
        <w:tc>
          <w:tcPr>
            <w:tcW w:w="8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r>
      <w:tr>
        <w:trPr>
          <w:trHeight w:val="159"/>
        </w:trPr>
        <w:tc>
          <w:tcPr>
            <w:tcW w:w="4200" w:type="dxa"/>
            <w:vAlign w:val="bottom"/>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Pr>
          <w:p>
            <w:pPr>
              <w:jc w:val="right"/>
              <w:ind w:right="6"/>
              <w:spacing w:after="0"/>
              <w:rPr>
                <w:sz w:val="20"/>
                <w:szCs w:val="20"/>
                <w:color w:val="auto"/>
              </w:rPr>
            </w:pPr>
            <w:r>
              <w:rPr>
                <w:rFonts w:ascii="Arial" w:cs="Arial" w:eastAsia="Arial" w:hAnsi="Arial"/>
                <w:sz w:val="11"/>
                <w:szCs w:val="11"/>
                <w:b w:val="1"/>
                <w:bCs w:val="1"/>
                <w:color w:val="auto"/>
              </w:rPr>
              <w:t>1.98</w:t>
            </w: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1.89</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74"/>
        </w:trPr>
        <w:tc>
          <w:tcPr>
            <w:tcW w:w="42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56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6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60" w:type="dxa"/>
            <w:vAlign w:val="bottom"/>
            <w:shd w:val="clear" w:color="auto" w:fill="DBDBDB"/>
          </w:tcPr>
          <w:p>
            <w:pPr>
              <w:spacing w:after="0"/>
              <w:rPr>
                <w:sz w:val="15"/>
                <w:szCs w:val="15"/>
                <w:color w:val="auto"/>
              </w:rPr>
            </w:pPr>
          </w:p>
        </w:tc>
      </w:tr>
      <w:tr>
        <w:trPr>
          <w:trHeight w:val="156"/>
        </w:trPr>
        <w:tc>
          <w:tcPr>
            <w:tcW w:w="420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68"/>
        </w:trPr>
        <w:tc>
          <w:tcPr>
            <w:tcW w:w="4200" w:type="dxa"/>
            <w:vAlign w:val="bottom"/>
            <w:shd w:val="clear" w:color="auto" w:fill="DBDBDB"/>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66,141</w:t>
            </w:r>
          </w:p>
        </w:tc>
        <w:tc>
          <w:tcPr>
            <w:tcW w:w="60" w:type="dxa"/>
            <w:vAlign w:val="bottom"/>
            <w:shd w:val="clear" w:color="auto" w:fill="DBDBDB"/>
          </w:tcPr>
          <w:p>
            <w:pPr>
              <w:spacing w:after="0"/>
              <w:rPr>
                <w:sz w:val="14"/>
                <w:szCs w:val="14"/>
                <w:color w:val="auto"/>
              </w:rPr>
            </w:pPr>
          </w:p>
        </w:tc>
        <w:tc>
          <w:tcPr>
            <w:tcW w:w="16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69,229</w:t>
            </w:r>
          </w:p>
        </w:tc>
        <w:tc>
          <w:tcPr>
            <w:tcW w:w="80" w:type="dxa"/>
            <w:vAlign w:val="bottom"/>
            <w:shd w:val="clear" w:color="auto" w:fill="DBDBDB"/>
          </w:tcPr>
          <w:p>
            <w:pPr>
              <w:spacing w:after="0"/>
              <w:rPr>
                <w:sz w:val="14"/>
                <w:szCs w:val="14"/>
                <w:color w:val="auto"/>
              </w:rPr>
            </w:pPr>
          </w:p>
        </w:tc>
        <w:tc>
          <w:tcPr>
            <w:tcW w:w="1660" w:type="dxa"/>
            <w:vAlign w:val="bottom"/>
            <w:shd w:val="clear" w:color="auto" w:fill="DBDBDB"/>
          </w:tcPr>
          <w:p>
            <w:pPr>
              <w:spacing w:after="0"/>
              <w:rPr>
                <w:sz w:val="14"/>
                <w:szCs w:val="14"/>
                <w:color w:val="auto"/>
              </w:rPr>
            </w:pPr>
          </w:p>
        </w:tc>
      </w:tr>
      <w:tr>
        <w:trPr>
          <w:trHeight w:val="157"/>
        </w:trPr>
        <w:tc>
          <w:tcPr>
            <w:tcW w:w="4200" w:type="dxa"/>
            <w:vAlign w:val="bottom"/>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tcPr>
          <w:p>
            <w:pPr>
              <w:spacing w:after="0"/>
              <w:rPr>
                <w:sz w:val="13"/>
                <w:szCs w:val="13"/>
                <w:color w:val="auto"/>
              </w:rPr>
            </w:pPr>
          </w:p>
        </w:tc>
        <w:tc>
          <w:tcPr>
            <w:tcW w:w="1560" w:type="dxa"/>
            <w:vAlign w:val="bottom"/>
          </w:tcPr>
          <w:p>
            <w:pPr>
              <w:jc w:val="right"/>
              <w:ind w:right="6"/>
              <w:spacing w:after="0"/>
              <w:rPr>
                <w:sz w:val="20"/>
                <w:szCs w:val="20"/>
                <w:color w:val="auto"/>
              </w:rPr>
            </w:pPr>
            <w:r>
              <w:rPr>
                <w:rFonts w:ascii="Arial" w:cs="Arial" w:eastAsia="Arial" w:hAnsi="Arial"/>
                <w:sz w:val="11"/>
                <w:szCs w:val="11"/>
                <w:b w:val="1"/>
                <w:bCs w:val="1"/>
                <w:color w:val="auto"/>
              </w:rPr>
              <w:t>67,596</w:t>
            </w: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70,689</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-2013585</wp:posOffset>
            </wp:positionV>
            <wp:extent cx="45034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3420" cy="5715"/>
                    </a:xfrm>
                    <a:prstGeom prst="rect">
                      <a:avLst/>
                    </a:prstGeom>
                    <a:noFill/>
                  </pic:spPr>
                </pic:pic>
              </a:graphicData>
            </a:graphic>
          </wp:anchor>
        </w:drawing>
      </w:r>
    </w:p>
    <w:p>
      <w:pPr>
        <w:spacing w:after="0" w:line="24" w:lineRule="exact"/>
        <w:rPr>
          <w:sz w:val="20"/>
          <w:szCs w:val="20"/>
          <w:color w:val="auto"/>
        </w:rPr>
      </w:pPr>
    </w:p>
    <w:p>
      <w:pPr>
        <w:ind w:left="108" w:hanging="108"/>
        <w:spacing w:after="0"/>
        <w:tabs>
          <w:tab w:leader="none" w:pos="108" w:val="left"/>
        </w:tabs>
        <w:numPr>
          <w:ilvl w:val="0"/>
          <w:numId w:val="5"/>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308"/>
          </w:cols>
          <w:pgMar w:left="292" w:top="721" w:right="299" w:bottom="1440" w:gutter="0" w:footer="0" w:header="0"/>
        </w:sectPr>
      </w:pPr>
    </w:p>
    <w:bookmarkStart w:id="8" w:name="page9"/>
    <w:bookmarkEnd w:id="8"/>
    <w:p>
      <w:pPr>
        <w:jc w:val="center"/>
        <w:ind w:right="-7"/>
        <w:spacing w:after="0"/>
        <w:rPr>
          <w:sz w:val="20"/>
          <w:szCs w:val="20"/>
          <w:color w:val="auto"/>
        </w:rPr>
      </w:pPr>
      <w:r>
        <w:rPr>
          <w:rFonts w:ascii="Arial" w:cs="Arial" w:eastAsia="Arial" w:hAnsi="Arial"/>
          <w:sz w:val="12"/>
          <w:szCs w:val="12"/>
          <w:b w:val="1"/>
          <w:bCs w:val="1"/>
          <w:color w:val="auto"/>
        </w:rPr>
        <w:t>ACADEMY SPORTS AND OUTDOORS, INC.</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INCOME</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(Amounts in thousands, except per share data)</w:t>
      </w:r>
    </w:p>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4220" w:type="dxa"/>
            <w:vAlign w:val="bottom"/>
          </w:tcPr>
          <w:p>
            <w:pPr>
              <w:spacing w:after="0"/>
              <w:rPr>
                <w:sz w:val="17"/>
                <w:szCs w:val="17"/>
                <w:color w:val="auto"/>
              </w:rPr>
            </w:pPr>
          </w:p>
        </w:tc>
        <w:tc>
          <w:tcPr>
            <w:tcW w:w="240" w:type="dxa"/>
            <w:vAlign w:val="bottom"/>
            <w:shd w:val="clear" w:color="auto" w:fill="1928A0"/>
          </w:tcPr>
          <w:p>
            <w:pPr>
              <w:spacing w:after="0"/>
              <w:rPr>
                <w:sz w:val="17"/>
                <w:szCs w:val="17"/>
                <w:color w:val="auto"/>
              </w:rPr>
            </w:pPr>
          </w:p>
        </w:tc>
        <w:tc>
          <w:tcPr>
            <w:tcW w:w="1520" w:type="dxa"/>
            <w:vAlign w:val="bottom"/>
            <w:shd w:val="clear" w:color="auto" w:fill="1928A0"/>
          </w:tcPr>
          <w:p>
            <w:pPr>
              <w:spacing w:after="0"/>
              <w:rPr>
                <w:sz w:val="17"/>
                <w:szCs w:val="17"/>
                <w:color w:val="auto"/>
              </w:rPr>
            </w:pPr>
          </w:p>
        </w:tc>
        <w:tc>
          <w:tcPr>
            <w:tcW w:w="80" w:type="dxa"/>
            <w:vAlign w:val="bottom"/>
            <w:shd w:val="clear" w:color="auto" w:fill="1928A0"/>
          </w:tcPr>
          <w:p>
            <w:pPr>
              <w:spacing w:after="0"/>
              <w:rPr>
                <w:sz w:val="17"/>
                <w:szCs w:val="17"/>
                <w:color w:val="auto"/>
              </w:rPr>
            </w:pPr>
          </w:p>
        </w:tc>
        <w:tc>
          <w:tcPr>
            <w:tcW w:w="3620" w:type="dxa"/>
            <w:vAlign w:val="bottom"/>
            <w:gridSpan w:val="5"/>
            <w:shd w:val="clear" w:color="auto" w:fill="1928A0"/>
          </w:tcPr>
          <w:p>
            <w:pPr>
              <w:ind w:left="1140"/>
              <w:spacing w:after="0"/>
              <w:rPr>
                <w:sz w:val="20"/>
                <w:szCs w:val="20"/>
                <w:color w:val="auto"/>
              </w:rPr>
            </w:pPr>
            <w:r>
              <w:rPr>
                <w:rFonts w:ascii="Arial" w:cs="Arial" w:eastAsia="Arial" w:hAnsi="Arial"/>
                <w:sz w:val="13"/>
                <w:szCs w:val="13"/>
                <w:b w:val="1"/>
                <w:bCs w:val="1"/>
                <w:color w:val="FFFFFF"/>
              </w:rPr>
              <w:t>Fiscal Year Ended</w:t>
            </w:r>
          </w:p>
        </w:tc>
        <w:tc>
          <w:tcPr>
            <w:tcW w:w="1620" w:type="dxa"/>
            <w:vAlign w:val="bottom"/>
            <w:shd w:val="clear" w:color="auto" w:fill="1928A0"/>
          </w:tcPr>
          <w:p>
            <w:pPr>
              <w:spacing w:after="0"/>
              <w:rPr>
                <w:sz w:val="17"/>
                <w:szCs w:val="17"/>
                <w:color w:val="auto"/>
              </w:rPr>
            </w:pPr>
          </w:p>
        </w:tc>
      </w:tr>
      <w:tr>
        <w:trPr>
          <w:trHeight w:val="188"/>
        </w:trPr>
        <w:tc>
          <w:tcPr>
            <w:tcW w:w="4220" w:type="dxa"/>
            <w:vAlign w:val="bottom"/>
          </w:tcPr>
          <w:p>
            <w:pPr>
              <w:spacing w:after="0"/>
              <w:rPr>
                <w:sz w:val="16"/>
                <w:szCs w:val="16"/>
                <w:color w:val="auto"/>
              </w:rPr>
            </w:pPr>
          </w:p>
        </w:tc>
        <w:tc>
          <w:tcPr>
            <w:tcW w:w="240" w:type="dxa"/>
            <w:vAlign w:val="bottom"/>
            <w:shd w:val="clear" w:color="auto" w:fill="1928A0"/>
          </w:tcPr>
          <w:p>
            <w:pPr>
              <w:spacing w:after="0"/>
              <w:rPr>
                <w:sz w:val="16"/>
                <w:szCs w:val="16"/>
                <w:color w:val="auto"/>
              </w:rPr>
            </w:pPr>
          </w:p>
        </w:tc>
        <w:tc>
          <w:tcPr>
            <w:tcW w:w="1600" w:type="dxa"/>
            <w:vAlign w:val="bottom"/>
            <w:gridSpan w:val="2"/>
            <w:shd w:val="clear" w:color="auto" w:fill="1928A0"/>
          </w:tcPr>
          <w:p>
            <w:pPr>
              <w:ind w:left="160"/>
              <w:spacing w:after="0"/>
              <w:rPr>
                <w:sz w:val="20"/>
                <w:szCs w:val="20"/>
                <w:color w:val="auto"/>
              </w:rPr>
            </w:pPr>
            <w:r>
              <w:rPr>
                <w:rFonts w:ascii="Arial" w:cs="Arial" w:eastAsia="Arial" w:hAnsi="Arial"/>
                <w:sz w:val="12"/>
                <w:szCs w:val="12"/>
                <w:b w:val="1"/>
                <w:bCs w:val="1"/>
                <w:color w:val="FFFFFF"/>
              </w:rPr>
              <w:t>January 31, 2026</w:t>
            </w:r>
          </w:p>
        </w:tc>
        <w:tc>
          <w:tcPr>
            <w:tcW w:w="1760" w:type="dxa"/>
            <w:vAlign w:val="bottom"/>
            <w:gridSpan w:val="2"/>
            <w:shd w:val="clear" w:color="auto" w:fill="1928A0"/>
          </w:tcPr>
          <w:p>
            <w:pPr>
              <w:ind w:left="200"/>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c>
          <w:tcPr>
            <w:tcW w:w="240" w:type="dxa"/>
            <w:vAlign w:val="bottom"/>
            <w:shd w:val="clear" w:color="auto" w:fill="1928A0"/>
          </w:tcPr>
          <w:p>
            <w:pPr>
              <w:spacing w:after="0"/>
              <w:rPr>
                <w:sz w:val="16"/>
                <w:szCs w:val="16"/>
                <w:color w:val="auto"/>
              </w:rPr>
            </w:pPr>
          </w:p>
        </w:tc>
        <w:tc>
          <w:tcPr>
            <w:tcW w:w="1620" w:type="dxa"/>
            <w:vAlign w:val="bottom"/>
            <w:gridSpan w:val="2"/>
            <w:shd w:val="clear" w:color="auto" w:fill="1928A0"/>
          </w:tcPr>
          <w:p>
            <w:pPr>
              <w:ind w:left="180"/>
              <w:spacing w:after="0"/>
              <w:rPr>
                <w:sz w:val="20"/>
                <w:szCs w:val="20"/>
                <w:color w:val="auto"/>
              </w:rPr>
            </w:pPr>
            <w:r>
              <w:rPr>
                <w:rFonts w:ascii="Arial" w:cs="Arial" w:eastAsia="Arial" w:hAnsi="Arial"/>
                <w:sz w:val="12"/>
                <w:szCs w:val="12"/>
                <w:b w:val="1"/>
                <w:bCs w:val="1"/>
                <w:color w:val="FFFFFF"/>
              </w:rPr>
              <w:t>February 1, 2025</w:t>
            </w:r>
          </w:p>
        </w:tc>
        <w:tc>
          <w:tcPr>
            <w:tcW w:w="1620" w:type="dxa"/>
            <w:vAlign w:val="bottom"/>
            <w:shd w:val="clear" w:color="auto" w:fill="1928A0"/>
          </w:tcPr>
          <w:p>
            <w:pPr>
              <w:jc w:val="right"/>
              <w:ind w:right="126"/>
              <w:spacing w:after="0"/>
              <w:rPr>
                <w:sz w:val="20"/>
                <w:szCs w:val="20"/>
                <w:color w:val="auto"/>
              </w:rPr>
            </w:pPr>
            <w:r>
              <w:rPr>
                <w:rFonts w:ascii="Arial" w:cs="Arial" w:eastAsia="Arial" w:hAnsi="Arial"/>
                <w:sz w:val="12"/>
                <w:szCs w:val="12"/>
                <w:b w:val="1"/>
                <w:bCs w:val="1"/>
                <w:color w:val="FFFFFF"/>
              </w:rPr>
              <w:t xml:space="preserve">Percentage of Sales </w:t>
            </w:r>
            <w:r>
              <w:rPr>
                <w:rFonts w:ascii="Arial" w:cs="Arial" w:eastAsia="Arial" w:hAnsi="Arial"/>
                <w:sz w:val="15"/>
                <w:szCs w:val="15"/>
                <w:b w:val="1"/>
                <w:bCs w:val="1"/>
                <w:color w:val="FFFFFF"/>
                <w:vertAlign w:val="superscript"/>
              </w:rPr>
              <w:t>(1)</w:t>
            </w:r>
          </w:p>
        </w:tc>
      </w:tr>
      <w:tr>
        <w:trPr>
          <w:trHeight w:val="151"/>
        </w:trPr>
        <w:tc>
          <w:tcPr>
            <w:tcW w:w="422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color w:val="auto"/>
              </w:rPr>
              <w:t>Net sales</w:t>
            </w: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6,053,414</w:t>
            </w:r>
          </w:p>
        </w:tc>
        <w:tc>
          <w:tcPr>
            <w:tcW w:w="80" w:type="dxa"/>
            <w:vAlign w:val="bottom"/>
            <w:tcBorders>
              <w:top w:val="single" w:sz="8" w:color="DBDBDB"/>
            </w:tcBorders>
            <w:shd w:val="clear" w:color="auto" w:fill="DBDBDB"/>
          </w:tcPr>
          <w:p>
            <w:pPr>
              <w:spacing w:after="0"/>
              <w:rPr>
                <w:sz w:val="13"/>
                <w:szCs w:val="13"/>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100.0 %</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5,933,450</w:t>
            </w:r>
          </w:p>
        </w:tc>
        <w:tc>
          <w:tcPr>
            <w:tcW w:w="80" w:type="dxa"/>
            <w:vAlign w:val="bottom"/>
            <w:tcBorders>
              <w:top w:val="single" w:sz="8" w:color="DBDBDB"/>
            </w:tcBorders>
            <w:shd w:val="clear" w:color="auto" w:fill="DBDBDB"/>
          </w:tcPr>
          <w:p>
            <w:pPr>
              <w:spacing w:after="0"/>
              <w:rPr>
                <w:sz w:val="13"/>
                <w:szCs w:val="13"/>
                <w:color w:val="auto"/>
              </w:rPr>
            </w:pP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100.0 %</w:t>
            </w:r>
          </w:p>
        </w:tc>
      </w:tr>
      <w:tr>
        <w:trPr>
          <w:trHeight w:val="159"/>
        </w:trPr>
        <w:tc>
          <w:tcPr>
            <w:tcW w:w="42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Cost of goods sold</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3,947,801</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65.2 %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3,921,990</w:t>
            </w:r>
          </w:p>
        </w:tc>
        <w:tc>
          <w:tcPr>
            <w:tcW w:w="8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66.1 %</w:t>
            </w:r>
          </w:p>
        </w:tc>
      </w:tr>
      <w:tr>
        <w:trPr>
          <w:trHeight w:val="153"/>
        </w:trPr>
        <w:tc>
          <w:tcPr>
            <w:tcW w:w="42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Gross margin</w:t>
            </w:r>
          </w:p>
        </w:tc>
        <w:tc>
          <w:tcPr>
            <w:tcW w:w="240" w:type="dxa"/>
            <w:vAlign w:val="bottom"/>
            <w:shd w:val="clear" w:color="auto" w:fill="DBDBDB"/>
          </w:tcPr>
          <w:p>
            <w:pPr>
              <w:spacing w:after="0"/>
              <w:rPr>
                <w:sz w:val="13"/>
                <w:szCs w:val="1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2,105,613</w:t>
            </w:r>
          </w:p>
        </w:tc>
        <w:tc>
          <w:tcPr>
            <w:tcW w:w="80" w:type="dxa"/>
            <w:vAlign w:val="bottom"/>
            <w:shd w:val="clear" w:color="auto" w:fill="DBDBDB"/>
          </w:tcPr>
          <w:p>
            <w:pPr>
              <w:spacing w:after="0"/>
              <w:rPr>
                <w:sz w:val="13"/>
                <w:szCs w:val="13"/>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34.8 %</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2,011,460</w:t>
            </w:r>
          </w:p>
        </w:tc>
        <w:tc>
          <w:tcPr>
            <w:tcW w:w="80" w:type="dxa"/>
            <w:vAlign w:val="bottom"/>
            <w:shd w:val="clear" w:color="auto" w:fill="DBDBDB"/>
          </w:tcPr>
          <w:p>
            <w:pPr>
              <w:spacing w:after="0"/>
              <w:rPr>
                <w:sz w:val="13"/>
                <w:szCs w:val="1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33.9 %</w:t>
            </w:r>
          </w:p>
        </w:tc>
      </w:tr>
      <w:tr>
        <w:trPr>
          <w:trHeight w:val="160"/>
        </w:trPr>
        <w:tc>
          <w:tcPr>
            <w:tcW w:w="42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Selling, general and administrative expenses</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1,593,429</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26.3 %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1,472,821</w:t>
            </w:r>
          </w:p>
        </w:tc>
        <w:tc>
          <w:tcPr>
            <w:tcW w:w="8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24.8 %</w:t>
            </w:r>
          </w:p>
        </w:tc>
      </w:tr>
      <w:tr>
        <w:trPr>
          <w:trHeight w:val="153"/>
        </w:trPr>
        <w:tc>
          <w:tcPr>
            <w:tcW w:w="42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Operating income</w:t>
            </w:r>
          </w:p>
        </w:tc>
        <w:tc>
          <w:tcPr>
            <w:tcW w:w="240" w:type="dxa"/>
            <w:vAlign w:val="bottom"/>
            <w:shd w:val="clear" w:color="auto" w:fill="DBDBDB"/>
          </w:tcPr>
          <w:p>
            <w:pPr>
              <w:spacing w:after="0"/>
              <w:rPr>
                <w:sz w:val="13"/>
                <w:szCs w:val="1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512,184</w:t>
            </w:r>
          </w:p>
        </w:tc>
        <w:tc>
          <w:tcPr>
            <w:tcW w:w="80" w:type="dxa"/>
            <w:vAlign w:val="bottom"/>
            <w:shd w:val="clear" w:color="auto" w:fill="DBDBDB"/>
          </w:tcPr>
          <w:p>
            <w:pPr>
              <w:spacing w:after="0"/>
              <w:rPr>
                <w:sz w:val="13"/>
                <w:szCs w:val="13"/>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8.5 %</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538,639</w:t>
            </w:r>
          </w:p>
        </w:tc>
        <w:tc>
          <w:tcPr>
            <w:tcW w:w="80" w:type="dxa"/>
            <w:vAlign w:val="bottom"/>
            <w:shd w:val="clear" w:color="auto" w:fill="DBDBDB"/>
          </w:tcPr>
          <w:p>
            <w:pPr>
              <w:spacing w:after="0"/>
              <w:rPr>
                <w:sz w:val="13"/>
                <w:szCs w:val="1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9.1 %</w:t>
            </w:r>
          </w:p>
        </w:tc>
      </w:tr>
      <w:tr>
        <w:trPr>
          <w:trHeight w:val="159"/>
        </w:trPr>
        <w:tc>
          <w:tcPr>
            <w:tcW w:w="4220" w:type="dxa"/>
            <w:vAlign w:val="bottom"/>
          </w:tcPr>
          <w:p>
            <w:pPr>
              <w:spacing w:after="0"/>
              <w:rPr>
                <w:sz w:val="20"/>
                <w:szCs w:val="20"/>
                <w:color w:val="auto"/>
              </w:rPr>
            </w:pPr>
            <w:r>
              <w:rPr>
                <w:rFonts w:ascii="Arial" w:cs="Arial" w:eastAsia="Arial" w:hAnsi="Arial"/>
                <w:sz w:val="11"/>
                <w:szCs w:val="11"/>
                <w:color w:val="auto"/>
              </w:rPr>
              <w:t>Interest expense, net</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36,214</w:t>
            </w:r>
          </w:p>
        </w:tc>
        <w:tc>
          <w:tcPr>
            <w:tcW w:w="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1"/>
                <w:szCs w:val="11"/>
                <w:b w:val="1"/>
                <w:bCs w:val="1"/>
                <w:color w:val="auto"/>
              </w:rPr>
              <w:t>0.6 %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36,873</w:t>
            </w:r>
          </w:p>
        </w:tc>
        <w:tc>
          <w:tcPr>
            <w:tcW w:w="8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0.6 %</w:t>
            </w:r>
          </w:p>
        </w:tc>
      </w:tr>
      <w:tr>
        <w:trPr>
          <w:trHeight w:val="165"/>
        </w:trPr>
        <w:tc>
          <w:tcPr>
            <w:tcW w:w="4220" w:type="dxa"/>
            <w:vAlign w:val="bottom"/>
            <w:shd w:val="clear" w:color="auto" w:fill="DBDBDB"/>
          </w:tcPr>
          <w:p>
            <w:pPr>
              <w:spacing w:after="0"/>
              <w:rPr>
                <w:sz w:val="20"/>
                <w:szCs w:val="20"/>
                <w:color w:val="auto"/>
              </w:rPr>
            </w:pPr>
            <w:r>
              <w:rPr>
                <w:rFonts w:ascii="Arial" w:cs="Arial" w:eastAsia="Arial" w:hAnsi="Arial"/>
                <w:sz w:val="11"/>
                <w:szCs w:val="11"/>
                <w:color w:val="auto"/>
              </w:rPr>
              <w:t>Write-off of deferred loan costs</w:t>
            </w:r>
          </w:p>
        </w:tc>
        <w:tc>
          <w:tcPr>
            <w:tcW w:w="240" w:type="dxa"/>
            <w:vAlign w:val="bottom"/>
            <w:shd w:val="clear" w:color="auto" w:fill="DBDBDB"/>
          </w:tcPr>
          <w:p>
            <w:pPr>
              <w:spacing w:after="0"/>
              <w:rPr>
                <w:sz w:val="14"/>
                <w:szCs w:val="14"/>
                <w:color w:val="auto"/>
              </w:rPr>
            </w:pPr>
          </w:p>
        </w:tc>
        <w:tc>
          <w:tcPr>
            <w:tcW w:w="16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0.0 %</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449</w:t>
            </w: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0.0 %</w:t>
            </w:r>
          </w:p>
        </w:tc>
      </w:tr>
      <w:tr>
        <w:trPr>
          <w:trHeight w:val="159"/>
        </w:trPr>
        <w:tc>
          <w:tcPr>
            <w:tcW w:w="42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Other income, net</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10,087</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0.2 %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36,908</w:t>
            </w:r>
          </w:p>
        </w:tc>
        <w:tc>
          <w:tcPr>
            <w:tcW w:w="8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0.6 %</w:t>
            </w:r>
          </w:p>
        </w:tc>
      </w:tr>
      <w:tr>
        <w:trPr>
          <w:trHeight w:val="153"/>
        </w:trPr>
        <w:tc>
          <w:tcPr>
            <w:tcW w:w="42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Income before income taxes</w:t>
            </w:r>
          </w:p>
        </w:tc>
        <w:tc>
          <w:tcPr>
            <w:tcW w:w="240" w:type="dxa"/>
            <w:vAlign w:val="bottom"/>
            <w:shd w:val="clear" w:color="auto" w:fill="DBDBDB"/>
          </w:tcPr>
          <w:p>
            <w:pPr>
              <w:spacing w:after="0"/>
              <w:rPr>
                <w:sz w:val="13"/>
                <w:szCs w:val="13"/>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486,057</w:t>
            </w:r>
          </w:p>
        </w:tc>
        <w:tc>
          <w:tcPr>
            <w:tcW w:w="80" w:type="dxa"/>
            <w:vAlign w:val="bottom"/>
            <w:shd w:val="clear" w:color="auto" w:fill="DBDBDB"/>
          </w:tcPr>
          <w:p>
            <w:pPr>
              <w:spacing w:after="0"/>
              <w:rPr>
                <w:sz w:val="13"/>
                <w:szCs w:val="13"/>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8.0 %</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538,225</w:t>
            </w:r>
          </w:p>
        </w:tc>
        <w:tc>
          <w:tcPr>
            <w:tcW w:w="80" w:type="dxa"/>
            <w:vAlign w:val="bottom"/>
            <w:shd w:val="clear" w:color="auto" w:fill="DBDBDB"/>
          </w:tcPr>
          <w:p>
            <w:pPr>
              <w:spacing w:after="0"/>
              <w:rPr>
                <w:sz w:val="13"/>
                <w:szCs w:val="13"/>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9.1 %</w:t>
            </w:r>
          </w:p>
        </w:tc>
      </w:tr>
      <w:tr>
        <w:trPr>
          <w:trHeight w:val="160"/>
        </w:trPr>
        <w:tc>
          <w:tcPr>
            <w:tcW w:w="42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Income tax expense</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109,289</w:t>
            </w:r>
          </w:p>
        </w:tc>
        <w:tc>
          <w:tcPr>
            <w:tcW w:w="80" w:type="dxa"/>
            <w:vAlign w:val="bottom"/>
            <w:tcBorders>
              <w:bottom w:val="single" w:sz="8" w:color="DBDBDB"/>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1.8 %</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119,778</w:t>
            </w:r>
          </w:p>
        </w:tc>
        <w:tc>
          <w:tcPr>
            <w:tcW w:w="80" w:type="dxa"/>
            <w:vAlign w:val="bottom"/>
            <w:tcBorders>
              <w:bottom w:val="single" w:sz="8" w:color="DBDBDB"/>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2.0 %</w:t>
            </w:r>
          </w:p>
        </w:tc>
      </w:tr>
      <w:tr>
        <w:trPr>
          <w:trHeight w:val="169"/>
        </w:trPr>
        <w:tc>
          <w:tcPr>
            <w:tcW w:w="42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Net income</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376,768</w:t>
            </w:r>
          </w:p>
        </w:tc>
        <w:tc>
          <w:tcPr>
            <w:tcW w:w="80" w:type="dxa"/>
            <w:vAlign w:val="bottom"/>
            <w:tcBorders>
              <w:bottom w:val="single" w:sz="8" w:color="DBDBDB"/>
            </w:tcBorders>
            <w:shd w:val="clear" w:color="auto" w:fill="DBDBDB"/>
          </w:tcPr>
          <w:p>
            <w:pPr>
              <w:spacing w:after="0"/>
              <w:rPr>
                <w:sz w:val="14"/>
                <w:szCs w:val="14"/>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6.2 %</w:t>
            </w:r>
          </w:p>
        </w:tc>
        <w:tc>
          <w:tcPr>
            <w:tcW w:w="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418,447</w:t>
            </w:r>
          </w:p>
        </w:tc>
        <w:tc>
          <w:tcPr>
            <w:tcW w:w="80" w:type="dxa"/>
            <w:vAlign w:val="bottom"/>
            <w:tcBorders>
              <w:bottom w:val="single" w:sz="8" w:color="DBDBDB"/>
            </w:tcBorders>
            <w:shd w:val="clear" w:color="auto" w:fill="DBDBDB"/>
          </w:tcPr>
          <w:p>
            <w:pPr>
              <w:spacing w:after="0"/>
              <w:rPr>
                <w:sz w:val="14"/>
                <w:szCs w:val="14"/>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7.1 %</w:t>
            </w:r>
          </w:p>
        </w:tc>
      </w:tr>
      <w:tr>
        <w:trPr>
          <w:trHeight w:val="153"/>
        </w:trPr>
        <w:tc>
          <w:tcPr>
            <w:tcW w:w="4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2"/>
        </w:trPr>
        <w:tc>
          <w:tcPr>
            <w:tcW w:w="4220" w:type="dxa"/>
            <w:vAlign w:val="bottom"/>
            <w:shd w:val="clear" w:color="auto" w:fill="DBDBDB"/>
          </w:tcPr>
          <w:p>
            <w:pPr>
              <w:spacing w:after="0"/>
              <w:rPr>
                <w:sz w:val="20"/>
                <w:szCs w:val="20"/>
                <w:color w:val="auto"/>
              </w:rPr>
            </w:pPr>
            <w:r>
              <w:rPr>
                <w:rFonts w:ascii="Arial" w:cs="Arial" w:eastAsia="Arial" w:hAnsi="Arial"/>
                <w:sz w:val="11"/>
                <w:szCs w:val="11"/>
                <w:color w:val="auto"/>
              </w:rPr>
              <w:t>Earnings Per Common Share:</w:t>
            </w: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r>
      <w:tr>
        <w:trPr>
          <w:trHeight w:val="159"/>
        </w:trPr>
        <w:tc>
          <w:tcPr>
            <w:tcW w:w="4220" w:type="dxa"/>
            <w:vAlign w:val="bottom"/>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5.66</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5.87</w:t>
            </w: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5"/>
        </w:trPr>
        <w:tc>
          <w:tcPr>
            <w:tcW w:w="42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5.54</w:t>
            </w:r>
          </w:p>
        </w:tc>
        <w:tc>
          <w:tcPr>
            <w:tcW w:w="80" w:type="dxa"/>
            <w:vAlign w:val="bottom"/>
            <w:shd w:val="clear" w:color="auto" w:fill="DBDBDB"/>
          </w:tcPr>
          <w:p>
            <w:pPr>
              <w:spacing w:after="0"/>
              <w:rPr>
                <w:sz w:val="14"/>
                <w:szCs w:val="14"/>
                <w:color w:val="auto"/>
              </w:rPr>
            </w:pPr>
          </w:p>
        </w:tc>
        <w:tc>
          <w:tcPr>
            <w:tcW w:w="16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5.73</w:t>
            </w: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r>
      <w:tr>
        <w:trPr>
          <w:trHeight w:val="171"/>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4220" w:type="dxa"/>
            <w:vAlign w:val="bottom"/>
            <w:shd w:val="clear" w:color="auto" w:fill="DBDBDB"/>
          </w:tcPr>
          <w:p>
            <w:pPr>
              <w:spacing w:after="0"/>
              <w:rPr>
                <w:sz w:val="20"/>
                <w:szCs w:val="20"/>
                <w:color w:val="auto"/>
              </w:rPr>
            </w:pPr>
            <w:r>
              <w:rPr>
                <w:rFonts w:ascii="Arial" w:cs="Arial" w:eastAsia="Arial" w:hAnsi="Arial"/>
                <w:sz w:val="11"/>
                <w:szCs w:val="11"/>
                <w:color w:val="auto"/>
              </w:rPr>
              <w:t>Weighted Average Common Shares Outstanding:</w:t>
            </w: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r>
      <w:tr>
        <w:trPr>
          <w:trHeight w:val="160"/>
        </w:trPr>
        <w:tc>
          <w:tcPr>
            <w:tcW w:w="4220" w:type="dxa"/>
            <w:vAlign w:val="bottom"/>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b w:val="1"/>
                <w:bCs w:val="1"/>
                <w:color w:val="auto"/>
              </w:rPr>
              <w:t>66,612</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71,343</w:t>
            </w: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164"/>
        </w:trPr>
        <w:tc>
          <w:tcPr>
            <w:tcW w:w="422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68,034</w:t>
            </w:r>
          </w:p>
        </w:tc>
        <w:tc>
          <w:tcPr>
            <w:tcW w:w="80" w:type="dxa"/>
            <w:vAlign w:val="bottom"/>
            <w:shd w:val="clear" w:color="auto" w:fill="DBDBDB"/>
          </w:tcPr>
          <w:p>
            <w:pPr>
              <w:spacing w:after="0"/>
              <w:rPr>
                <w:sz w:val="14"/>
                <w:szCs w:val="14"/>
                <w:color w:val="auto"/>
              </w:rPr>
            </w:pPr>
          </w:p>
        </w:tc>
        <w:tc>
          <w:tcPr>
            <w:tcW w:w="16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73,048</w:t>
            </w:r>
          </w:p>
        </w:tc>
        <w:tc>
          <w:tcPr>
            <w:tcW w:w="80" w:type="dxa"/>
            <w:vAlign w:val="bottom"/>
            <w:shd w:val="clear" w:color="auto" w:fill="DBDBDB"/>
          </w:tcPr>
          <w:p>
            <w:pPr>
              <w:spacing w:after="0"/>
              <w:rPr>
                <w:sz w:val="14"/>
                <w:szCs w:val="14"/>
                <w:color w:val="auto"/>
              </w:rPr>
            </w:pPr>
          </w:p>
        </w:tc>
        <w:tc>
          <w:tcPr>
            <w:tcW w:w="1620" w:type="dxa"/>
            <w:vAlign w:val="bottom"/>
            <w:shd w:val="clear" w:color="auto" w:fill="DBDBDB"/>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-2125345</wp:posOffset>
            </wp:positionV>
            <wp:extent cx="449770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97705" cy="5715"/>
                    </a:xfrm>
                    <a:prstGeom prst="rect">
                      <a:avLst/>
                    </a:prstGeom>
                    <a:noFill/>
                  </pic:spPr>
                </pic:pic>
              </a:graphicData>
            </a:graphic>
          </wp:anchor>
        </w:drawing>
      </w:r>
    </w:p>
    <w:p>
      <w:pPr>
        <w:ind w:left="108" w:hanging="108"/>
        <w:spacing w:after="0"/>
        <w:tabs>
          <w:tab w:leader="none" w:pos="108" w:val="left"/>
        </w:tabs>
        <w:numPr>
          <w:ilvl w:val="0"/>
          <w:numId w:val="6"/>
        </w:numPr>
        <w:rPr>
          <w:rFonts w:ascii="Arial" w:cs="Arial" w:eastAsia="Arial" w:hAnsi="Arial"/>
          <w:sz w:val="13"/>
          <w:szCs w:val="13"/>
          <w:color w:val="auto"/>
          <w:vertAlign w:val="superscript"/>
        </w:rPr>
      </w:pPr>
      <w:r>
        <w:rPr>
          <w:rFonts w:ascii="Arial" w:cs="Arial" w:eastAsia="Arial" w:hAnsi="Arial"/>
          <w:sz w:val="8"/>
          <w:szCs w:val="8"/>
          <w:color w:val="auto"/>
        </w:rPr>
        <w:t>Column may not add due to rounding</w:t>
      </w:r>
    </w:p>
    <w:p>
      <w:pPr>
        <w:spacing w:after="0" w:line="311"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308"/>
          </w:cols>
          <w:pgMar w:left="292" w:top="559"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 amounts 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520" w:type="dxa"/>
            <w:vAlign w:val="bottom"/>
          </w:tcPr>
          <w:p>
            <w:pPr>
              <w:spacing w:after="0"/>
              <w:rPr>
                <w:sz w:val="15"/>
                <w:szCs w:val="15"/>
                <w:color w:val="auto"/>
              </w:rPr>
            </w:pPr>
          </w:p>
        </w:tc>
        <w:tc>
          <w:tcPr>
            <w:tcW w:w="240" w:type="dxa"/>
            <w:vAlign w:val="bottom"/>
            <w:shd w:val="clear" w:color="auto" w:fill="1928A0"/>
          </w:tcPr>
          <w:p>
            <w:pPr>
              <w:spacing w:after="0"/>
              <w:rPr>
                <w:sz w:val="15"/>
                <w:szCs w:val="15"/>
                <w:color w:val="auto"/>
              </w:rPr>
            </w:pPr>
          </w:p>
        </w:tc>
        <w:tc>
          <w:tcPr>
            <w:tcW w:w="1640" w:type="dxa"/>
            <w:vAlign w:val="bottom"/>
            <w:gridSpan w:val="2"/>
            <w:shd w:val="clear" w:color="auto" w:fill="1928A0"/>
          </w:tcPr>
          <w:p>
            <w:pPr>
              <w:ind w:left="180"/>
              <w:spacing w:after="0"/>
              <w:rPr>
                <w:sz w:val="20"/>
                <w:szCs w:val="20"/>
                <w:color w:val="auto"/>
              </w:rPr>
            </w:pPr>
            <w:r>
              <w:rPr>
                <w:rFonts w:ascii="Arial" w:cs="Arial" w:eastAsia="Arial" w:hAnsi="Arial"/>
                <w:sz w:val="12"/>
                <w:szCs w:val="12"/>
                <w:b w:val="1"/>
                <w:bCs w:val="1"/>
                <w:color w:val="FFFFFF"/>
              </w:rPr>
              <w:t>January 31, 2026</w:t>
            </w:r>
          </w:p>
        </w:tc>
        <w:tc>
          <w:tcPr>
            <w:tcW w:w="260" w:type="dxa"/>
            <w:vAlign w:val="bottom"/>
            <w:shd w:val="clear" w:color="auto" w:fill="1928A0"/>
          </w:tcPr>
          <w:p>
            <w:pPr>
              <w:spacing w:after="0"/>
              <w:rPr>
                <w:sz w:val="15"/>
                <w:szCs w:val="15"/>
                <w:color w:val="auto"/>
              </w:rPr>
            </w:pPr>
          </w:p>
        </w:tc>
        <w:tc>
          <w:tcPr>
            <w:tcW w:w="1580" w:type="dxa"/>
            <w:vAlign w:val="bottom"/>
            <w:shd w:val="clear" w:color="auto" w:fill="1928A0"/>
          </w:tcPr>
          <w:p>
            <w:pPr>
              <w:jc w:val="right"/>
              <w:ind w:right="386"/>
              <w:spacing w:after="0"/>
              <w:rPr>
                <w:sz w:val="20"/>
                <w:szCs w:val="20"/>
                <w:color w:val="auto"/>
              </w:rPr>
            </w:pPr>
            <w:r>
              <w:rPr>
                <w:rFonts w:ascii="Arial" w:cs="Arial" w:eastAsia="Arial" w:hAnsi="Arial"/>
                <w:sz w:val="12"/>
                <w:szCs w:val="12"/>
                <w:b w:val="1"/>
                <w:bCs w:val="1"/>
                <w:color w:val="FFFFFF"/>
              </w:rPr>
              <w:t>February 1, 2025</w:t>
            </w:r>
          </w:p>
        </w:tc>
      </w:tr>
      <w:tr>
        <w:trPr>
          <w:trHeight w:val="162"/>
        </w:trPr>
        <w:tc>
          <w:tcPr>
            <w:tcW w:w="7520" w:type="dxa"/>
            <w:vAlign w:val="bottom"/>
            <w:shd w:val="clear" w:color="auto" w:fill="DBDBDB"/>
          </w:tcPr>
          <w:p>
            <w:pPr>
              <w:ind w:left="3500"/>
              <w:spacing w:after="0"/>
              <w:rPr>
                <w:sz w:val="20"/>
                <w:szCs w:val="20"/>
                <w:color w:val="auto"/>
              </w:rPr>
            </w:pPr>
            <w:r>
              <w:rPr>
                <w:rFonts w:ascii="Arial" w:cs="Arial" w:eastAsia="Arial" w:hAnsi="Arial"/>
                <w:sz w:val="11"/>
                <w:szCs w:val="11"/>
                <w:b w:val="1"/>
                <w:bCs w:val="1"/>
                <w:color w:val="auto"/>
              </w:rPr>
              <w:t>ASSETS</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r>
      <w:tr>
        <w:trPr>
          <w:trHeight w:val="159"/>
        </w:trPr>
        <w:tc>
          <w:tcPr>
            <w:tcW w:w="7520" w:type="dxa"/>
            <w:vAlign w:val="bottom"/>
          </w:tcPr>
          <w:p>
            <w:pPr>
              <w:ind w:left="20"/>
              <w:spacing w:after="0"/>
              <w:rPr>
                <w:sz w:val="20"/>
                <w:szCs w:val="20"/>
                <w:color w:val="auto"/>
              </w:rPr>
            </w:pPr>
            <w:r>
              <w:rPr>
                <w:rFonts w:ascii="Arial" w:cs="Arial" w:eastAsia="Arial" w:hAnsi="Arial"/>
                <w:sz w:val="11"/>
                <w:szCs w:val="11"/>
                <w:b w:val="1"/>
                <w:bCs w:val="1"/>
                <w:color w:val="auto"/>
              </w:rPr>
              <w:t>CURRENT ASSETS: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5"/>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Cash and cash equivalents</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330,320</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288,929</w:t>
            </w:r>
          </w:p>
        </w:tc>
      </w:tr>
      <w:tr>
        <w:trPr>
          <w:trHeight w:val="159"/>
        </w:trPr>
        <w:tc>
          <w:tcPr>
            <w:tcW w:w="7520" w:type="dxa"/>
            <w:vAlign w:val="bottom"/>
          </w:tcPr>
          <w:p>
            <w:pPr>
              <w:ind w:left="160"/>
              <w:spacing w:after="0"/>
              <w:rPr>
                <w:sz w:val="20"/>
                <w:szCs w:val="20"/>
                <w:color w:val="auto"/>
              </w:rPr>
            </w:pPr>
            <w:r>
              <w:rPr>
                <w:rFonts w:ascii="Arial" w:cs="Arial" w:eastAsia="Arial" w:hAnsi="Arial"/>
                <w:sz w:val="11"/>
                <w:szCs w:val="11"/>
                <w:color w:val="auto"/>
              </w:rPr>
              <w:t>Accounts receivable - less allowance for doubtful accounts of $1,792 and $2,752, respectively</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34,755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16,759</w:t>
            </w:r>
          </w:p>
        </w:tc>
      </w:tr>
      <w:tr>
        <w:trPr>
          <w:trHeight w:val="164"/>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Merchandise inventories, net</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1,503,756</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1,308,840</w:t>
            </w:r>
          </w:p>
        </w:tc>
      </w:tr>
      <w:tr>
        <w:trPr>
          <w:trHeight w:val="160"/>
        </w:trPr>
        <w:tc>
          <w:tcPr>
            <w:tcW w:w="7520" w:type="dxa"/>
            <w:vAlign w:val="bottom"/>
          </w:tcPr>
          <w:p>
            <w:pPr>
              <w:ind w:left="160"/>
              <w:spacing w:after="0"/>
              <w:rPr>
                <w:sz w:val="20"/>
                <w:szCs w:val="20"/>
                <w:color w:val="auto"/>
              </w:rPr>
            </w:pPr>
            <w:r>
              <w:rPr>
                <w:rFonts w:ascii="Arial" w:cs="Arial" w:eastAsia="Arial" w:hAnsi="Arial"/>
                <w:sz w:val="11"/>
                <w:szCs w:val="11"/>
                <w:color w:val="auto"/>
              </w:rPr>
              <w:t>Prepaid expenses and other current assets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82,457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95,621</w:t>
            </w:r>
          </w:p>
        </w:tc>
      </w:tr>
      <w:tr>
        <w:trPr>
          <w:trHeight w:val="164"/>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Assets held for sale</w:t>
            </w:r>
          </w:p>
        </w:tc>
        <w:tc>
          <w:tcPr>
            <w:tcW w:w="2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2,957</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48"/>
        </w:trPr>
        <w:tc>
          <w:tcPr>
            <w:tcW w:w="7520" w:type="dxa"/>
            <w:vAlign w:val="bottom"/>
          </w:tcPr>
          <w:p>
            <w:pPr>
              <w:ind w:left="300"/>
              <w:spacing w:after="0"/>
              <w:rPr>
                <w:sz w:val="20"/>
                <w:szCs w:val="20"/>
                <w:color w:val="auto"/>
              </w:rPr>
            </w:pPr>
            <w:r>
              <w:rPr>
                <w:rFonts w:ascii="Arial" w:cs="Arial" w:eastAsia="Arial" w:hAnsi="Arial"/>
                <w:sz w:val="11"/>
                <w:szCs w:val="11"/>
                <w:b w:val="1"/>
                <w:bCs w:val="1"/>
                <w:color w:val="auto"/>
              </w:rPr>
              <w:t>Total current assets</w:t>
            </w:r>
          </w:p>
        </w:tc>
        <w:tc>
          <w:tcPr>
            <w:tcW w:w="2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1,954,245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1,710,149</w:t>
            </w:r>
          </w:p>
        </w:tc>
      </w:tr>
      <w:tr>
        <w:trPr>
          <w:trHeight w:val="147"/>
        </w:trPr>
        <w:tc>
          <w:tcPr>
            <w:tcW w:w="752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1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r>
      <w:tr>
        <w:trPr>
          <w:trHeight w:val="160"/>
        </w:trPr>
        <w:tc>
          <w:tcPr>
            <w:tcW w:w="7520" w:type="dxa"/>
            <w:vAlign w:val="bottom"/>
          </w:tcPr>
          <w:p>
            <w:pPr>
              <w:ind w:left="20"/>
              <w:spacing w:after="0"/>
              <w:rPr>
                <w:sz w:val="20"/>
                <w:szCs w:val="20"/>
                <w:color w:val="auto"/>
              </w:rPr>
            </w:pPr>
            <w:r>
              <w:rPr>
                <w:rFonts w:ascii="Arial" w:cs="Arial" w:eastAsia="Arial" w:hAnsi="Arial"/>
                <w:sz w:val="11"/>
                <w:szCs w:val="11"/>
                <w:b w:val="1"/>
                <w:bCs w:val="1"/>
                <w:color w:val="auto"/>
              </w:rPr>
              <w:t>PROPERTY AND EQUIPMENT, NET</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584,103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525,136</w:t>
            </w:r>
          </w:p>
        </w:tc>
      </w:tr>
      <w:tr>
        <w:trPr>
          <w:trHeight w:val="164"/>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RIGHT-OF-USE ASSETS</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1,234,246</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1,173,075</w:t>
            </w:r>
          </w:p>
        </w:tc>
      </w:tr>
      <w:tr>
        <w:trPr>
          <w:trHeight w:val="159"/>
        </w:trPr>
        <w:tc>
          <w:tcPr>
            <w:tcW w:w="7520" w:type="dxa"/>
            <w:vAlign w:val="bottom"/>
          </w:tcPr>
          <w:p>
            <w:pPr>
              <w:ind w:left="20"/>
              <w:spacing w:after="0"/>
              <w:rPr>
                <w:sz w:val="20"/>
                <w:szCs w:val="20"/>
                <w:color w:val="auto"/>
              </w:rPr>
            </w:pPr>
            <w:r>
              <w:rPr>
                <w:rFonts w:ascii="Arial" w:cs="Arial" w:eastAsia="Arial" w:hAnsi="Arial"/>
                <w:sz w:val="11"/>
                <w:szCs w:val="11"/>
                <w:b w:val="1"/>
                <w:bCs w:val="1"/>
                <w:color w:val="auto"/>
              </w:rPr>
              <w:t>TRADE NAME</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579,766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579,007</w:t>
            </w:r>
          </w:p>
        </w:tc>
      </w:tr>
      <w:tr>
        <w:trPr>
          <w:trHeight w:val="165"/>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GOODWILL</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861,920</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861,920</w:t>
            </w:r>
          </w:p>
        </w:tc>
      </w:tr>
      <w:tr>
        <w:trPr>
          <w:trHeight w:val="159"/>
        </w:trPr>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color w:val="auto"/>
              </w:rPr>
              <w:t>OTHER NONCURRENT ASSETS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62,756</w:t>
            </w:r>
          </w:p>
        </w:tc>
        <w:tc>
          <w:tcPr>
            <w:tcW w:w="8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51,676</w:t>
            </w:r>
          </w:p>
        </w:tc>
      </w:tr>
      <w:tr>
        <w:trPr>
          <w:trHeight w:val="169"/>
        </w:trPr>
        <w:tc>
          <w:tcPr>
            <w:tcW w:w="752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1"/>
                <w:szCs w:val="11"/>
                <w:b w:val="1"/>
                <w:bCs w:val="1"/>
                <w:color w:val="auto"/>
              </w:rPr>
              <w:t>Total assets</w:t>
            </w:r>
          </w:p>
        </w:tc>
        <w:tc>
          <w:tcPr>
            <w:tcW w:w="24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5,277,036</w:t>
            </w:r>
          </w:p>
        </w:tc>
        <w:tc>
          <w:tcPr>
            <w:tcW w:w="8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4,900,963</w:t>
            </w:r>
          </w:p>
        </w:tc>
      </w:tr>
      <w:tr>
        <w:trPr>
          <w:trHeight w:val="126"/>
        </w:trPr>
        <w:tc>
          <w:tcPr>
            <w:tcW w:w="7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62"/>
        </w:trPr>
        <w:tc>
          <w:tcPr>
            <w:tcW w:w="7520" w:type="dxa"/>
            <w:vAlign w:val="bottom"/>
            <w:shd w:val="clear" w:color="auto" w:fill="DBDBDB"/>
          </w:tcPr>
          <w:p>
            <w:pPr>
              <w:ind w:left="2580"/>
              <w:spacing w:after="0"/>
              <w:rPr>
                <w:sz w:val="20"/>
                <w:szCs w:val="20"/>
                <w:color w:val="auto"/>
              </w:rPr>
            </w:pPr>
            <w:r>
              <w:rPr>
                <w:rFonts w:ascii="Arial" w:cs="Arial" w:eastAsia="Arial" w:hAnsi="Arial"/>
                <w:sz w:val="11"/>
                <w:szCs w:val="11"/>
                <w:b w:val="1"/>
                <w:bCs w:val="1"/>
                <w:color w:val="auto"/>
              </w:rPr>
              <w:t>LIABILITIES AND STOCKHOLDERS' EQUITY</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r>
      <w:tr>
        <w:trPr>
          <w:trHeight w:val="159"/>
        </w:trPr>
        <w:tc>
          <w:tcPr>
            <w:tcW w:w="7520" w:type="dxa"/>
            <w:vAlign w:val="bottom"/>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5"/>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Accounts payable</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637,854</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612,424</w:t>
            </w:r>
          </w:p>
        </w:tc>
      </w:tr>
      <w:tr>
        <w:trPr>
          <w:trHeight w:val="159"/>
        </w:trPr>
        <w:tc>
          <w:tcPr>
            <w:tcW w:w="7520" w:type="dxa"/>
            <w:vAlign w:val="bottom"/>
          </w:tcPr>
          <w:p>
            <w:pPr>
              <w:ind w:left="160"/>
              <w:spacing w:after="0"/>
              <w:rPr>
                <w:sz w:val="20"/>
                <w:szCs w:val="20"/>
                <w:color w:val="auto"/>
              </w:rPr>
            </w:pPr>
            <w:r>
              <w:rPr>
                <w:rFonts w:ascii="Arial" w:cs="Arial" w:eastAsia="Arial" w:hAnsi="Arial"/>
                <w:sz w:val="11"/>
                <w:szCs w:val="11"/>
                <w:color w:val="auto"/>
              </w:rPr>
              <w:t>Accrued expenses and other current liabilities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243,908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230,323</w:t>
            </w:r>
          </w:p>
        </w:tc>
      </w:tr>
      <w:tr>
        <w:trPr>
          <w:trHeight w:val="165"/>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Current lease liabilities</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147,491</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115,134</w:t>
            </w:r>
          </w:p>
        </w:tc>
      </w:tr>
      <w:tr>
        <w:trPr>
          <w:trHeight w:val="159"/>
        </w:trPr>
        <w:tc>
          <w:tcPr>
            <w:tcW w:w="7520" w:type="dxa"/>
            <w:vAlign w:val="bottom"/>
            <w:tcBorders>
              <w:bottom w:val="single" w:sz="8" w:color="DBDBDB"/>
            </w:tcBorders>
          </w:tcPr>
          <w:p>
            <w:pPr>
              <w:ind w:left="160"/>
              <w:spacing w:after="0"/>
              <w:rPr>
                <w:sz w:val="20"/>
                <w:szCs w:val="20"/>
                <w:color w:val="auto"/>
              </w:rPr>
            </w:pPr>
            <w:r>
              <w:rPr>
                <w:rFonts w:ascii="Arial" w:cs="Arial" w:eastAsia="Arial" w:hAnsi="Arial"/>
                <w:sz w:val="11"/>
                <w:szCs w:val="11"/>
                <w:color w:val="auto"/>
              </w:rPr>
              <w:t>Current maturities of long-term debt</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3,000</w:t>
            </w:r>
          </w:p>
        </w:tc>
        <w:tc>
          <w:tcPr>
            <w:tcW w:w="8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3,000</w:t>
            </w:r>
          </w:p>
        </w:tc>
      </w:tr>
      <w:tr>
        <w:trPr>
          <w:trHeight w:val="153"/>
        </w:trPr>
        <w:tc>
          <w:tcPr>
            <w:tcW w:w="7520" w:type="dxa"/>
            <w:vAlign w:val="bottom"/>
            <w:shd w:val="clear" w:color="auto" w:fill="DBDBDB"/>
          </w:tcPr>
          <w:p>
            <w:pPr>
              <w:ind w:left="300"/>
              <w:spacing w:after="0"/>
              <w:rPr>
                <w:sz w:val="20"/>
                <w:szCs w:val="20"/>
                <w:color w:val="auto"/>
              </w:rPr>
            </w:pPr>
            <w:r>
              <w:rPr>
                <w:rFonts w:ascii="Arial" w:cs="Arial" w:eastAsia="Arial" w:hAnsi="Arial"/>
                <w:sz w:val="11"/>
                <w:szCs w:val="11"/>
                <w:b w:val="1"/>
                <w:bCs w:val="1"/>
                <w:color w:val="auto"/>
              </w:rPr>
              <w:t>Total current liabilities</w:t>
            </w:r>
          </w:p>
        </w:tc>
        <w:tc>
          <w:tcPr>
            <w:tcW w:w="240" w:type="dxa"/>
            <w:vAlign w:val="bottom"/>
            <w:shd w:val="clear" w:color="auto" w:fill="DBDBDB"/>
          </w:tcPr>
          <w:p>
            <w:pPr>
              <w:spacing w:after="0"/>
              <w:rPr>
                <w:sz w:val="13"/>
                <w:szCs w:val="1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1,032,253</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960,881</w:t>
            </w:r>
          </w:p>
        </w:tc>
      </w:tr>
      <w:tr>
        <w:trPr>
          <w:trHeight w:val="144"/>
        </w:trPr>
        <w:tc>
          <w:tcPr>
            <w:tcW w:w="7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2"/>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LONG-TERM DEBT, NET</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480,793</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482,679</w:t>
            </w:r>
          </w:p>
        </w:tc>
      </w:tr>
      <w:tr>
        <w:trPr>
          <w:trHeight w:val="160"/>
        </w:trPr>
        <w:tc>
          <w:tcPr>
            <w:tcW w:w="7520" w:type="dxa"/>
            <w:vAlign w:val="bottom"/>
          </w:tcPr>
          <w:p>
            <w:pPr>
              <w:ind w:left="20"/>
              <w:spacing w:after="0"/>
              <w:rPr>
                <w:sz w:val="20"/>
                <w:szCs w:val="20"/>
                <w:color w:val="auto"/>
              </w:rPr>
            </w:pPr>
            <w:r>
              <w:rPr>
                <w:rFonts w:ascii="Arial" w:cs="Arial" w:eastAsia="Arial" w:hAnsi="Arial"/>
                <w:sz w:val="11"/>
                <w:szCs w:val="11"/>
                <w:b w:val="1"/>
                <w:bCs w:val="1"/>
                <w:color w:val="auto"/>
              </w:rPr>
              <w:t>LONG-TERM LEASE LIABILITIES</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1,261,167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1,185,741</w:t>
            </w:r>
          </w:p>
        </w:tc>
      </w:tr>
      <w:tr>
        <w:trPr>
          <w:trHeight w:val="164"/>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DEFERRED TAX LIABILITIES, NET</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300,654</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256,815</w:t>
            </w:r>
          </w:p>
        </w:tc>
      </w:tr>
      <w:tr>
        <w:trPr>
          <w:trHeight w:val="160"/>
        </w:trPr>
        <w:tc>
          <w:tcPr>
            <w:tcW w:w="7520" w:type="dxa"/>
            <w:vAlign w:val="bottom"/>
            <w:tcBorders>
              <w:bottom w:val="single" w:sz="8" w:color="DBDBDB"/>
            </w:tcBorders>
          </w:tcPr>
          <w:p>
            <w:pPr>
              <w:ind w:left="20"/>
              <w:spacing w:after="0"/>
              <w:rPr>
                <w:sz w:val="20"/>
                <w:szCs w:val="20"/>
                <w:color w:val="auto"/>
              </w:rPr>
            </w:pPr>
            <w:r>
              <w:rPr>
                <w:rFonts w:ascii="Arial" w:cs="Arial" w:eastAsia="Arial" w:hAnsi="Arial"/>
                <w:sz w:val="11"/>
                <w:szCs w:val="11"/>
                <w:b w:val="1"/>
                <w:bCs w:val="1"/>
                <w:color w:val="auto"/>
              </w:rPr>
              <w:t>OTHER LONG-TERM LIABILITIES</w:t>
            </w:r>
          </w:p>
        </w:tc>
        <w:tc>
          <w:tcPr>
            <w:tcW w:w="2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30,792</w:t>
            </w:r>
          </w:p>
        </w:tc>
        <w:tc>
          <w:tcPr>
            <w:tcW w:w="8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10,812</w:t>
            </w:r>
          </w:p>
        </w:tc>
      </w:tr>
      <w:tr>
        <w:trPr>
          <w:trHeight w:val="151"/>
        </w:trPr>
        <w:tc>
          <w:tcPr>
            <w:tcW w:w="7520" w:type="dxa"/>
            <w:vAlign w:val="bottom"/>
            <w:shd w:val="clear" w:color="auto" w:fill="DBDBDB"/>
          </w:tcPr>
          <w:p>
            <w:pPr>
              <w:ind w:left="300"/>
              <w:spacing w:after="0"/>
              <w:rPr>
                <w:sz w:val="20"/>
                <w:szCs w:val="20"/>
                <w:color w:val="auto"/>
              </w:rPr>
            </w:pPr>
            <w:r>
              <w:rPr>
                <w:rFonts w:ascii="Arial" w:cs="Arial" w:eastAsia="Arial" w:hAnsi="Arial"/>
                <w:sz w:val="11"/>
                <w:szCs w:val="11"/>
                <w:b w:val="1"/>
                <w:bCs w:val="1"/>
                <w:color w:val="auto"/>
              </w:rPr>
              <w:t>Total liabilities</w:t>
            </w:r>
          </w:p>
        </w:tc>
        <w:tc>
          <w:tcPr>
            <w:tcW w:w="240" w:type="dxa"/>
            <w:vAlign w:val="bottom"/>
            <w:tcBorders>
              <w:bottom w:val="single" w:sz="8" w:color="auto"/>
            </w:tcBorders>
            <w:shd w:val="clear" w:color="auto" w:fill="DBDBDB"/>
          </w:tcPr>
          <w:p>
            <w:pPr>
              <w:spacing w:after="0"/>
              <w:rPr>
                <w:sz w:val="13"/>
                <w:szCs w:val="13"/>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3,105,659</w:t>
            </w:r>
          </w:p>
        </w:tc>
        <w:tc>
          <w:tcPr>
            <w:tcW w:w="80" w:type="dxa"/>
            <w:vAlign w:val="bottom"/>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spacing w:after="0"/>
              <w:rPr>
                <w:sz w:val="13"/>
                <w:szCs w:val="13"/>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2,896,928</w:t>
            </w:r>
          </w:p>
        </w:tc>
      </w:tr>
      <w:tr>
        <w:trPr>
          <w:trHeight w:val="126"/>
        </w:trPr>
        <w:tc>
          <w:tcPr>
            <w:tcW w:w="7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62"/>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COMMITMENTS AND CONTINGENCIES</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r>
      <w:tr>
        <w:trPr>
          <w:trHeight w:val="144"/>
        </w:trPr>
        <w:tc>
          <w:tcPr>
            <w:tcW w:w="7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2"/>
        </w:trPr>
        <w:tc>
          <w:tcPr>
            <w:tcW w:w="752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spacing w:after="0"/>
              <w:rPr>
                <w:sz w:val="14"/>
                <w:szCs w:val="14"/>
                <w:color w:val="auto"/>
              </w:rPr>
            </w:pPr>
          </w:p>
        </w:tc>
      </w:tr>
      <w:tr>
        <w:trPr>
          <w:trHeight w:val="160"/>
        </w:trPr>
        <w:tc>
          <w:tcPr>
            <w:tcW w:w="7520" w:type="dxa"/>
            <w:vAlign w:val="bottom"/>
          </w:tcPr>
          <w:p>
            <w:pPr>
              <w:ind w:left="160"/>
              <w:spacing w:after="0"/>
              <w:rPr>
                <w:sz w:val="20"/>
                <w:szCs w:val="20"/>
                <w:color w:val="auto"/>
              </w:rPr>
            </w:pPr>
            <w:r>
              <w:rPr>
                <w:rFonts w:ascii="Arial" w:cs="Arial" w:eastAsia="Arial" w:hAnsi="Arial"/>
                <w:sz w:val="11"/>
                <w:szCs w:val="11"/>
                <w:color w:val="auto"/>
              </w:rPr>
              <w:t>Preferred stock, $0.01 par value, authorized 50,000,000 shares; none issued and outstanding</w:t>
            </w:r>
          </w:p>
        </w:tc>
        <w:tc>
          <w:tcPr>
            <w:tcW w:w="240" w:type="dxa"/>
            <w:vAlign w:val="bottom"/>
          </w:tcPr>
          <w:p>
            <w:pPr>
              <w:spacing w:after="0"/>
              <w:rPr>
                <w:sz w:val="13"/>
                <w:szCs w:val="13"/>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Common stock, $0.01 par value, authorized 300,000,000 shares; 64,945,953 and 68,332,961 issued and outstanding as of January 31, 2026 and</w:t>
            </w:r>
          </w:p>
        </w:tc>
        <w:tc>
          <w:tcPr>
            <w:tcW w:w="240" w:type="dxa"/>
            <w:vAlign w:val="bottom"/>
            <w:shd w:val="clear" w:color="auto" w:fill="DBDBDB"/>
          </w:tcPr>
          <w:p>
            <w:pPr>
              <w:spacing w:after="0"/>
              <w:rPr>
                <w:sz w:val="11"/>
                <w:szCs w:val="11"/>
                <w:color w:val="auto"/>
              </w:rPr>
            </w:pPr>
          </w:p>
        </w:tc>
        <w:tc>
          <w:tcPr>
            <w:tcW w:w="1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60" w:type="dxa"/>
            <w:vAlign w:val="bottom"/>
            <w:shd w:val="clear" w:color="auto" w:fill="DBDBDB"/>
          </w:tcPr>
          <w:p>
            <w:pPr>
              <w:spacing w:after="0"/>
              <w:rPr>
                <w:sz w:val="11"/>
                <w:szCs w:val="11"/>
                <w:color w:val="auto"/>
              </w:rPr>
            </w:pPr>
          </w:p>
        </w:tc>
        <w:tc>
          <w:tcPr>
            <w:tcW w:w="1580" w:type="dxa"/>
            <w:vAlign w:val="bottom"/>
            <w:shd w:val="clear" w:color="auto" w:fill="DBDBDB"/>
          </w:tcPr>
          <w:p>
            <w:pPr>
              <w:spacing w:after="0"/>
              <w:rPr>
                <w:sz w:val="11"/>
                <w:szCs w:val="11"/>
                <w:color w:val="auto"/>
              </w:rPr>
            </w:pPr>
          </w:p>
        </w:tc>
      </w:tr>
      <w:tr>
        <w:trPr>
          <w:trHeight w:val="162"/>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February 1, 2025, respectively</w:t>
            </w:r>
          </w:p>
        </w:tc>
        <w:tc>
          <w:tcPr>
            <w:tcW w:w="240" w:type="dxa"/>
            <w:vAlign w:val="bottom"/>
            <w:shd w:val="clear" w:color="auto" w:fill="DBDBDB"/>
          </w:tcPr>
          <w:p>
            <w:pPr>
              <w:spacing w:after="0"/>
              <w:rPr>
                <w:sz w:val="14"/>
                <w:szCs w:val="14"/>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649</w:t>
            </w:r>
          </w:p>
        </w:tc>
        <w:tc>
          <w:tcPr>
            <w:tcW w:w="8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683</w:t>
            </w:r>
          </w:p>
        </w:tc>
      </w:tr>
      <w:tr>
        <w:trPr>
          <w:trHeight w:val="159"/>
        </w:trPr>
        <w:tc>
          <w:tcPr>
            <w:tcW w:w="7520" w:type="dxa"/>
            <w:vAlign w:val="bottom"/>
          </w:tcPr>
          <w:p>
            <w:pPr>
              <w:ind w:left="160"/>
              <w:spacing w:after="0"/>
              <w:rPr>
                <w:sz w:val="20"/>
                <w:szCs w:val="20"/>
                <w:color w:val="auto"/>
              </w:rPr>
            </w:pPr>
            <w:r>
              <w:rPr>
                <w:rFonts w:ascii="Arial" w:cs="Arial" w:eastAsia="Arial" w:hAnsi="Arial"/>
                <w:sz w:val="11"/>
                <w:szCs w:val="11"/>
                <w:color w:val="auto"/>
              </w:rPr>
              <w:t>Additional paid-in capital</w:t>
            </w:r>
          </w:p>
        </w:tc>
        <w:tc>
          <w:tcPr>
            <w:tcW w:w="2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256,351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247,094</w:t>
            </w:r>
          </w:p>
        </w:tc>
      </w:tr>
      <w:tr>
        <w:trPr>
          <w:trHeight w:val="165"/>
        </w:trPr>
        <w:tc>
          <w:tcPr>
            <w:tcW w:w="7520" w:type="dxa"/>
            <w:vAlign w:val="bottom"/>
            <w:shd w:val="clear" w:color="auto" w:fill="DBDBDB"/>
          </w:tcPr>
          <w:p>
            <w:pPr>
              <w:ind w:left="160"/>
              <w:spacing w:after="0"/>
              <w:rPr>
                <w:sz w:val="20"/>
                <w:szCs w:val="20"/>
                <w:color w:val="auto"/>
              </w:rPr>
            </w:pPr>
            <w:r>
              <w:rPr>
                <w:rFonts w:ascii="Arial" w:cs="Arial" w:eastAsia="Arial" w:hAnsi="Arial"/>
                <w:sz w:val="11"/>
                <w:szCs w:val="11"/>
                <w:color w:val="auto"/>
              </w:rPr>
              <w:t>Retained earnings</w:t>
            </w:r>
          </w:p>
        </w:tc>
        <w:tc>
          <w:tcPr>
            <w:tcW w:w="240" w:type="dxa"/>
            <w:vAlign w:val="bottom"/>
            <w:tcBorders>
              <w:bottom w:val="single" w:sz="8" w:color="auto"/>
            </w:tcBorders>
            <w:shd w:val="clear" w:color="auto" w:fill="DBDBDB"/>
          </w:tcPr>
          <w:p>
            <w:pPr>
              <w:spacing w:after="0"/>
              <w:rPr>
                <w:sz w:val="14"/>
                <w:szCs w:val="14"/>
                <w:color w:val="auto"/>
              </w:rPr>
            </w:pP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1,914,377</w:t>
            </w:r>
          </w:p>
        </w:tc>
        <w:tc>
          <w:tcPr>
            <w:tcW w:w="80" w:type="dxa"/>
            <w:vAlign w:val="bottom"/>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spacing w:after="0"/>
              <w:rPr>
                <w:sz w:val="14"/>
                <w:szCs w:val="1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1,756,258</w:t>
            </w:r>
          </w:p>
        </w:tc>
      </w:tr>
      <w:tr>
        <w:trPr>
          <w:trHeight w:val="149"/>
        </w:trPr>
        <w:tc>
          <w:tcPr>
            <w:tcW w:w="7520" w:type="dxa"/>
            <w:vAlign w:val="bottom"/>
            <w:tcBorders>
              <w:bottom w:val="single" w:sz="8" w:color="DBDBDB"/>
            </w:tcBorders>
          </w:tcPr>
          <w:p>
            <w:pPr>
              <w:ind w:left="300"/>
              <w:spacing w:after="0"/>
              <w:rPr>
                <w:sz w:val="20"/>
                <w:szCs w:val="20"/>
                <w:color w:val="auto"/>
              </w:rPr>
            </w:pPr>
            <w:r>
              <w:rPr>
                <w:rFonts w:ascii="Arial" w:cs="Arial" w:eastAsia="Arial" w:hAnsi="Arial"/>
                <w:sz w:val="11"/>
                <w:szCs w:val="11"/>
                <w:b w:val="1"/>
                <w:bCs w:val="1"/>
                <w:color w:val="auto"/>
              </w:rPr>
              <w:t>Stockholders' equity</w:t>
            </w: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2,171,377</w:t>
            </w:r>
          </w:p>
        </w:tc>
        <w:tc>
          <w:tcPr>
            <w:tcW w:w="80" w:type="dxa"/>
            <w:vAlign w:val="bottom"/>
            <w:tcBorders>
              <w:bottom w:val="single" w:sz="8" w:color="DBDBDB"/>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2,004,035</w:t>
            </w:r>
          </w:p>
        </w:tc>
      </w:tr>
      <w:tr>
        <w:trPr>
          <w:trHeight w:val="173"/>
        </w:trPr>
        <w:tc>
          <w:tcPr>
            <w:tcW w:w="752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1"/>
                <w:szCs w:val="11"/>
                <w:b w:val="1"/>
                <w:bCs w:val="1"/>
                <w:color w:val="auto"/>
              </w:rPr>
              <w:t>Total liabilities and stockholders' equity</w:t>
            </w:r>
          </w:p>
        </w:tc>
        <w:tc>
          <w:tcPr>
            <w:tcW w:w="24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5,277,036</w:t>
            </w:r>
          </w:p>
        </w:tc>
        <w:tc>
          <w:tcPr>
            <w:tcW w:w="8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4,900,963</w:t>
            </w:r>
          </w:p>
        </w:tc>
      </w:tr>
      <w:tr>
        <w:trPr>
          <w:trHeight w:val="386"/>
        </w:trPr>
        <w:tc>
          <w:tcPr>
            <w:tcW w:w="7520" w:type="dxa"/>
            <w:vAlign w:val="bottom"/>
          </w:tcPr>
          <w:p>
            <w:pPr>
              <w:ind w:left="5600"/>
              <w:spacing w:after="0"/>
              <w:rPr>
                <w:sz w:val="20"/>
                <w:szCs w:val="20"/>
                <w:color w:val="auto"/>
              </w:rPr>
            </w:pPr>
            <w:r>
              <w:rPr>
                <w:rFonts w:ascii="Arial" w:cs="Arial" w:eastAsia="Arial" w:hAnsi="Arial"/>
                <w:sz w:val="10"/>
                <w:szCs w:val="10"/>
                <w:color w:val="auto"/>
              </w:rPr>
              <w:t>7</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-4356100</wp:posOffset>
            </wp:positionV>
            <wp:extent cx="23660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66010" cy="5715"/>
                    </a:xfrm>
                    <a:prstGeom prst="rect">
                      <a:avLst/>
                    </a:prstGeom>
                    <a:noFill/>
                  </pic:spPr>
                </pic:pic>
              </a:graphicData>
            </a:graphic>
          </wp:anchor>
        </w:drawing>
      </w:r>
    </w:p>
    <w:p>
      <w:pPr>
        <w:sectPr>
          <w:pgSz w:w="11900" w:h="16838" w:orient="portrait"/>
          <w:cols w:equalWidth="0" w:num="1">
            <w:col w:w="11240"/>
          </w:cols>
          <w:pgMar w:left="320" w:top="55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shd w:val="clear" w:color="auto" w:fill="1928A0"/>
          </w:tcPr>
          <w:p>
            <w:pPr>
              <w:spacing w:after="0"/>
              <w:rPr>
                <w:sz w:val="16"/>
                <w:szCs w:val="16"/>
                <w:color w:val="auto"/>
              </w:rPr>
            </w:pPr>
          </w:p>
        </w:tc>
        <w:tc>
          <w:tcPr>
            <w:tcW w:w="3400" w:type="dxa"/>
            <w:vAlign w:val="bottom"/>
            <w:gridSpan w:val="5"/>
            <w:shd w:val="clear" w:color="auto" w:fill="1928A0"/>
          </w:tcPr>
          <w:p>
            <w:pPr>
              <w:ind w:left="1080"/>
              <w:spacing w:after="0"/>
              <w:rPr>
                <w:sz w:val="20"/>
                <w:szCs w:val="20"/>
                <w:color w:val="auto"/>
              </w:rPr>
            </w:pPr>
            <w:r>
              <w:rPr>
                <w:rFonts w:ascii="Arial" w:cs="Arial" w:eastAsia="Arial" w:hAnsi="Arial"/>
                <w:sz w:val="12"/>
                <w:szCs w:val="12"/>
                <w:b w:val="1"/>
                <w:bCs w:val="1"/>
                <w:color w:val="FFFFFF"/>
              </w:rPr>
              <w:t>Fiscal Year Ended</w:t>
            </w:r>
          </w:p>
        </w:tc>
      </w:tr>
      <w:tr>
        <w:trPr>
          <w:trHeight w:val="184"/>
        </w:trPr>
        <w:tc>
          <w:tcPr>
            <w:tcW w:w="48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0" w:type="dxa"/>
            <w:vAlign w:val="bottom"/>
            <w:shd w:val="clear" w:color="auto" w:fill="1928A0"/>
          </w:tcPr>
          <w:p>
            <w:pPr>
              <w:spacing w:after="0"/>
              <w:rPr>
                <w:sz w:val="16"/>
                <w:szCs w:val="16"/>
                <w:color w:val="auto"/>
              </w:rPr>
            </w:pPr>
          </w:p>
        </w:tc>
        <w:tc>
          <w:tcPr>
            <w:tcW w:w="1580" w:type="dxa"/>
            <w:vAlign w:val="bottom"/>
            <w:gridSpan w:val="2"/>
            <w:shd w:val="clear" w:color="auto" w:fill="1928A0"/>
          </w:tcPr>
          <w:p>
            <w:pPr>
              <w:ind w:left="160"/>
              <w:spacing w:after="0"/>
              <w:rPr>
                <w:sz w:val="20"/>
                <w:szCs w:val="20"/>
                <w:color w:val="auto"/>
              </w:rPr>
            </w:pPr>
            <w:r>
              <w:rPr>
                <w:rFonts w:ascii="Arial" w:cs="Arial" w:eastAsia="Arial" w:hAnsi="Arial"/>
                <w:sz w:val="12"/>
                <w:szCs w:val="12"/>
                <w:b w:val="1"/>
                <w:bCs w:val="1"/>
                <w:color w:val="FFFFFF"/>
              </w:rPr>
              <w:t>January 31, 2026</w:t>
            </w:r>
          </w:p>
        </w:tc>
        <w:tc>
          <w:tcPr>
            <w:tcW w:w="240" w:type="dxa"/>
            <w:vAlign w:val="bottom"/>
            <w:shd w:val="clear" w:color="auto" w:fill="1928A0"/>
          </w:tcPr>
          <w:p>
            <w:pPr>
              <w:spacing w:after="0"/>
              <w:rPr>
                <w:sz w:val="16"/>
                <w:szCs w:val="16"/>
                <w:color w:val="auto"/>
              </w:rPr>
            </w:pPr>
          </w:p>
        </w:tc>
        <w:tc>
          <w:tcPr>
            <w:tcW w:w="1580" w:type="dxa"/>
            <w:vAlign w:val="bottom"/>
            <w:gridSpan w:val="2"/>
            <w:shd w:val="clear" w:color="auto" w:fill="1928A0"/>
          </w:tcPr>
          <w:p>
            <w:pPr>
              <w:ind w:left="160"/>
              <w:spacing w:after="0"/>
              <w:rPr>
                <w:sz w:val="20"/>
                <w:szCs w:val="20"/>
                <w:color w:val="auto"/>
              </w:rPr>
            </w:pPr>
            <w:r>
              <w:rPr>
                <w:rFonts w:ascii="Arial" w:cs="Arial" w:eastAsia="Arial" w:hAnsi="Arial"/>
                <w:sz w:val="12"/>
                <w:szCs w:val="12"/>
                <w:b w:val="1"/>
                <w:bCs w:val="1"/>
                <w:color w:val="FFFFFF"/>
              </w:rPr>
              <w:t>February 1, 2025</w:t>
            </w:r>
          </w:p>
        </w:tc>
      </w:tr>
      <w:tr>
        <w:trPr>
          <w:trHeight w:val="162"/>
        </w:trPr>
        <w:tc>
          <w:tcPr>
            <w:tcW w:w="488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FLOWS FROM OPERATING ACTIVITIES: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160"/>
              <w:spacing w:after="0"/>
              <w:rPr>
                <w:sz w:val="20"/>
                <w:szCs w:val="20"/>
                <w:color w:val="auto"/>
              </w:rPr>
            </w:pPr>
            <w:r>
              <w:rPr>
                <w:rFonts w:ascii="Arial" w:cs="Arial" w:eastAsia="Arial" w:hAnsi="Arial"/>
                <w:sz w:val="11"/>
                <w:szCs w:val="11"/>
                <w:color w:val="auto"/>
              </w:rPr>
              <w:t>Net income</w:t>
            </w:r>
          </w:p>
        </w:tc>
        <w:tc>
          <w:tcPr>
            <w:tcW w:w="30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376,768</w:t>
            </w:r>
          </w:p>
        </w:tc>
        <w:tc>
          <w:tcPr>
            <w:tcW w:w="8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418,447</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300"/>
              <w:spacing w:after="0"/>
              <w:rPr>
                <w:sz w:val="20"/>
                <w:szCs w:val="20"/>
                <w:color w:val="auto"/>
              </w:rPr>
            </w:pPr>
            <w:r>
              <w:rPr>
                <w:rFonts w:ascii="Arial" w:cs="Arial" w:eastAsia="Arial" w:hAnsi="Arial"/>
                <w:sz w:val="11"/>
                <w:szCs w:val="11"/>
                <w:color w:val="auto"/>
              </w:rPr>
              <w:t>Depreciation and amortization</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122,866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118,070</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300"/>
              <w:spacing w:after="0"/>
              <w:rPr>
                <w:sz w:val="20"/>
                <w:szCs w:val="20"/>
                <w:color w:val="auto"/>
              </w:rPr>
            </w:pPr>
            <w:r>
              <w:rPr>
                <w:rFonts w:ascii="Arial" w:cs="Arial" w:eastAsia="Arial" w:hAnsi="Arial"/>
                <w:sz w:val="11"/>
                <w:szCs w:val="11"/>
                <w:color w:val="auto"/>
              </w:rPr>
              <w:t>Non-cash lease expense</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46,212</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30,295</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300"/>
              <w:spacing w:after="0"/>
              <w:rPr>
                <w:sz w:val="20"/>
                <w:szCs w:val="20"/>
                <w:color w:val="auto"/>
              </w:rPr>
            </w:pPr>
            <w:r>
              <w:rPr>
                <w:rFonts w:ascii="Arial" w:cs="Arial" w:eastAsia="Arial" w:hAnsi="Arial"/>
                <w:sz w:val="11"/>
                <w:szCs w:val="11"/>
                <w:color w:val="auto"/>
              </w:rPr>
              <w:t>Equity compensation</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21,176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26,629</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300"/>
              <w:spacing w:after="0"/>
              <w:rPr>
                <w:sz w:val="20"/>
                <w:szCs w:val="20"/>
                <w:color w:val="auto"/>
              </w:rPr>
            </w:pPr>
            <w:r>
              <w:rPr>
                <w:rFonts w:ascii="Arial" w:cs="Arial" w:eastAsia="Arial" w:hAnsi="Arial"/>
                <w:sz w:val="11"/>
                <w:szCs w:val="11"/>
                <w:color w:val="auto"/>
              </w:rPr>
              <w:t>Amortization of deferred loan and other costs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2,590</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2,574</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300"/>
              <w:spacing w:after="0"/>
              <w:rPr>
                <w:sz w:val="20"/>
                <w:szCs w:val="20"/>
                <w:color w:val="auto"/>
              </w:rPr>
            </w:pPr>
            <w:r>
              <w:rPr>
                <w:rFonts w:ascii="Arial" w:cs="Arial" w:eastAsia="Arial" w:hAnsi="Arial"/>
                <w:sz w:val="11"/>
                <w:szCs w:val="11"/>
                <w:color w:val="auto"/>
              </w:rPr>
              <w:t>Deferred income taxes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43,839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3"/>
                <w:szCs w:val="13"/>
                <w:color w:val="auto"/>
              </w:rPr>
            </w:pPr>
          </w:p>
        </w:tc>
      </w:tr>
      <w:tr>
        <w:trPr>
          <w:trHeight w:val="165"/>
        </w:trPr>
        <w:tc>
          <w:tcPr>
            <w:tcW w:w="4880" w:type="dxa"/>
            <w:vAlign w:val="bottom"/>
            <w:shd w:val="clear" w:color="auto" w:fill="DBDBDB"/>
          </w:tcPr>
          <w:p>
            <w:pPr>
              <w:ind w:left="300"/>
              <w:spacing w:after="0"/>
              <w:rPr>
                <w:sz w:val="20"/>
                <w:szCs w:val="20"/>
                <w:color w:val="auto"/>
              </w:rPr>
            </w:pPr>
            <w:r>
              <w:rPr>
                <w:rFonts w:ascii="Arial" w:cs="Arial" w:eastAsia="Arial" w:hAnsi="Arial"/>
                <w:sz w:val="11"/>
                <w:szCs w:val="11"/>
                <w:color w:val="auto"/>
              </w:rPr>
              <w:t>Write-off of Deferred Loan Costs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449</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300"/>
              <w:spacing w:after="0"/>
              <w:rPr>
                <w:sz w:val="20"/>
                <w:szCs w:val="20"/>
                <w:color w:val="auto"/>
              </w:rPr>
            </w:pPr>
            <w:r>
              <w:rPr>
                <w:rFonts w:ascii="Arial" w:cs="Arial" w:eastAsia="Arial" w:hAnsi="Arial"/>
                <w:sz w:val="11"/>
                <w:szCs w:val="11"/>
                <w:color w:val="auto"/>
              </w:rPr>
              <w:t>Gain on disposal of property and equipment</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(15,417)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(7,062)</w:t>
            </w:r>
          </w:p>
        </w:tc>
        <w:tc>
          <w:tcPr>
            <w:tcW w:w="60" w:type="dxa"/>
            <w:vAlign w:val="bottom"/>
          </w:tcPr>
          <w:p>
            <w:pPr>
              <w:spacing w:after="0"/>
              <w:rPr>
                <w:sz w:val="13"/>
                <w:szCs w:val="13"/>
                <w:color w:val="auto"/>
              </w:rPr>
            </w:pPr>
          </w:p>
        </w:tc>
      </w:tr>
      <w:tr>
        <w:trPr>
          <w:trHeight w:val="165"/>
        </w:trPr>
        <w:tc>
          <w:tcPr>
            <w:tcW w:w="4880" w:type="dxa"/>
            <w:vAlign w:val="bottom"/>
            <w:shd w:val="clear" w:color="auto" w:fill="DBDBDB"/>
          </w:tcPr>
          <w:p>
            <w:pPr>
              <w:ind w:left="300"/>
              <w:spacing w:after="0"/>
              <w:rPr>
                <w:sz w:val="20"/>
                <w:szCs w:val="20"/>
                <w:color w:val="auto"/>
              </w:rPr>
            </w:pPr>
            <w:r>
              <w:rPr>
                <w:rFonts w:ascii="Arial" w:cs="Arial" w:eastAsia="Arial" w:hAnsi="Arial"/>
                <w:sz w:val="11"/>
                <w:szCs w:val="11"/>
                <w:color w:val="auto"/>
              </w:rPr>
              <w:t>Changes in assets and liabilities: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440"/>
              <w:spacing w:after="0"/>
              <w:rPr>
                <w:sz w:val="20"/>
                <w:szCs w:val="20"/>
                <w:color w:val="auto"/>
              </w:rPr>
            </w:pPr>
            <w:r>
              <w:rPr>
                <w:rFonts w:ascii="Arial" w:cs="Arial" w:eastAsia="Arial" w:hAnsi="Arial"/>
                <w:sz w:val="11"/>
                <w:szCs w:val="11"/>
                <w:color w:val="auto"/>
              </w:rPr>
              <w:t>Accounts receivable, net</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(17,995)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2,611</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440"/>
              <w:spacing w:after="0"/>
              <w:rPr>
                <w:sz w:val="20"/>
                <w:szCs w:val="20"/>
                <w:color w:val="auto"/>
              </w:rPr>
            </w:pPr>
            <w:r>
              <w:rPr>
                <w:rFonts w:ascii="Arial" w:cs="Arial" w:eastAsia="Arial" w:hAnsi="Arial"/>
                <w:sz w:val="11"/>
                <w:szCs w:val="11"/>
                <w:color w:val="auto"/>
              </w:rPr>
              <w:t>Merchandise inventories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(194,916)</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(114,681)</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440"/>
              <w:spacing w:after="0"/>
              <w:rPr>
                <w:sz w:val="20"/>
                <w:szCs w:val="20"/>
                <w:color w:val="auto"/>
              </w:rPr>
            </w:pPr>
            <w:r>
              <w:rPr>
                <w:rFonts w:ascii="Arial" w:cs="Arial" w:eastAsia="Arial" w:hAnsi="Arial"/>
                <w:sz w:val="11"/>
                <w:szCs w:val="11"/>
                <w:color w:val="auto"/>
              </w:rPr>
              <w:t>Prepaid expenses and other current assets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26,915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(10,117)</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 noncurrent assets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(12,556)</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(12,437)</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440"/>
              <w:spacing w:after="0"/>
              <w:rPr>
                <w:sz w:val="20"/>
                <w:szCs w:val="20"/>
                <w:color w:val="auto"/>
              </w:rPr>
            </w:pPr>
            <w:r>
              <w:rPr>
                <w:rFonts w:ascii="Arial" w:cs="Arial" w:eastAsia="Arial" w:hAnsi="Arial"/>
                <w:sz w:val="11"/>
                <w:szCs w:val="11"/>
                <w:color w:val="auto"/>
              </w:rPr>
              <w:t>Accounts payable</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27,335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65,761</w:t>
            </w:r>
          </w:p>
        </w:tc>
        <w:tc>
          <w:tcPr>
            <w:tcW w:w="60" w:type="dxa"/>
            <w:vAlign w:val="bottom"/>
          </w:tcPr>
          <w:p>
            <w:pPr>
              <w:spacing w:after="0"/>
              <w:rPr>
                <w:sz w:val="13"/>
                <w:szCs w:val="13"/>
                <w:color w:val="auto"/>
              </w:rPr>
            </w:pPr>
          </w:p>
        </w:tc>
      </w:tr>
      <w:tr>
        <w:trPr>
          <w:trHeight w:val="165"/>
        </w:trPr>
        <w:tc>
          <w:tcPr>
            <w:tcW w:w="4880" w:type="dxa"/>
            <w:vAlign w:val="bottom"/>
            <w:shd w:val="clear" w:color="auto" w:fill="DBDBDB"/>
          </w:tcPr>
          <w:p>
            <w:pPr>
              <w:ind w:left="440"/>
              <w:spacing w:after="0"/>
              <w:rPr>
                <w:sz w:val="20"/>
                <w:szCs w:val="20"/>
                <w:color w:val="auto"/>
              </w:rPr>
            </w:pPr>
            <w:r>
              <w:rPr>
                <w:rFonts w:ascii="Arial" w:cs="Arial" w:eastAsia="Arial" w:hAnsi="Arial"/>
                <w:sz w:val="11"/>
                <w:szCs w:val="11"/>
                <w:color w:val="auto"/>
              </w:rPr>
              <w:t>Accrued expenses and other current liabilities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17,128</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11,952</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440"/>
              <w:spacing w:after="0"/>
              <w:rPr>
                <w:sz w:val="20"/>
                <w:szCs w:val="20"/>
                <w:color w:val="auto"/>
              </w:rPr>
            </w:pPr>
            <w:r>
              <w:rPr>
                <w:rFonts w:ascii="Arial" w:cs="Arial" w:eastAsia="Arial" w:hAnsi="Arial"/>
                <w:sz w:val="11"/>
                <w:szCs w:val="11"/>
                <w:color w:val="auto"/>
              </w:rPr>
              <w:t>Income taxes payable</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(19,062)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(5,277)</w:t>
            </w:r>
          </w:p>
        </w:tc>
        <w:tc>
          <w:tcPr>
            <w:tcW w:w="60" w:type="dxa"/>
            <w:vAlign w:val="bottom"/>
          </w:tcPr>
          <w:p>
            <w:pPr>
              <w:spacing w:after="0"/>
              <w:rPr>
                <w:sz w:val="13"/>
                <w:szCs w:val="13"/>
                <w:color w:val="auto"/>
              </w:rPr>
            </w:pPr>
          </w:p>
        </w:tc>
      </w:tr>
      <w:tr>
        <w:trPr>
          <w:trHeight w:val="162"/>
        </w:trPr>
        <w:tc>
          <w:tcPr>
            <w:tcW w:w="4880" w:type="dxa"/>
            <w:vAlign w:val="bottom"/>
            <w:shd w:val="clear" w:color="auto" w:fill="DBDBDB"/>
          </w:tcPr>
          <w:p>
            <w:pPr>
              <w:ind w:left="440"/>
              <w:spacing w:after="0"/>
              <w:rPr>
                <w:sz w:val="20"/>
                <w:szCs w:val="20"/>
                <w:color w:val="auto"/>
              </w:rPr>
            </w:pPr>
            <w:r>
              <w:rPr>
                <w:rFonts w:ascii="Arial" w:cs="Arial" w:eastAsia="Arial" w:hAnsi="Arial"/>
                <w:sz w:val="11"/>
                <w:szCs w:val="11"/>
                <w:color w:val="auto"/>
              </w:rPr>
              <w:t>Other long-term liabilities</w:t>
            </w:r>
          </w:p>
        </w:tc>
        <w:tc>
          <w:tcPr>
            <w:tcW w:w="27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9,915</w:t>
            </w:r>
          </w:p>
        </w:tc>
        <w:tc>
          <w:tcPr>
            <w:tcW w:w="80" w:type="dxa"/>
            <w:vAlign w:val="bottom"/>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(1,152)</w:t>
            </w:r>
          </w:p>
        </w:tc>
        <w:tc>
          <w:tcPr>
            <w:tcW w:w="60" w:type="dxa"/>
            <w:vAlign w:val="bottom"/>
            <w:shd w:val="clear" w:color="auto" w:fill="DBDBDB"/>
          </w:tcPr>
          <w:p>
            <w:pPr>
              <w:spacing w:after="0"/>
              <w:rPr>
                <w:sz w:val="14"/>
                <w:szCs w:val="14"/>
                <w:color w:val="auto"/>
              </w:rPr>
            </w:pPr>
          </w:p>
        </w:tc>
      </w:tr>
      <w:tr>
        <w:trPr>
          <w:trHeight w:val="201"/>
        </w:trPr>
        <w:tc>
          <w:tcPr>
            <w:tcW w:w="4880" w:type="dxa"/>
            <w:vAlign w:val="bottom"/>
            <w:tcBorders>
              <w:bottom w:val="single" w:sz="8" w:color="DBDBDB"/>
            </w:tcBorders>
          </w:tcPr>
          <w:p>
            <w:pPr>
              <w:ind w:left="580"/>
              <w:spacing w:after="0"/>
              <w:rPr>
                <w:sz w:val="20"/>
                <w:szCs w:val="20"/>
                <w:color w:val="auto"/>
              </w:rPr>
            </w:pPr>
            <w:r>
              <w:rPr>
                <w:rFonts w:ascii="Arial" w:cs="Arial" w:eastAsia="Arial" w:hAnsi="Arial"/>
                <w:sz w:val="11"/>
                <w:szCs w:val="11"/>
                <w:color w:val="auto"/>
              </w:rPr>
              <w:t>Net cash provided by operating activities</w:t>
            </w:r>
          </w:p>
        </w:tc>
        <w:tc>
          <w:tcPr>
            <w:tcW w:w="27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434,798</w:t>
            </w: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528,082</w:t>
            </w:r>
          </w:p>
        </w:tc>
        <w:tc>
          <w:tcPr>
            <w:tcW w:w="60" w:type="dxa"/>
            <w:vAlign w:val="bottom"/>
            <w:tcBorders>
              <w:bottom w:val="single" w:sz="8" w:color="DBDBDB"/>
            </w:tcBorders>
          </w:tcPr>
          <w:p>
            <w:pPr>
              <w:spacing w:after="0"/>
              <w:rPr>
                <w:sz w:val="17"/>
                <w:szCs w:val="17"/>
                <w:color w:val="auto"/>
              </w:rPr>
            </w:pPr>
          </w:p>
        </w:tc>
      </w:tr>
      <w:tr>
        <w:trPr>
          <w:trHeight w:val="157"/>
        </w:trPr>
        <w:tc>
          <w:tcPr>
            <w:tcW w:w="488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CASH FLOWS FROM INVESTING ACTIVITIES:</w:t>
            </w:r>
          </w:p>
        </w:tc>
        <w:tc>
          <w:tcPr>
            <w:tcW w:w="2780" w:type="dxa"/>
            <w:vAlign w:val="bottom"/>
            <w:tcBorders>
              <w:top w:val="single" w:sz="8" w:color="DBDBDB"/>
            </w:tcBorders>
          </w:tcPr>
          <w:p>
            <w:pPr>
              <w:spacing w:after="0"/>
              <w:rPr>
                <w:sz w:val="13"/>
                <w:szCs w:val="13"/>
                <w:color w:val="auto"/>
              </w:rPr>
            </w:pPr>
          </w:p>
        </w:tc>
        <w:tc>
          <w:tcPr>
            <w:tcW w:w="220" w:type="dxa"/>
            <w:vAlign w:val="bottom"/>
            <w:tcBorders>
              <w:top w:val="single" w:sz="8" w:color="DBDBDB"/>
            </w:tcBorders>
          </w:tcPr>
          <w:p>
            <w:pPr>
              <w:spacing w:after="0"/>
              <w:rPr>
                <w:sz w:val="13"/>
                <w:szCs w:val="13"/>
                <w:color w:val="auto"/>
              </w:rPr>
            </w:pPr>
          </w:p>
        </w:tc>
        <w:tc>
          <w:tcPr>
            <w:tcW w:w="1500" w:type="dxa"/>
            <w:vAlign w:val="bottom"/>
            <w:tcBorders>
              <w:top w:val="single" w:sz="8" w:color="DBDBDB"/>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240" w:type="dxa"/>
            <w:vAlign w:val="bottom"/>
            <w:tcBorders>
              <w:top w:val="single" w:sz="8" w:color="DBDBDB"/>
            </w:tcBorders>
          </w:tcPr>
          <w:p>
            <w:pPr>
              <w:spacing w:after="0"/>
              <w:rPr>
                <w:sz w:val="13"/>
                <w:szCs w:val="13"/>
                <w:color w:val="auto"/>
              </w:rPr>
            </w:pPr>
          </w:p>
        </w:tc>
        <w:tc>
          <w:tcPr>
            <w:tcW w:w="1520" w:type="dxa"/>
            <w:vAlign w:val="bottom"/>
            <w:tcBorders>
              <w:top w:val="single" w:sz="8" w:color="DBDBDB"/>
            </w:tcBorders>
          </w:tcPr>
          <w:p>
            <w:pPr>
              <w:spacing w:after="0"/>
              <w:rPr>
                <w:sz w:val="13"/>
                <w:szCs w:val="13"/>
                <w:color w:val="auto"/>
              </w:rPr>
            </w:pPr>
          </w:p>
        </w:tc>
        <w:tc>
          <w:tcPr>
            <w:tcW w:w="60" w:type="dxa"/>
            <w:vAlign w:val="bottom"/>
            <w:tcBorders>
              <w:top w:val="single" w:sz="8" w:color="DBDBDB"/>
            </w:tcBorders>
          </w:tcPr>
          <w:p>
            <w:pPr>
              <w:spacing w:after="0"/>
              <w:rPr>
                <w:sz w:val="13"/>
                <w:szCs w:val="13"/>
                <w:color w:val="auto"/>
              </w:rPr>
            </w:pPr>
          </w:p>
        </w:tc>
      </w:tr>
      <w:tr>
        <w:trPr>
          <w:trHeight w:val="167"/>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Capital expenditures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(212,668)</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(199,589)</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160"/>
              <w:spacing w:after="0"/>
              <w:rPr>
                <w:sz w:val="20"/>
                <w:szCs w:val="20"/>
                <w:color w:val="auto"/>
              </w:rPr>
            </w:pPr>
            <w:r>
              <w:rPr>
                <w:rFonts w:ascii="Arial" w:cs="Arial" w:eastAsia="Arial" w:hAnsi="Arial"/>
                <w:sz w:val="11"/>
                <w:szCs w:val="11"/>
                <w:color w:val="auto"/>
              </w:rPr>
              <w:t>Purchases of intangible assets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(759)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(771)</w:t>
            </w:r>
          </w:p>
        </w:tc>
        <w:tc>
          <w:tcPr>
            <w:tcW w:w="60" w:type="dxa"/>
            <w:vAlign w:val="bottom"/>
          </w:tcPr>
          <w:p>
            <w:pPr>
              <w:spacing w:after="0"/>
              <w:rPr>
                <w:sz w:val="13"/>
                <w:szCs w:val="13"/>
                <w:color w:val="auto"/>
              </w:rPr>
            </w:pPr>
          </w:p>
        </w:tc>
      </w:tr>
      <w:tr>
        <w:trPr>
          <w:trHeight w:val="162"/>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Proceeds from the sale of property and equipment</w:t>
            </w:r>
          </w:p>
        </w:tc>
        <w:tc>
          <w:tcPr>
            <w:tcW w:w="2780" w:type="dxa"/>
            <w:vAlign w:val="bottom"/>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41,390</w:t>
            </w:r>
          </w:p>
        </w:tc>
        <w:tc>
          <w:tcPr>
            <w:tcW w:w="80" w:type="dxa"/>
            <w:vAlign w:val="bottom"/>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15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14,240</w:t>
            </w:r>
          </w:p>
        </w:tc>
        <w:tc>
          <w:tcPr>
            <w:tcW w:w="60" w:type="dxa"/>
            <w:vAlign w:val="bottom"/>
            <w:shd w:val="clear" w:color="auto" w:fill="DBDBDB"/>
          </w:tcPr>
          <w:p>
            <w:pPr>
              <w:spacing w:after="0"/>
              <w:rPr>
                <w:sz w:val="14"/>
                <w:szCs w:val="14"/>
                <w:color w:val="auto"/>
              </w:rPr>
            </w:pPr>
          </w:p>
        </w:tc>
      </w:tr>
      <w:tr>
        <w:trPr>
          <w:trHeight w:val="202"/>
        </w:trPr>
        <w:tc>
          <w:tcPr>
            <w:tcW w:w="4880" w:type="dxa"/>
            <w:vAlign w:val="bottom"/>
            <w:tcBorders>
              <w:bottom w:val="single" w:sz="8" w:color="DBDBDB"/>
            </w:tcBorders>
          </w:tcPr>
          <w:p>
            <w:pPr>
              <w:ind w:left="580"/>
              <w:spacing w:after="0"/>
              <w:rPr>
                <w:sz w:val="20"/>
                <w:szCs w:val="20"/>
                <w:color w:val="auto"/>
              </w:rPr>
            </w:pPr>
            <w:r>
              <w:rPr>
                <w:rFonts w:ascii="Arial" w:cs="Arial" w:eastAsia="Arial" w:hAnsi="Arial"/>
                <w:sz w:val="11"/>
                <w:szCs w:val="11"/>
                <w:color w:val="auto"/>
              </w:rPr>
              <w:t>Net cash used in investing activities</w:t>
            </w:r>
          </w:p>
        </w:tc>
        <w:tc>
          <w:tcPr>
            <w:tcW w:w="27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(172,037)</w:t>
            </w:r>
          </w:p>
        </w:tc>
        <w:tc>
          <w:tcPr>
            <w:tcW w:w="8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(186,120)</w:t>
            </w:r>
          </w:p>
        </w:tc>
        <w:tc>
          <w:tcPr>
            <w:tcW w:w="60" w:type="dxa"/>
            <w:vAlign w:val="bottom"/>
            <w:tcBorders>
              <w:bottom w:val="single" w:sz="8" w:color="DBDBDB"/>
            </w:tcBorders>
          </w:tcPr>
          <w:p>
            <w:pPr>
              <w:spacing w:after="0"/>
              <w:rPr>
                <w:sz w:val="17"/>
                <w:szCs w:val="17"/>
                <w:color w:val="auto"/>
              </w:rPr>
            </w:pPr>
          </w:p>
        </w:tc>
      </w:tr>
      <w:tr>
        <w:trPr>
          <w:trHeight w:val="157"/>
        </w:trPr>
        <w:tc>
          <w:tcPr>
            <w:tcW w:w="4880" w:type="dxa"/>
            <w:vAlign w:val="bottom"/>
            <w:tcBorders>
              <w:top w:val="single" w:sz="8" w:color="DBDBDB"/>
            </w:tcBorders>
          </w:tcPr>
          <w:p>
            <w:pPr>
              <w:ind w:left="20"/>
              <w:spacing w:after="0"/>
              <w:rPr>
                <w:sz w:val="20"/>
                <w:szCs w:val="20"/>
                <w:color w:val="auto"/>
              </w:rPr>
            </w:pPr>
            <w:r>
              <w:rPr>
                <w:rFonts w:ascii="Arial" w:cs="Arial" w:eastAsia="Arial" w:hAnsi="Arial"/>
                <w:sz w:val="11"/>
                <w:szCs w:val="11"/>
                <w:color w:val="auto"/>
              </w:rPr>
              <w:t>CASH FLOWS FROM FINANCING ACTIVITIES:</w:t>
            </w:r>
          </w:p>
        </w:tc>
        <w:tc>
          <w:tcPr>
            <w:tcW w:w="2780" w:type="dxa"/>
            <w:vAlign w:val="bottom"/>
            <w:tcBorders>
              <w:top w:val="single" w:sz="8" w:color="DBDBDB"/>
            </w:tcBorders>
          </w:tcPr>
          <w:p>
            <w:pPr>
              <w:spacing w:after="0"/>
              <w:rPr>
                <w:sz w:val="13"/>
                <w:szCs w:val="13"/>
                <w:color w:val="auto"/>
              </w:rPr>
            </w:pPr>
          </w:p>
        </w:tc>
        <w:tc>
          <w:tcPr>
            <w:tcW w:w="220" w:type="dxa"/>
            <w:vAlign w:val="bottom"/>
            <w:tcBorders>
              <w:top w:val="single" w:sz="8" w:color="DBDBDB"/>
            </w:tcBorders>
          </w:tcPr>
          <w:p>
            <w:pPr>
              <w:spacing w:after="0"/>
              <w:rPr>
                <w:sz w:val="13"/>
                <w:szCs w:val="13"/>
                <w:color w:val="auto"/>
              </w:rPr>
            </w:pPr>
          </w:p>
        </w:tc>
        <w:tc>
          <w:tcPr>
            <w:tcW w:w="1500" w:type="dxa"/>
            <w:vAlign w:val="bottom"/>
            <w:tcBorders>
              <w:top w:val="single" w:sz="8" w:color="DBDBDB"/>
            </w:tcBorders>
          </w:tcPr>
          <w:p>
            <w:pPr>
              <w:spacing w:after="0"/>
              <w:rPr>
                <w:sz w:val="13"/>
                <w:szCs w:val="13"/>
                <w:color w:val="auto"/>
              </w:rPr>
            </w:pPr>
          </w:p>
        </w:tc>
        <w:tc>
          <w:tcPr>
            <w:tcW w:w="80" w:type="dxa"/>
            <w:vAlign w:val="bottom"/>
            <w:tcBorders>
              <w:top w:val="single" w:sz="8" w:color="DBDBDB"/>
            </w:tcBorders>
          </w:tcPr>
          <w:p>
            <w:pPr>
              <w:spacing w:after="0"/>
              <w:rPr>
                <w:sz w:val="13"/>
                <w:szCs w:val="13"/>
                <w:color w:val="auto"/>
              </w:rPr>
            </w:pPr>
          </w:p>
        </w:tc>
        <w:tc>
          <w:tcPr>
            <w:tcW w:w="240" w:type="dxa"/>
            <w:vAlign w:val="bottom"/>
            <w:tcBorders>
              <w:top w:val="single" w:sz="8" w:color="DBDBDB"/>
            </w:tcBorders>
          </w:tcPr>
          <w:p>
            <w:pPr>
              <w:spacing w:after="0"/>
              <w:rPr>
                <w:sz w:val="13"/>
                <w:szCs w:val="13"/>
                <w:color w:val="auto"/>
              </w:rPr>
            </w:pPr>
          </w:p>
        </w:tc>
        <w:tc>
          <w:tcPr>
            <w:tcW w:w="1520" w:type="dxa"/>
            <w:vAlign w:val="bottom"/>
            <w:tcBorders>
              <w:top w:val="single" w:sz="8" w:color="DBDBDB"/>
            </w:tcBorders>
          </w:tcPr>
          <w:p>
            <w:pPr>
              <w:spacing w:after="0"/>
              <w:rPr>
                <w:sz w:val="13"/>
                <w:szCs w:val="13"/>
                <w:color w:val="auto"/>
              </w:rPr>
            </w:pPr>
          </w:p>
        </w:tc>
        <w:tc>
          <w:tcPr>
            <w:tcW w:w="60" w:type="dxa"/>
            <w:vAlign w:val="bottom"/>
            <w:tcBorders>
              <w:top w:val="single" w:sz="8" w:color="DBDBDB"/>
            </w:tcBorders>
          </w:tcPr>
          <w:p>
            <w:pPr>
              <w:spacing w:after="0"/>
              <w:rPr>
                <w:sz w:val="13"/>
                <w:szCs w:val="13"/>
                <w:color w:val="auto"/>
              </w:rPr>
            </w:pPr>
          </w:p>
        </w:tc>
      </w:tr>
      <w:tr>
        <w:trPr>
          <w:trHeight w:val="168"/>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Proceeds from Revolving Credit Facilities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8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3,900</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160"/>
              <w:spacing w:after="0"/>
              <w:rPr>
                <w:sz w:val="20"/>
                <w:szCs w:val="20"/>
                <w:color w:val="auto"/>
              </w:rPr>
            </w:pPr>
            <w:r>
              <w:rPr>
                <w:rFonts w:ascii="Arial" w:cs="Arial" w:eastAsia="Arial" w:hAnsi="Arial"/>
                <w:sz w:val="11"/>
                <w:szCs w:val="11"/>
                <w:color w:val="auto"/>
              </w:rPr>
              <w:t>Reduction in Revolving Credit Facilities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(3,900)</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Repayment of Term Loan</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(3,000)</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(3,000)</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160"/>
              <w:spacing w:after="0"/>
              <w:rPr>
                <w:sz w:val="20"/>
                <w:szCs w:val="20"/>
                <w:color w:val="auto"/>
              </w:rPr>
            </w:pPr>
            <w:r>
              <w:rPr>
                <w:rFonts w:ascii="Arial" w:cs="Arial" w:eastAsia="Arial" w:hAnsi="Arial"/>
                <w:sz w:val="11"/>
                <w:szCs w:val="11"/>
                <w:color w:val="auto"/>
              </w:rPr>
              <w:t>Debt issuance fees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(5,689)</w:t>
            </w:r>
          </w:p>
        </w:tc>
        <w:tc>
          <w:tcPr>
            <w:tcW w:w="60" w:type="dxa"/>
            <w:vAlign w:val="bottom"/>
          </w:tcPr>
          <w:p>
            <w:pPr>
              <w:spacing w:after="0"/>
              <w:rPr>
                <w:sz w:val="13"/>
                <w:szCs w:val="13"/>
                <w:color w:val="auto"/>
              </w:rPr>
            </w:pPr>
          </w:p>
        </w:tc>
      </w:tr>
      <w:tr>
        <w:trPr>
          <w:trHeight w:val="164"/>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Proceeds from exercise of stock options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4,399</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4,323</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160"/>
              <w:spacing w:after="0"/>
              <w:rPr>
                <w:sz w:val="20"/>
                <w:szCs w:val="20"/>
                <w:color w:val="auto"/>
              </w:rPr>
            </w:pPr>
            <w:r>
              <w:rPr>
                <w:rFonts w:ascii="Arial" w:cs="Arial" w:eastAsia="Arial" w:hAnsi="Arial"/>
                <w:sz w:val="11"/>
                <w:szCs w:val="11"/>
                <w:color w:val="auto"/>
              </w:rPr>
              <w:t>Proceeds from issuance of common stock under employee stock purchase program</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5,185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6"/>
              <w:spacing w:after="0"/>
              <w:rPr>
                <w:sz w:val="20"/>
                <w:szCs w:val="20"/>
                <w:color w:val="auto"/>
              </w:rPr>
            </w:pPr>
            <w:r>
              <w:rPr>
                <w:rFonts w:ascii="Arial" w:cs="Arial" w:eastAsia="Arial" w:hAnsi="Arial"/>
                <w:sz w:val="11"/>
                <w:szCs w:val="11"/>
                <w:color w:val="auto"/>
              </w:rPr>
              <w:t>5,248</w:t>
            </w:r>
          </w:p>
        </w:tc>
        <w:tc>
          <w:tcPr>
            <w:tcW w:w="60" w:type="dxa"/>
            <w:vAlign w:val="bottom"/>
          </w:tcPr>
          <w:p>
            <w:pPr>
              <w:spacing w:after="0"/>
              <w:rPr>
                <w:sz w:val="13"/>
                <w:szCs w:val="13"/>
                <w:color w:val="auto"/>
              </w:rPr>
            </w:pPr>
          </w:p>
        </w:tc>
      </w:tr>
      <w:tr>
        <w:trPr>
          <w:trHeight w:val="165"/>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Taxes paid related to net share settlement of equity awards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(4,784)</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(5,460)</w:t>
            </w:r>
          </w:p>
        </w:tc>
        <w:tc>
          <w:tcPr>
            <w:tcW w:w="60" w:type="dxa"/>
            <w:vAlign w:val="bottom"/>
            <w:shd w:val="clear" w:color="auto" w:fill="DBDBDB"/>
          </w:tcPr>
          <w:p>
            <w:pPr>
              <w:spacing w:after="0"/>
              <w:rPr>
                <w:sz w:val="14"/>
                <w:szCs w:val="14"/>
                <w:color w:val="auto"/>
              </w:rPr>
            </w:pPr>
          </w:p>
        </w:tc>
      </w:tr>
      <w:tr>
        <w:trPr>
          <w:trHeight w:val="159"/>
        </w:trPr>
        <w:tc>
          <w:tcPr>
            <w:tcW w:w="4880" w:type="dxa"/>
            <w:vAlign w:val="bottom"/>
          </w:tcPr>
          <w:p>
            <w:pPr>
              <w:ind w:left="160"/>
              <w:spacing w:after="0"/>
              <w:rPr>
                <w:sz w:val="20"/>
                <w:szCs w:val="20"/>
                <w:color w:val="auto"/>
              </w:rPr>
            </w:pPr>
            <w:r>
              <w:rPr>
                <w:rFonts w:ascii="Arial" w:cs="Arial" w:eastAsia="Arial" w:hAnsi="Arial"/>
                <w:sz w:val="11"/>
                <w:szCs w:val="11"/>
                <w:color w:val="auto"/>
              </w:rPr>
              <w:t>Repurchase of common stock for retirement</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(198,978)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(364,912)</w:t>
            </w:r>
          </w:p>
        </w:tc>
        <w:tc>
          <w:tcPr>
            <w:tcW w:w="60" w:type="dxa"/>
            <w:vAlign w:val="bottom"/>
          </w:tcPr>
          <w:p>
            <w:pPr>
              <w:spacing w:after="0"/>
              <w:rPr>
                <w:sz w:val="13"/>
                <w:szCs w:val="13"/>
                <w:color w:val="auto"/>
              </w:rPr>
            </w:pPr>
          </w:p>
        </w:tc>
      </w:tr>
      <w:tr>
        <w:trPr>
          <w:trHeight w:val="165"/>
        </w:trPr>
        <w:tc>
          <w:tcPr>
            <w:tcW w:w="4880" w:type="dxa"/>
            <w:vAlign w:val="bottom"/>
            <w:shd w:val="clear" w:color="auto" w:fill="DBDBDB"/>
          </w:tcPr>
          <w:p>
            <w:pPr>
              <w:ind w:left="160"/>
              <w:spacing w:after="0"/>
              <w:rPr>
                <w:sz w:val="20"/>
                <w:szCs w:val="20"/>
                <w:color w:val="auto"/>
              </w:rPr>
            </w:pPr>
            <w:r>
              <w:rPr>
                <w:rFonts w:ascii="Arial" w:cs="Arial" w:eastAsia="Arial" w:hAnsi="Arial"/>
                <w:sz w:val="11"/>
                <w:szCs w:val="11"/>
                <w:color w:val="auto"/>
              </w:rPr>
              <w:t>Dividends paid</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(34,657)</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(31,463)</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Pr>
          <w:p>
            <w:pPr>
              <w:ind w:left="160"/>
              <w:spacing w:after="0"/>
              <w:rPr>
                <w:sz w:val="20"/>
                <w:szCs w:val="20"/>
                <w:color w:val="auto"/>
              </w:rPr>
            </w:pPr>
            <w:r>
              <w:rPr>
                <w:rFonts w:ascii="Arial" w:cs="Arial" w:eastAsia="Arial" w:hAnsi="Arial"/>
                <w:sz w:val="11"/>
                <w:szCs w:val="11"/>
                <w:color w:val="auto"/>
              </w:rPr>
              <w:t>Other financing activities</w:t>
            </w:r>
          </w:p>
        </w:tc>
        <w:tc>
          <w:tcPr>
            <w:tcW w:w="2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1"/>
                <w:szCs w:val="11"/>
                <w:b w:val="1"/>
                <w:bCs w:val="1"/>
                <w:color w:val="auto"/>
              </w:rPr>
              <w:t>10,465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51"/>
        </w:trPr>
        <w:tc>
          <w:tcPr>
            <w:tcW w:w="4880" w:type="dxa"/>
            <w:vAlign w:val="bottom"/>
            <w:tcBorders>
              <w:top w:val="single" w:sz="8" w:color="DBDBDB"/>
            </w:tcBorders>
            <w:shd w:val="clear" w:color="auto" w:fill="DBDBDB"/>
          </w:tcPr>
          <w:p>
            <w:pPr>
              <w:ind w:left="580"/>
              <w:spacing w:after="0"/>
              <w:rPr>
                <w:sz w:val="20"/>
                <w:szCs w:val="20"/>
                <w:color w:val="auto"/>
              </w:rPr>
            </w:pPr>
            <w:r>
              <w:rPr>
                <w:rFonts w:ascii="Arial" w:cs="Arial" w:eastAsia="Arial" w:hAnsi="Arial"/>
                <w:sz w:val="11"/>
                <w:szCs w:val="11"/>
                <w:color w:val="auto"/>
              </w:rPr>
              <w:t>Net cash used in financing activities</w:t>
            </w:r>
          </w:p>
        </w:tc>
        <w:tc>
          <w:tcPr>
            <w:tcW w:w="2780" w:type="dxa"/>
            <w:vAlign w:val="bottom"/>
            <w:tcBorders>
              <w:top w:val="single" w:sz="8" w:color="DBDBDB"/>
            </w:tcBorders>
            <w:shd w:val="clear" w:color="auto" w:fill="DBDBDB"/>
          </w:tcPr>
          <w:p>
            <w:pPr>
              <w:spacing w:after="0"/>
              <w:rPr>
                <w:sz w:val="13"/>
                <w:szCs w:val="13"/>
                <w:color w:val="auto"/>
              </w:rPr>
            </w:pPr>
          </w:p>
        </w:tc>
        <w:tc>
          <w:tcPr>
            <w:tcW w:w="220" w:type="dxa"/>
            <w:vAlign w:val="bottom"/>
            <w:tcBorders>
              <w:top w:val="single" w:sz="8" w:color="auto"/>
              <w:bottom w:val="single" w:sz="8" w:color="auto"/>
            </w:tcBorders>
            <w:shd w:val="clear" w:color="auto" w:fill="DBDBDB"/>
          </w:tcPr>
          <w:p>
            <w:pPr>
              <w:spacing w:after="0"/>
              <w:rPr>
                <w:sz w:val="13"/>
                <w:szCs w:val="13"/>
                <w:color w:val="auto"/>
              </w:rPr>
            </w:pPr>
          </w:p>
        </w:tc>
        <w:tc>
          <w:tcPr>
            <w:tcW w:w="1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(221,370)</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bottom w:val="single" w:sz="8" w:color="auto"/>
            </w:tcBorders>
            <w:shd w:val="clear" w:color="auto" w:fill="DBDBDB"/>
          </w:tcPr>
          <w:p>
            <w:pPr>
              <w:spacing w:after="0"/>
              <w:rPr>
                <w:sz w:val="13"/>
                <w:szCs w:val="13"/>
                <w:color w:val="auto"/>
              </w:rPr>
            </w:pPr>
          </w:p>
        </w:tc>
        <w:tc>
          <w:tcPr>
            <w:tcW w:w="1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(400,953)</w:t>
            </w:r>
          </w:p>
        </w:tc>
        <w:tc>
          <w:tcPr>
            <w:tcW w:w="60" w:type="dxa"/>
            <w:vAlign w:val="bottom"/>
            <w:tcBorders>
              <w:top w:val="single" w:sz="8" w:color="DBDBDB"/>
            </w:tcBorders>
            <w:shd w:val="clear" w:color="auto" w:fill="DBDBDB"/>
          </w:tcPr>
          <w:p>
            <w:pPr>
              <w:spacing w:after="0"/>
              <w:rPr>
                <w:sz w:val="13"/>
                <w:szCs w:val="13"/>
                <w:color w:val="auto"/>
              </w:rPr>
            </w:pPr>
          </w:p>
        </w:tc>
      </w:tr>
      <w:tr>
        <w:trPr>
          <w:trHeight w:val="46"/>
        </w:trPr>
        <w:tc>
          <w:tcPr>
            <w:tcW w:w="48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62"/>
        </w:trPr>
        <w:tc>
          <w:tcPr>
            <w:tcW w:w="48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INCREASE (DECREASE) IN CASH AND CASH EQUIVALENTS</w:t>
            </w:r>
          </w:p>
        </w:tc>
        <w:tc>
          <w:tcPr>
            <w:tcW w:w="27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41,391</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(58,991)</w:t>
            </w:r>
          </w:p>
        </w:tc>
        <w:tc>
          <w:tcPr>
            <w:tcW w:w="60" w:type="dxa"/>
            <w:vAlign w:val="bottom"/>
            <w:shd w:val="clear" w:color="auto" w:fill="DBDBDB"/>
          </w:tcPr>
          <w:p>
            <w:pPr>
              <w:spacing w:after="0"/>
              <w:rPr>
                <w:sz w:val="14"/>
                <w:szCs w:val="14"/>
                <w:color w:val="auto"/>
              </w:rPr>
            </w:pPr>
          </w:p>
        </w:tc>
      </w:tr>
      <w:tr>
        <w:trPr>
          <w:trHeight w:val="160"/>
        </w:trPr>
        <w:tc>
          <w:tcPr>
            <w:tcW w:w="48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CASH AND CASH EQUIVALENTS AT BEGINNING OF PERIOD</w:t>
            </w:r>
          </w:p>
        </w:tc>
        <w:tc>
          <w:tcPr>
            <w:tcW w:w="2780" w:type="dxa"/>
            <w:vAlign w:val="bottom"/>
            <w:tcBorders>
              <w:bottom w:val="single" w:sz="8" w:color="DBDBD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288,929</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347,920</w:t>
            </w:r>
          </w:p>
        </w:tc>
        <w:tc>
          <w:tcPr>
            <w:tcW w:w="60" w:type="dxa"/>
            <w:vAlign w:val="bottom"/>
            <w:tcBorders>
              <w:bottom w:val="single" w:sz="8" w:color="DBDBDB"/>
            </w:tcBorders>
          </w:tcPr>
          <w:p>
            <w:pPr>
              <w:spacing w:after="0"/>
              <w:rPr>
                <w:sz w:val="13"/>
                <w:szCs w:val="13"/>
                <w:color w:val="auto"/>
              </w:rPr>
            </w:pPr>
          </w:p>
        </w:tc>
      </w:tr>
      <w:tr>
        <w:trPr>
          <w:trHeight w:val="173"/>
        </w:trPr>
        <w:tc>
          <w:tcPr>
            <w:tcW w:w="488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AND CASH EQUIVALENTS AT END OF PERIOD</w:t>
            </w:r>
          </w:p>
        </w:tc>
        <w:tc>
          <w:tcPr>
            <w:tcW w:w="3000" w:type="dxa"/>
            <w:vAlign w:val="bottom"/>
            <w:gridSpan w:val="2"/>
            <w:shd w:val="clear" w:color="auto" w:fill="DBDBDB"/>
          </w:tcPr>
          <w:p>
            <w:pPr>
              <w:jc w:val="right"/>
              <w:ind w:right="160"/>
              <w:spacing w:after="0"/>
              <w:rPr>
                <w:sz w:val="20"/>
                <w:szCs w:val="20"/>
                <w:color w:val="auto"/>
              </w:rPr>
            </w:pPr>
            <w:r>
              <w:rPr>
                <w:rFonts w:ascii="Arial" w:cs="Arial" w:eastAsia="Arial" w:hAnsi="Arial"/>
                <w:sz w:val="11"/>
                <w:szCs w:val="11"/>
                <w:b w:val="1"/>
                <w:bCs w:val="1"/>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330,320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288,929</w:t>
            </w:r>
          </w:p>
        </w:tc>
        <w:tc>
          <w:tcPr>
            <w:tcW w:w="60" w:type="dxa"/>
            <w:vAlign w:val="bottom"/>
            <w:shd w:val="clear" w:color="auto" w:fill="DBDBDB"/>
          </w:tcPr>
          <w:p>
            <w:pPr>
              <w:spacing w:after="0"/>
              <w:rPr>
                <w:sz w:val="15"/>
                <w:szCs w:val="15"/>
                <w:color w:val="auto"/>
              </w:rPr>
            </w:pPr>
          </w:p>
        </w:tc>
      </w:tr>
      <w:tr>
        <w:trPr>
          <w:trHeight w:val="494"/>
        </w:trPr>
        <w:tc>
          <w:tcPr>
            <w:tcW w:w="4880" w:type="dxa"/>
            <w:vAlign w:val="bottom"/>
            <w:tcBorders>
              <w:top w:val="single" w:sz="8" w:color="DBDBDB"/>
            </w:tcBorders>
          </w:tcPr>
          <w:p>
            <w:pPr>
              <w:spacing w:after="0"/>
              <w:rPr>
                <w:sz w:val="24"/>
                <w:szCs w:val="24"/>
                <w:color w:val="auto"/>
              </w:rPr>
            </w:pPr>
          </w:p>
        </w:tc>
        <w:tc>
          <w:tcPr>
            <w:tcW w:w="2780" w:type="dxa"/>
            <w:vAlign w:val="bottom"/>
            <w:tcBorders>
              <w:top w:val="single" w:sz="8" w:color="DBDBDB"/>
            </w:tcBorders>
          </w:tcPr>
          <w:p>
            <w:pPr>
              <w:jc w:val="right"/>
              <w:ind w:right="1928"/>
              <w:spacing w:after="0"/>
              <w:rPr>
                <w:sz w:val="20"/>
                <w:szCs w:val="20"/>
                <w:color w:val="auto"/>
              </w:rPr>
            </w:pPr>
            <w:r>
              <w:rPr>
                <w:rFonts w:ascii="Arial" w:cs="Arial" w:eastAsia="Arial" w:hAnsi="Arial"/>
                <w:sz w:val="10"/>
                <w:szCs w:val="10"/>
                <w:color w:val="auto"/>
              </w:rPr>
              <w:t>8</w:t>
            </w: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DBDBDB"/>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60" w:type="dxa"/>
            <w:vAlign w:val="bottom"/>
            <w:tcBorders>
              <w:top w:val="single" w:sz="8" w:color="DBDBDB"/>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-4596130</wp:posOffset>
            </wp:positionV>
            <wp:extent cx="230886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08860" cy="57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-4716145</wp:posOffset>
            </wp:positionV>
            <wp:extent cx="230886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8860" cy="5715"/>
                    </a:xfrm>
                    <a:prstGeom prst="rect">
                      <a:avLst/>
                    </a:prstGeom>
                    <a:noFill/>
                  </pic:spPr>
                </pic:pic>
              </a:graphicData>
            </a:graphic>
          </wp:anchor>
        </w:drawing>
      </w:r>
    </w:p>
    <w:p>
      <w:pPr>
        <w:sectPr>
          <w:pgSz w:w="11900" w:h="16838" w:orient="portrait"/>
          <w:cols w:equalWidth="0" w:num="1">
            <w:col w:w="11280"/>
          </w:cols>
          <w:pgMar w:left="300" w:top="559"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t>ACADEMY SPORTS AND OUTDOORS,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RECONCILIATIONS OF GAAP TO NON-GAAP FINANCIAL MEASURES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 and Adjusted EBIT</w:t>
      </w:r>
    </w:p>
    <w:p>
      <w:pPr>
        <w:spacing w:after="0" w:line="44" w:lineRule="exact"/>
        <w:rPr>
          <w:sz w:val="20"/>
          <w:szCs w:val="20"/>
          <w:color w:val="auto"/>
        </w:rPr>
      </w:pPr>
    </w:p>
    <w:p>
      <w:pPr>
        <w:ind w:right="20"/>
        <w:spacing w:after="0" w:line="268" w:lineRule="auto"/>
        <w:rPr>
          <w:sz w:val="20"/>
          <w:szCs w:val="20"/>
          <w:color w:val="auto"/>
        </w:rPr>
      </w:pPr>
      <w:r>
        <w:rPr>
          <w:rFonts w:ascii="Arial" w:cs="Arial" w:eastAsia="Arial" w:hAnsi="Arial"/>
          <w:sz w:val="11"/>
          <w:szCs w:val="11"/>
          <w:color w:val="auto"/>
        </w:rPr>
        <w:t>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Adjusted EBIT in the following table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240" w:type="dxa"/>
            <w:vAlign w:val="bottom"/>
            <w:shd w:val="clear" w:color="auto" w:fill="1928A0"/>
          </w:tcPr>
          <w:p>
            <w:pPr>
              <w:spacing w:after="0"/>
              <w:rPr>
                <w:sz w:val="14"/>
                <w:szCs w:val="14"/>
                <w:color w:val="auto"/>
              </w:rPr>
            </w:pPr>
          </w:p>
        </w:tc>
        <w:tc>
          <w:tcPr>
            <w:tcW w:w="3240" w:type="dxa"/>
            <w:vAlign w:val="bottom"/>
            <w:gridSpan w:val="5"/>
            <w:shd w:val="clear" w:color="auto" w:fill="1928A0"/>
          </w:tcPr>
          <w:p>
            <w:pPr>
              <w:ind w:left="920"/>
              <w:spacing w:after="0"/>
              <w:rPr>
                <w:sz w:val="20"/>
                <w:szCs w:val="20"/>
                <w:color w:val="auto"/>
              </w:rPr>
            </w:pPr>
            <w:r>
              <w:rPr>
                <w:rFonts w:ascii="Arial" w:cs="Arial" w:eastAsia="Arial" w:hAnsi="Arial"/>
                <w:sz w:val="11"/>
                <w:szCs w:val="11"/>
                <w:b w:val="1"/>
                <w:bCs w:val="1"/>
                <w:color w:val="FFFFFF"/>
              </w:rPr>
              <w:t>Fiscal Quarter Ended</w:t>
            </w:r>
          </w:p>
        </w:tc>
        <w:tc>
          <w:tcPr>
            <w:tcW w:w="240" w:type="dxa"/>
            <w:vAlign w:val="bottom"/>
            <w:shd w:val="clear" w:color="auto" w:fill="1928A0"/>
          </w:tcPr>
          <w:p>
            <w:pPr>
              <w:spacing w:after="0"/>
              <w:rPr>
                <w:sz w:val="14"/>
                <w:szCs w:val="14"/>
                <w:color w:val="auto"/>
              </w:rPr>
            </w:pPr>
          </w:p>
        </w:tc>
        <w:tc>
          <w:tcPr>
            <w:tcW w:w="3180" w:type="dxa"/>
            <w:vAlign w:val="bottom"/>
            <w:gridSpan w:val="4"/>
            <w:shd w:val="clear" w:color="auto" w:fill="1928A0"/>
          </w:tcPr>
          <w:p>
            <w:pPr>
              <w:jc w:val="right"/>
              <w:ind w:right="1186"/>
              <w:spacing w:after="0"/>
              <w:rPr>
                <w:sz w:val="20"/>
                <w:szCs w:val="20"/>
                <w:color w:val="auto"/>
              </w:rPr>
            </w:pPr>
            <w:r>
              <w:rPr>
                <w:rFonts w:ascii="Arial" w:cs="Arial" w:eastAsia="Arial" w:hAnsi="Arial"/>
                <w:sz w:val="11"/>
                <w:szCs w:val="11"/>
                <w:b w:val="1"/>
                <w:bCs w:val="1"/>
                <w:color w:val="FFFFFF"/>
              </w:rPr>
              <w:t>Fiscal Year Ended</w:t>
            </w:r>
          </w:p>
        </w:tc>
      </w:tr>
      <w:tr>
        <w:trPr>
          <w:trHeight w:val="163"/>
        </w:trPr>
        <w:tc>
          <w:tcPr>
            <w:tcW w:w="4400" w:type="dxa"/>
            <w:vAlign w:val="bottom"/>
          </w:tcPr>
          <w:p>
            <w:pPr>
              <w:spacing w:after="0"/>
              <w:rPr>
                <w:sz w:val="14"/>
                <w:szCs w:val="14"/>
                <w:color w:val="auto"/>
              </w:rPr>
            </w:pPr>
          </w:p>
        </w:tc>
        <w:tc>
          <w:tcPr>
            <w:tcW w:w="240" w:type="dxa"/>
            <w:vAlign w:val="bottom"/>
            <w:shd w:val="clear" w:color="auto" w:fill="1928A0"/>
          </w:tcPr>
          <w:p>
            <w:pPr>
              <w:spacing w:after="0"/>
              <w:rPr>
                <w:sz w:val="14"/>
                <w:szCs w:val="14"/>
                <w:color w:val="auto"/>
              </w:rPr>
            </w:pPr>
          </w:p>
        </w:tc>
        <w:tc>
          <w:tcPr>
            <w:tcW w:w="150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January 31, 2026</w:t>
            </w:r>
          </w:p>
        </w:tc>
        <w:tc>
          <w:tcPr>
            <w:tcW w:w="240" w:type="dxa"/>
            <w:vAlign w:val="bottom"/>
            <w:shd w:val="clear" w:color="auto" w:fill="1928A0"/>
          </w:tcPr>
          <w:p>
            <w:pPr>
              <w:spacing w:after="0"/>
              <w:rPr>
                <w:sz w:val="14"/>
                <w:szCs w:val="14"/>
                <w:color w:val="auto"/>
              </w:rPr>
            </w:pPr>
          </w:p>
        </w:tc>
        <w:tc>
          <w:tcPr>
            <w:tcW w:w="150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February 1, 2025</w:t>
            </w:r>
          </w:p>
        </w:tc>
        <w:tc>
          <w:tcPr>
            <w:tcW w:w="240" w:type="dxa"/>
            <w:vAlign w:val="bottom"/>
            <w:shd w:val="clear" w:color="auto" w:fill="1928A0"/>
          </w:tcPr>
          <w:p>
            <w:pPr>
              <w:spacing w:after="0"/>
              <w:rPr>
                <w:sz w:val="14"/>
                <w:szCs w:val="14"/>
                <w:color w:val="auto"/>
              </w:rPr>
            </w:pPr>
          </w:p>
        </w:tc>
        <w:tc>
          <w:tcPr>
            <w:tcW w:w="152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January 31, 2026</w:t>
            </w:r>
          </w:p>
        </w:tc>
        <w:tc>
          <w:tcPr>
            <w:tcW w:w="240" w:type="dxa"/>
            <w:vAlign w:val="bottom"/>
            <w:shd w:val="clear" w:color="auto" w:fill="1928A0"/>
          </w:tcPr>
          <w:p>
            <w:pPr>
              <w:spacing w:after="0"/>
              <w:rPr>
                <w:sz w:val="14"/>
                <w:szCs w:val="14"/>
                <w:color w:val="auto"/>
              </w:rPr>
            </w:pPr>
          </w:p>
        </w:tc>
        <w:tc>
          <w:tcPr>
            <w:tcW w:w="1420" w:type="dxa"/>
            <w:vAlign w:val="bottom"/>
            <w:shd w:val="clear" w:color="auto" w:fill="1928A0"/>
          </w:tcPr>
          <w:p>
            <w:pPr>
              <w:jc w:val="right"/>
              <w:ind w:right="366"/>
              <w:spacing w:after="0"/>
              <w:rPr>
                <w:sz w:val="20"/>
                <w:szCs w:val="20"/>
                <w:color w:val="auto"/>
              </w:rPr>
            </w:pPr>
            <w:r>
              <w:rPr>
                <w:rFonts w:ascii="Arial" w:cs="Arial" w:eastAsia="Arial" w:hAnsi="Arial"/>
                <w:sz w:val="11"/>
                <w:szCs w:val="11"/>
                <w:b w:val="1"/>
                <w:bCs w:val="1"/>
                <w:color w:val="FFFFFF"/>
              </w:rPr>
              <w:t>February 1, 2025</w:t>
            </w:r>
          </w:p>
        </w:tc>
      </w:tr>
      <w:tr>
        <w:trPr>
          <w:trHeight w:val="153"/>
        </w:trPr>
        <w:tc>
          <w:tcPr>
            <w:tcW w:w="440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color w:val="auto"/>
              </w:rPr>
              <w:t>Net income (a)</w:t>
            </w: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133,688</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133,631</w:t>
            </w:r>
          </w:p>
        </w:tc>
        <w:tc>
          <w:tcPr>
            <w:tcW w:w="6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376,768</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418,447</w:t>
            </w:r>
          </w:p>
        </w:tc>
      </w:tr>
      <w:tr>
        <w:trPr>
          <w:trHeight w:val="160"/>
        </w:trPr>
        <w:tc>
          <w:tcPr>
            <w:tcW w:w="4400" w:type="dxa"/>
            <w:vAlign w:val="bottom"/>
          </w:tcPr>
          <w:p>
            <w:pPr>
              <w:spacing w:after="0"/>
              <w:rPr>
                <w:sz w:val="20"/>
                <w:szCs w:val="20"/>
                <w:color w:val="auto"/>
              </w:rPr>
            </w:pPr>
            <w:r>
              <w:rPr>
                <w:rFonts w:ascii="Arial" w:cs="Arial" w:eastAsia="Arial" w:hAnsi="Arial"/>
                <w:sz w:val="11"/>
                <w:szCs w:val="11"/>
                <w:color w:val="auto"/>
              </w:rPr>
              <w:t>Interest expense, net</w:t>
            </w: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9,158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9,167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36,214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36,873</w:t>
            </w:r>
          </w:p>
        </w:tc>
      </w:tr>
      <w:tr>
        <w:trPr>
          <w:trHeight w:val="164"/>
        </w:trPr>
        <w:tc>
          <w:tcPr>
            <w:tcW w:w="4400" w:type="dxa"/>
            <w:vAlign w:val="bottom"/>
            <w:shd w:val="clear" w:color="auto" w:fill="DBDBDB"/>
          </w:tcPr>
          <w:p>
            <w:pPr>
              <w:spacing w:after="0"/>
              <w:rPr>
                <w:sz w:val="20"/>
                <w:szCs w:val="20"/>
                <w:color w:val="auto"/>
              </w:rPr>
            </w:pPr>
            <w:r>
              <w:rPr>
                <w:rFonts w:ascii="Arial" w:cs="Arial" w:eastAsia="Arial" w:hAnsi="Arial"/>
                <w:sz w:val="11"/>
                <w:szCs w:val="11"/>
                <w:color w:val="auto"/>
              </w:rPr>
              <w:t>Income tax expense</w:t>
            </w: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30,482</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31,665</w:t>
            </w:r>
          </w:p>
        </w:tc>
        <w:tc>
          <w:tcPr>
            <w:tcW w:w="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109,289</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119,778</w:t>
            </w:r>
          </w:p>
        </w:tc>
      </w:tr>
      <w:tr>
        <w:trPr>
          <w:trHeight w:val="159"/>
        </w:trPr>
        <w:tc>
          <w:tcPr>
            <w:tcW w:w="440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30,791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30,962</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122,866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118,070</w:t>
            </w:r>
          </w:p>
        </w:tc>
      </w:tr>
      <w:tr>
        <w:trPr>
          <w:trHeight w:val="165"/>
        </w:trPr>
        <w:tc>
          <w:tcPr>
            <w:tcW w:w="4400" w:type="dxa"/>
            <w:vAlign w:val="bottom"/>
            <w:shd w:val="clear" w:color="auto" w:fill="DBDBDB"/>
          </w:tcPr>
          <w:p>
            <w:pPr>
              <w:spacing w:after="0"/>
              <w:rPr>
                <w:sz w:val="20"/>
                <w:szCs w:val="20"/>
                <w:color w:val="auto"/>
              </w:rPr>
            </w:pPr>
            <w:r>
              <w:rPr>
                <w:rFonts w:ascii="Arial" w:cs="Arial" w:eastAsia="Arial" w:hAnsi="Arial"/>
                <w:sz w:val="11"/>
                <w:szCs w:val="11"/>
                <w:color w:val="auto"/>
              </w:rPr>
              <w:t>Equity compensation (b)</w:t>
            </w: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(1,548)</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6,240</w:t>
            </w:r>
          </w:p>
        </w:tc>
        <w:tc>
          <w:tcPr>
            <w:tcW w:w="6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21,176</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26,629</w:t>
            </w:r>
          </w:p>
        </w:tc>
      </w:tr>
      <w:tr>
        <w:trPr>
          <w:trHeight w:val="159"/>
        </w:trPr>
        <w:tc>
          <w:tcPr>
            <w:tcW w:w="4400" w:type="dxa"/>
            <w:vAlign w:val="bottom"/>
          </w:tcPr>
          <w:p>
            <w:pPr>
              <w:spacing w:after="0"/>
              <w:rPr>
                <w:sz w:val="20"/>
                <w:szCs w:val="20"/>
                <w:color w:val="auto"/>
              </w:rPr>
            </w:pPr>
            <w:r>
              <w:rPr>
                <w:rFonts w:ascii="Arial" w:cs="Arial" w:eastAsia="Arial" w:hAnsi="Arial"/>
                <w:sz w:val="11"/>
                <w:szCs w:val="11"/>
                <w:color w:val="auto"/>
              </w:rPr>
              <w:t>Write-off of deferred loan costs</w:t>
            </w:r>
          </w:p>
        </w:tc>
        <w:tc>
          <w:tcPr>
            <w:tcW w:w="2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13"/>
                <w:szCs w:val="13"/>
                <w:color w:val="auto"/>
              </w:rPr>
            </w:pPr>
          </w:p>
        </w:tc>
        <w:tc>
          <w:tcPr>
            <w:tcW w:w="1420" w:type="dxa"/>
            <w:vAlign w:val="bottom"/>
          </w:tcPr>
          <w:p>
            <w:pPr>
              <w:jc w:val="right"/>
              <w:ind w:right="6"/>
              <w:spacing w:after="0"/>
              <w:rPr>
                <w:sz w:val="20"/>
                <w:szCs w:val="20"/>
                <w:color w:val="auto"/>
              </w:rPr>
            </w:pPr>
            <w:r>
              <w:rPr>
                <w:rFonts w:ascii="Arial" w:cs="Arial" w:eastAsia="Arial" w:hAnsi="Arial"/>
                <w:sz w:val="11"/>
                <w:szCs w:val="11"/>
                <w:color w:val="auto"/>
              </w:rPr>
              <w:t>449</w:t>
            </w:r>
          </w:p>
        </w:tc>
      </w:tr>
      <w:tr>
        <w:trPr>
          <w:trHeight w:val="151"/>
        </w:trPr>
        <w:tc>
          <w:tcPr>
            <w:tcW w:w="440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EBITDA</w:t>
            </w:r>
          </w:p>
        </w:tc>
        <w:tc>
          <w:tcPr>
            <w:tcW w:w="240" w:type="dxa"/>
            <w:vAlign w:val="bottom"/>
            <w:tcBorders>
              <w:top w:val="single" w:sz="8" w:color="auto"/>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202,571</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211,665</w:t>
            </w:r>
          </w:p>
        </w:tc>
        <w:tc>
          <w:tcPr>
            <w:tcW w:w="6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666,313</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720,246</w:t>
            </w:r>
          </w:p>
        </w:tc>
      </w:tr>
      <w:tr>
        <w:trPr>
          <w:trHeight w:val="151"/>
        </w:trPr>
        <w:tc>
          <w:tcPr>
            <w:tcW w:w="440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Less: Depreciation and amortization</w:t>
            </w: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(30,791)</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(30,962)</w:t>
            </w:r>
          </w:p>
        </w:tc>
        <w:tc>
          <w:tcPr>
            <w:tcW w:w="6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(122,866)</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(118,070)</w:t>
            </w:r>
          </w:p>
        </w:tc>
      </w:tr>
      <w:tr>
        <w:trPr>
          <w:trHeight w:val="169"/>
        </w:trPr>
        <w:tc>
          <w:tcPr>
            <w:tcW w:w="44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EBIT</w:t>
            </w: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171,780</w:t>
            </w:r>
          </w:p>
        </w:tc>
        <w:tc>
          <w:tcPr>
            <w:tcW w:w="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180,703</w:t>
            </w:r>
          </w:p>
        </w:tc>
        <w:tc>
          <w:tcPr>
            <w:tcW w:w="6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543,447</w:t>
            </w:r>
          </w:p>
        </w:tc>
        <w:tc>
          <w:tcPr>
            <w:tcW w:w="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602,176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-1079500</wp:posOffset>
            </wp:positionV>
            <wp:extent cx="43834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3405" cy="5715"/>
                    </a:xfrm>
                    <a:prstGeom prst="rect">
                      <a:avLst/>
                    </a:prstGeom>
                    <a:noFill/>
                  </pic:spPr>
                </pic:pic>
              </a:graphicData>
            </a:graphic>
          </wp:anchor>
        </w:drawing>
      </w:r>
    </w:p>
    <w:p>
      <w:pPr>
        <w:spacing w:after="0" w:line="31" w:lineRule="exact"/>
        <w:rPr>
          <w:sz w:val="20"/>
          <w:szCs w:val="20"/>
          <w:color w:val="auto"/>
        </w:rPr>
      </w:pPr>
    </w:p>
    <w:p>
      <w:pPr>
        <w:ind w:left="380" w:hanging="376"/>
        <w:spacing w:after="0"/>
        <w:tabs>
          <w:tab w:leader="none" w:pos="380" w:val="left"/>
        </w:tabs>
        <w:numPr>
          <w:ilvl w:val="0"/>
          <w:numId w:val="7"/>
        </w:numPr>
        <w:rPr>
          <w:rFonts w:ascii="Arial" w:cs="Arial" w:eastAsia="Arial" w:hAnsi="Arial"/>
          <w:sz w:val="8"/>
          <w:szCs w:val="8"/>
          <w:color w:val="auto"/>
        </w:rPr>
      </w:pPr>
      <w:r>
        <w:rPr>
          <w:rFonts w:ascii="Arial" w:cs="Arial" w:eastAsia="Arial" w:hAnsi="Arial"/>
          <w:sz w:val="8"/>
          <w:szCs w:val="8"/>
          <w:color w:val="auto"/>
        </w:rPr>
        <w:t>Net income for the year ended February 1, 2025, includes a $15.0 million gain pertaining to a litigation settlement which occurred in the fourth quarter of fiscal year 2024.</w:t>
      </w:r>
    </w:p>
    <w:p>
      <w:pPr>
        <w:spacing w:after="0" w:line="43" w:lineRule="exact"/>
        <w:rPr>
          <w:rFonts w:ascii="Arial" w:cs="Arial" w:eastAsia="Arial" w:hAnsi="Arial"/>
          <w:sz w:val="8"/>
          <w:szCs w:val="8"/>
          <w:color w:val="auto"/>
        </w:rPr>
      </w:pPr>
    </w:p>
    <w:p>
      <w:pPr>
        <w:ind w:left="380" w:hanging="376"/>
        <w:spacing w:after="0"/>
        <w:tabs>
          <w:tab w:leader="none" w:pos="380" w:val="left"/>
        </w:tabs>
        <w:numPr>
          <w:ilvl w:val="0"/>
          <w:numId w:val="7"/>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300"/>
          </w:cols>
          <w:pgMar w:left="300" w:top="721"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240" w:type="dxa"/>
            <w:vAlign w:val="bottom"/>
            <w:shd w:val="clear" w:color="auto" w:fill="1928A0"/>
          </w:tcPr>
          <w:p>
            <w:pPr>
              <w:spacing w:after="0"/>
              <w:rPr>
                <w:sz w:val="14"/>
                <w:szCs w:val="14"/>
                <w:color w:val="auto"/>
              </w:rPr>
            </w:pPr>
          </w:p>
        </w:tc>
        <w:tc>
          <w:tcPr>
            <w:tcW w:w="3260" w:type="dxa"/>
            <w:vAlign w:val="bottom"/>
            <w:gridSpan w:val="5"/>
            <w:shd w:val="clear" w:color="auto" w:fill="1928A0"/>
          </w:tcPr>
          <w:p>
            <w:pPr>
              <w:ind w:left="940"/>
              <w:spacing w:after="0"/>
              <w:rPr>
                <w:sz w:val="20"/>
                <w:szCs w:val="20"/>
                <w:color w:val="auto"/>
              </w:rPr>
            </w:pPr>
            <w:r>
              <w:rPr>
                <w:rFonts w:ascii="Arial" w:cs="Arial" w:eastAsia="Arial" w:hAnsi="Arial"/>
                <w:sz w:val="11"/>
                <w:szCs w:val="11"/>
                <w:b w:val="1"/>
                <w:bCs w:val="1"/>
                <w:color w:val="FFFFFF"/>
              </w:rPr>
              <w:t>Fiscal Quarter Ended</w:t>
            </w:r>
          </w:p>
        </w:tc>
        <w:tc>
          <w:tcPr>
            <w:tcW w:w="240" w:type="dxa"/>
            <w:vAlign w:val="bottom"/>
            <w:shd w:val="clear" w:color="auto" w:fill="1928A0"/>
          </w:tcPr>
          <w:p>
            <w:pPr>
              <w:spacing w:after="0"/>
              <w:rPr>
                <w:sz w:val="14"/>
                <w:szCs w:val="14"/>
                <w:color w:val="auto"/>
              </w:rPr>
            </w:pPr>
          </w:p>
        </w:tc>
        <w:tc>
          <w:tcPr>
            <w:tcW w:w="3180" w:type="dxa"/>
            <w:vAlign w:val="bottom"/>
            <w:gridSpan w:val="4"/>
            <w:shd w:val="clear" w:color="auto" w:fill="1928A0"/>
          </w:tcPr>
          <w:p>
            <w:pPr>
              <w:jc w:val="right"/>
              <w:ind w:right="1206"/>
              <w:spacing w:after="0"/>
              <w:rPr>
                <w:sz w:val="20"/>
                <w:szCs w:val="20"/>
                <w:color w:val="auto"/>
              </w:rPr>
            </w:pPr>
            <w:r>
              <w:rPr>
                <w:rFonts w:ascii="Arial" w:cs="Arial" w:eastAsia="Arial" w:hAnsi="Arial"/>
                <w:sz w:val="11"/>
                <w:szCs w:val="11"/>
                <w:b w:val="1"/>
                <w:bCs w:val="1"/>
                <w:color w:val="FFFFFF"/>
              </w:rPr>
              <w:t>Fiscal Year Ended</w:t>
            </w:r>
          </w:p>
        </w:tc>
      </w:tr>
      <w:tr>
        <w:trPr>
          <w:trHeight w:val="163"/>
        </w:trPr>
        <w:tc>
          <w:tcPr>
            <w:tcW w:w="4380" w:type="dxa"/>
            <w:vAlign w:val="bottom"/>
          </w:tcPr>
          <w:p>
            <w:pPr>
              <w:spacing w:after="0"/>
              <w:rPr>
                <w:sz w:val="14"/>
                <w:szCs w:val="14"/>
                <w:color w:val="auto"/>
              </w:rPr>
            </w:pPr>
          </w:p>
        </w:tc>
        <w:tc>
          <w:tcPr>
            <w:tcW w:w="240" w:type="dxa"/>
            <w:vAlign w:val="bottom"/>
            <w:shd w:val="clear" w:color="auto" w:fill="1928A0"/>
          </w:tcPr>
          <w:p>
            <w:pPr>
              <w:spacing w:after="0"/>
              <w:rPr>
                <w:sz w:val="14"/>
                <w:szCs w:val="14"/>
                <w:color w:val="auto"/>
              </w:rPr>
            </w:pPr>
          </w:p>
        </w:tc>
        <w:tc>
          <w:tcPr>
            <w:tcW w:w="150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January 31, 2026</w:t>
            </w:r>
          </w:p>
        </w:tc>
        <w:tc>
          <w:tcPr>
            <w:tcW w:w="260" w:type="dxa"/>
            <w:vAlign w:val="bottom"/>
            <w:shd w:val="clear" w:color="auto" w:fill="1928A0"/>
          </w:tcPr>
          <w:p>
            <w:pPr>
              <w:spacing w:after="0"/>
              <w:rPr>
                <w:sz w:val="14"/>
                <w:szCs w:val="14"/>
                <w:color w:val="auto"/>
              </w:rPr>
            </w:pPr>
          </w:p>
        </w:tc>
        <w:tc>
          <w:tcPr>
            <w:tcW w:w="150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February 1, 2025</w:t>
            </w:r>
          </w:p>
        </w:tc>
        <w:tc>
          <w:tcPr>
            <w:tcW w:w="240" w:type="dxa"/>
            <w:vAlign w:val="bottom"/>
            <w:shd w:val="clear" w:color="auto" w:fill="1928A0"/>
          </w:tcPr>
          <w:p>
            <w:pPr>
              <w:spacing w:after="0"/>
              <w:rPr>
                <w:sz w:val="14"/>
                <w:szCs w:val="14"/>
                <w:color w:val="auto"/>
              </w:rPr>
            </w:pPr>
          </w:p>
        </w:tc>
        <w:tc>
          <w:tcPr>
            <w:tcW w:w="1500" w:type="dxa"/>
            <w:vAlign w:val="bottom"/>
            <w:gridSpan w:val="2"/>
            <w:shd w:val="clear" w:color="auto" w:fill="1928A0"/>
          </w:tcPr>
          <w:p>
            <w:pPr>
              <w:ind w:left="160"/>
              <w:spacing w:after="0"/>
              <w:rPr>
                <w:sz w:val="20"/>
                <w:szCs w:val="20"/>
                <w:color w:val="auto"/>
              </w:rPr>
            </w:pPr>
            <w:r>
              <w:rPr>
                <w:rFonts w:ascii="Arial" w:cs="Arial" w:eastAsia="Arial" w:hAnsi="Arial"/>
                <w:sz w:val="11"/>
                <w:szCs w:val="11"/>
                <w:b w:val="1"/>
                <w:bCs w:val="1"/>
                <w:color w:val="FFFFFF"/>
              </w:rPr>
              <w:t>January 31, 2026</w:t>
            </w:r>
          </w:p>
        </w:tc>
        <w:tc>
          <w:tcPr>
            <w:tcW w:w="240" w:type="dxa"/>
            <w:vAlign w:val="bottom"/>
            <w:shd w:val="clear" w:color="auto" w:fill="1928A0"/>
          </w:tcPr>
          <w:p>
            <w:pPr>
              <w:spacing w:after="0"/>
              <w:rPr>
                <w:sz w:val="14"/>
                <w:szCs w:val="14"/>
                <w:color w:val="auto"/>
              </w:rPr>
            </w:pPr>
          </w:p>
        </w:tc>
        <w:tc>
          <w:tcPr>
            <w:tcW w:w="1440" w:type="dxa"/>
            <w:vAlign w:val="bottom"/>
            <w:shd w:val="clear" w:color="auto" w:fill="1928A0"/>
          </w:tcPr>
          <w:p>
            <w:pPr>
              <w:jc w:val="right"/>
              <w:ind w:right="366"/>
              <w:spacing w:after="0"/>
              <w:rPr>
                <w:sz w:val="20"/>
                <w:szCs w:val="20"/>
                <w:color w:val="auto"/>
              </w:rPr>
            </w:pPr>
            <w:r>
              <w:rPr>
                <w:rFonts w:ascii="Arial" w:cs="Arial" w:eastAsia="Arial" w:hAnsi="Arial"/>
                <w:sz w:val="11"/>
                <w:szCs w:val="11"/>
                <w:b w:val="1"/>
                <w:bCs w:val="1"/>
                <w:color w:val="FFFFFF"/>
              </w:rPr>
              <w:t>February 1, 2025</w:t>
            </w:r>
          </w:p>
        </w:tc>
      </w:tr>
      <w:tr>
        <w:trPr>
          <w:trHeight w:val="153"/>
        </w:trPr>
        <w:tc>
          <w:tcPr>
            <w:tcW w:w="438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color w:val="auto"/>
              </w:rPr>
              <w:t>Net income (a)</w:t>
            </w:r>
          </w:p>
        </w:tc>
        <w:tc>
          <w:tcPr>
            <w:tcW w:w="240" w:type="dxa"/>
            <w:vAlign w:val="bottom"/>
            <w:tcBorders>
              <w:top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133,688</w:t>
            </w:r>
          </w:p>
        </w:tc>
        <w:tc>
          <w:tcPr>
            <w:tcW w:w="60" w:type="dxa"/>
            <w:vAlign w:val="bottom"/>
            <w:tcBorders>
              <w:top w:val="single" w:sz="8" w:color="DBDBDB"/>
            </w:tcBorders>
            <w:shd w:val="clear" w:color="auto" w:fill="DBDBDB"/>
          </w:tcPr>
          <w:p>
            <w:pPr>
              <w:spacing w:after="0"/>
              <w:rPr>
                <w:sz w:val="13"/>
                <w:szCs w:val="13"/>
                <w:color w:val="auto"/>
              </w:rPr>
            </w:pPr>
          </w:p>
        </w:tc>
        <w:tc>
          <w:tcPr>
            <w:tcW w:w="260" w:type="dxa"/>
            <w:vAlign w:val="bottom"/>
            <w:tcBorders>
              <w:top w:val="single" w:sz="8" w:color="auto"/>
            </w:tcBorders>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133,631</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376,768</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418,447</w:t>
            </w:r>
          </w:p>
        </w:tc>
      </w:tr>
      <w:tr>
        <w:trPr>
          <w:trHeight w:val="160"/>
        </w:trPr>
        <w:tc>
          <w:tcPr>
            <w:tcW w:w="4380" w:type="dxa"/>
            <w:vAlign w:val="bottom"/>
          </w:tcPr>
          <w:p>
            <w:pPr>
              <w:spacing w:after="0"/>
              <w:rPr>
                <w:sz w:val="20"/>
                <w:szCs w:val="20"/>
                <w:color w:val="auto"/>
              </w:rPr>
            </w:pPr>
            <w:r>
              <w:rPr>
                <w:rFonts w:ascii="Arial" w:cs="Arial" w:eastAsia="Arial" w:hAnsi="Arial"/>
                <w:sz w:val="11"/>
                <w:szCs w:val="11"/>
                <w:color w:val="auto"/>
              </w:rPr>
              <w:t>Equity compensation (b)</w:t>
            </w:r>
          </w:p>
        </w:tc>
        <w:tc>
          <w:tcPr>
            <w:tcW w:w="2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(1,548)</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6,240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21,176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26,629</w:t>
            </w:r>
          </w:p>
        </w:tc>
      </w:tr>
      <w:tr>
        <w:trPr>
          <w:trHeight w:val="164"/>
        </w:trPr>
        <w:tc>
          <w:tcPr>
            <w:tcW w:w="4380" w:type="dxa"/>
            <w:vAlign w:val="bottom"/>
            <w:shd w:val="clear" w:color="auto" w:fill="DBDBDB"/>
          </w:tcPr>
          <w:p>
            <w:pPr>
              <w:spacing w:after="0"/>
              <w:rPr>
                <w:sz w:val="20"/>
                <w:szCs w:val="20"/>
                <w:color w:val="auto"/>
              </w:rPr>
            </w:pPr>
            <w:r>
              <w:rPr>
                <w:rFonts w:ascii="Arial" w:cs="Arial" w:eastAsia="Arial" w:hAnsi="Arial"/>
                <w:sz w:val="11"/>
                <w:szCs w:val="11"/>
                <w:color w:val="auto"/>
              </w:rPr>
              <w:t>Write off of deferred loan costs</w:t>
            </w:r>
          </w:p>
        </w:tc>
        <w:tc>
          <w:tcPr>
            <w:tcW w:w="24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shd w:val="clear" w:color="auto" w:fill="DBDBDB"/>
          </w:tcPr>
          <w:p>
            <w:pPr>
              <w:spacing w:after="0"/>
              <w:rPr>
                <w:sz w:val="14"/>
                <w:szCs w:val="14"/>
                <w:color w:val="auto"/>
              </w:rPr>
            </w:pPr>
          </w:p>
        </w:tc>
        <w:tc>
          <w:tcPr>
            <w:tcW w:w="1500" w:type="dxa"/>
            <w:vAlign w:val="bottom"/>
            <w:gridSpan w:val="2"/>
            <w:shd w:val="clear" w:color="auto" w:fill="DBDBDB"/>
          </w:tcPr>
          <w:p>
            <w:pPr>
              <w:jc w:val="right"/>
              <w:ind w:right="120"/>
              <w:spacing w:after="0"/>
              <w:rPr>
                <w:sz w:val="20"/>
                <w:szCs w:val="20"/>
                <w:color w:val="auto"/>
              </w:rPr>
            </w:pPr>
            <w:r>
              <w:rPr>
                <w:rFonts w:ascii="Arial" w:cs="Arial" w:eastAsia="Arial" w:hAnsi="Arial"/>
                <w:sz w:val="11"/>
                <w:szCs w:val="11"/>
                <w:b w:val="1"/>
                <w:bCs w:val="1"/>
                <w:color w:val="auto"/>
              </w:rPr>
              <w:t>—</w:t>
            </w: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449</w:t>
            </w:r>
          </w:p>
        </w:tc>
      </w:tr>
      <w:tr>
        <w:trPr>
          <w:trHeight w:val="160"/>
        </w:trPr>
        <w:tc>
          <w:tcPr>
            <w:tcW w:w="43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Tax effects of these adjustments (c)</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801</w:t>
            </w:r>
          </w:p>
        </w:tc>
        <w:tc>
          <w:tcPr>
            <w:tcW w:w="6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(1,112)</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(4,761)</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(6,038)</w:t>
            </w:r>
          </w:p>
        </w:tc>
      </w:tr>
      <w:tr>
        <w:trPr>
          <w:trHeight w:val="153"/>
        </w:trPr>
        <w:tc>
          <w:tcPr>
            <w:tcW w:w="43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Adjusted Net Income</w:t>
            </w: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132,941</w:t>
            </w:r>
          </w:p>
        </w:tc>
        <w:tc>
          <w:tcPr>
            <w:tcW w:w="6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138,759</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393,183</w:t>
            </w: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439,487</w:t>
            </w:r>
          </w:p>
        </w:tc>
      </w:tr>
      <w:tr>
        <w:trPr>
          <w:trHeight w:val="99"/>
        </w:trPr>
        <w:tc>
          <w:tcPr>
            <w:tcW w:w="4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62"/>
        </w:trPr>
        <w:tc>
          <w:tcPr>
            <w:tcW w:w="4380" w:type="dxa"/>
            <w:vAlign w:val="bottom"/>
            <w:shd w:val="clear" w:color="auto" w:fill="DBDBDB"/>
          </w:tcPr>
          <w:p>
            <w:pPr>
              <w:spacing w:after="0"/>
              <w:rPr>
                <w:sz w:val="20"/>
                <w:szCs w:val="20"/>
                <w:color w:val="auto"/>
              </w:rPr>
            </w:pPr>
            <w:r>
              <w:rPr>
                <w:rFonts w:ascii="Arial" w:cs="Arial" w:eastAsia="Arial" w:hAnsi="Arial"/>
                <w:sz w:val="11"/>
                <w:szCs w:val="11"/>
                <w:color w:val="auto"/>
              </w:rPr>
              <w:t>Earnings per common share</w:t>
            </w: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r>
      <w:tr>
        <w:trPr>
          <w:trHeight w:val="159"/>
        </w:trPr>
        <w:tc>
          <w:tcPr>
            <w:tcW w:w="4380" w:type="dxa"/>
            <w:vAlign w:val="bottom"/>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2.02</w:t>
            </w:r>
          </w:p>
        </w:tc>
        <w:tc>
          <w:tcPr>
            <w:tcW w:w="6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1.93</w:t>
            </w:r>
          </w:p>
        </w:tc>
        <w:tc>
          <w:tcPr>
            <w:tcW w:w="8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5.66</w:t>
            </w:r>
          </w:p>
        </w:tc>
        <w:tc>
          <w:tcPr>
            <w:tcW w:w="8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5.87</w:t>
            </w:r>
          </w:p>
        </w:tc>
      </w:tr>
      <w:tr>
        <w:trPr>
          <w:trHeight w:val="165"/>
        </w:trPr>
        <w:tc>
          <w:tcPr>
            <w:tcW w:w="43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1.98</w:t>
            </w: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5.54</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5.73</w:t>
            </w:r>
          </w:p>
        </w:tc>
      </w:tr>
      <w:tr>
        <w:trPr>
          <w:trHeight w:val="157"/>
        </w:trPr>
        <w:tc>
          <w:tcPr>
            <w:tcW w:w="4380" w:type="dxa"/>
            <w:vAlign w:val="bottom"/>
          </w:tcPr>
          <w:p>
            <w:pPr>
              <w:spacing w:after="0"/>
              <w:rPr>
                <w:sz w:val="20"/>
                <w:szCs w:val="20"/>
                <w:color w:val="auto"/>
              </w:rPr>
            </w:pPr>
            <w:r>
              <w:rPr>
                <w:rFonts w:ascii="Arial" w:cs="Arial" w:eastAsia="Arial" w:hAnsi="Arial"/>
                <w:sz w:val="11"/>
                <w:szCs w:val="11"/>
                <w:color w:val="auto"/>
              </w:rPr>
              <w:t>Adjusted Earnings per Share</w:t>
            </w: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7"/>
        </w:trPr>
        <w:tc>
          <w:tcPr>
            <w:tcW w:w="43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2.01</w:t>
            </w: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2.00</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5.90</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6.16</w:t>
            </w:r>
          </w:p>
        </w:tc>
      </w:tr>
      <w:tr>
        <w:trPr>
          <w:trHeight w:val="160"/>
        </w:trPr>
        <w:tc>
          <w:tcPr>
            <w:tcW w:w="4380" w:type="dxa"/>
            <w:vAlign w:val="bottom"/>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tcPr>
          <w:p>
            <w:pPr>
              <w:jc w:val="right"/>
              <w:ind w:right="106"/>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1.97</w:t>
            </w:r>
          </w:p>
        </w:tc>
        <w:tc>
          <w:tcPr>
            <w:tcW w:w="6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1.96</w:t>
            </w:r>
          </w:p>
        </w:tc>
        <w:tc>
          <w:tcPr>
            <w:tcW w:w="8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5.78</w:t>
            </w:r>
          </w:p>
        </w:tc>
        <w:tc>
          <w:tcPr>
            <w:tcW w:w="8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6.02</w:t>
            </w:r>
          </w:p>
        </w:tc>
      </w:tr>
      <w:tr>
        <w:trPr>
          <w:trHeight w:val="164"/>
        </w:trPr>
        <w:tc>
          <w:tcPr>
            <w:tcW w:w="4380" w:type="dxa"/>
            <w:vAlign w:val="bottom"/>
            <w:shd w:val="clear" w:color="auto" w:fill="DBDBDB"/>
          </w:tcPr>
          <w:p>
            <w:pPr>
              <w:spacing w:after="0"/>
              <w:rPr>
                <w:sz w:val="20"/>
                <w:szCs w:val="20"/>
                <w:color w:val="auto"/>
              </w:rPr>
            </w:pPr>
            <w:r>
              <w:rPr>
                <w:rFonts w:ascii="Arial" w:cs="Arial" w:eastAsia="Arial" w:hAnsi="Arial"/>
                <w:sz w:val="11"/>
                <w:szCs w:val="11"/>
                <w:color w:val="auto"/>
              </w:rPr>
              <w:t>Weighted average common shares outstanding</w:t>
            </w: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r>
      <w:tr>
        <w:trPr>
          <w:trHeight w:val="160"/>
        </w:trPr>
        <w:tc>
          <w:tcPr>
            <w:tcW w:w="4380" w:type="dxa"/>
            <w:vAlign w:val="bottom"/>
          </w:tcPr>
          <w:p>
            <w:pPr>
              <w:ind w:left="140"/>
              <w:spacing w:after="0"/>
              <w:rPr>
                <w:sz w:val="20"/>
                <w:szCs w:val="20"/>
                <w:color w:val="auto"/>
              </w:rPr>
            </w:pPr>
            <w:r>
              <w:rPr>
                <w:rFonts w:ascii="Arial" w:cs="Arial" w:eastAsia="Arial" w:hAnsi="Arial"/>
                <w:sz w:val="11"/>
                <w:szCs w:val="11"/>
                <w:color w:val="auto"/>
              </w:rPr>
              <w:t>Basic</w:t>
            </w:r>
          </w:p>
        </w:tc>
        <w:tc>
          <w:tcPr>
            <w:tcW w:w="2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b w:val="1"/>
                <w:bCs w:val="1"/>
                <w:color w:val="auto"/>
              </w:rPr>
              <w:t>66,141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69,229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b w:val="1"/>
                <w:bCs w:val="1"/>
                <w:color w:val="auto"/>
              </w:rPr>
              <w:t>66,612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
              <w:spacing w:after="0"/>
              <w:rPr>
                <w:sz w:val="20"/>
                <w:szCs w:val="20"/>
                <w:color w:val="auto"/>
              </w:rPr>
            </w:pPr>
            <w:r>
              <w:rPr>
                <w:rFonts w:ascii="Arial" w:cs="Arial" w:eastAsia="Arial" w:hAnsi="Arial"/>
                <w:sz w:val="11"/>
                <w:szCs w:val="11"/>
                <w:color w:val="auto"/>
              </w:rPr>
              <w:t>71,343</w:t>
            </w:r>
          </w:p>
        </w:tc>
      </w:tr>
      <w:tr>
        <w:trPr>
          <w:trHeight w:val="164"/>
        </w:trPr>
        <w:tc>
          <w:tcPr>
            <w:tcW w:w="43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Diluted</w:t>
            </w: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67,596</w:t>
            </w:r>
          </w:p>
        </w:tc>
        <w:tc>
          <w:tcPr>
            <w:tcW w:w="6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70,689</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1"/>
                <w:szCs w:val="11"/>
                <w:b w:val="1"/>
                <w:bCs w:val="1"/>
                <w:color w:val="auto"/>
              </w:rPr>
              <w:t>68,034</w:t>
            </w: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73,048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-1622425</wp:posOffset>
            </wp:positionV>
            <wp:extent cx="43891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89120" cy="5715"/>
                    </a:xfrm>
                    <a:prstGeom prst="rect">
                      <a:avLst/>
                    </a:prstGeom>
                    <a:noFill/>
                  </pic:spPr>
                </pic:pic>
              </a:graphicData>
            </a:graphic>
          </wp:anchor>
        </w:drawing>
      </w:r>
    </w:p>
    <w:p>
      <w:pPr>
        <w:spacing w:after="0" w:line="58" w:lineRule="exact"/>
        <w:rPr>
          <w:sz w:val="20"/>
          <w:szCs w:val="20"/>
          <w:color w:val="auto"/>
        </w:rPr>
      </w:pPr>
    </w:p>
    <w:p>
      <w:pPr>
        <w:ind w:left="380" w:hanging="376"/>
        <w:spacing w:after="0"/>
        <w:tabs>
          <w:tab w:leader="none" w:pos="380" w:val="left"/>
        </w:tabs>
        <w:numPr>
          <w:ilvl w:val="0"/>
          <w:numId w:val="8"/>
        </w:numPr>
        <w:rPr>
          <w:rFonts w:ascii="Arial" w:cs="Arial" w:eastAsia="Arial" w:hAnsi="Arial"/>
          <w:sz w:val="8"/>
          <w:szCs w:val="8"/>
          <w:color w:val="auto"/>
        </w:rPr>
      </w:pPr>
      <w:r>
        <w:rPr>
          <w:rFonts w:ascii="Arial" w:cs="Arial" w:eastAsia="Arial" w:hAnsi="Arial"/>
          <w:sz w:val="8"/>
          <w:szCs w:val="8"/>
          <w:color w:val="auto"/>
        </w:rPr>
        <w:t>Net income for the year ended February 1, 2025, includes a $15.0 million gain pertaining to a litigation settlement which occurred in the fourth quarter of 2024.</w:t>
      </w:r>
    </w:p>
    <w:p>
      <w:pPr>
        <w:spacing w:after="0" w:line="43" w:lineRule="exact"/>
        <w:rPr>
          <w:rFonts w:ascii="Arial" w:cs="Arial" w:eastAsia="Arial" w:hAnsi="Arial"/>
          <w:sz w:val="8"/>
          <w:szCs w:val="8"/>
          <w:color w:val="auto"/>
        </w:rPr>
      </w:pPr>
    </w:p>
    <w:p>
      <w:pPr>
        <w:ind w:left="380" w:hanging="376"/>
        <w:spacing w:after="0"/>
        <w:tabs>
          <w:tab w:leader="none" w:pos="38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43" w:lineRule="exact"/>
        <w:rPr>
          <w:rFonts w:ascii="Arial" w:cs="Arial" w:eastAsia="Arial" w:hAnsi="Arial"/>
          <w:sz w:val="8"/>
          <w:szCs w:val="8"/>
          <w:color w:val="auto"/>
        </w:rPr>
      </w:pPr>
    </w:p>
    <w:p>
      <w:pPr>
        <w:ind w:left="380" w:hanging="376"/>
        <w:spacing w:after="0"/>
        <w:tabs>
          <w:tab w:leader="none" w:pos="380" w:val="left"/>
        </w:tabs>
        <w:numPr>
          <w:ilvl w:val="0"/>
          <w:numId w:val="8"/>
        </w:numPr>
        <w:rPr>
          <w:rFonts w:ascii="Arial" w:cs="Arial" w:eastAsia="Arial" w:hAnsi="Arial"/>
          <w:sz w:val="8"/>
          <w:szCs w:val="8"/>
          <w:color w:val="auto"/>
        </w:rPr>
      </w:pPr>
      <w:r>
        <w:rPr>
          <w:rFonts w:ascii="Arial" w:cs="Arial" w:eastAsia="Arial" w:hAnsi="Arial"/>
          <w:sz w:val="8"/>
          <w:szCs w:val="8"/>
          <w:color w:val="auto"/>
        </w:rPr>
        <w:t>Represents the tax effect of the total adjustments made to arrive at Adjusted Net Income at our historical tax rate.</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Net Income and Adjusted Earnings Per Common Share, Diluted, Guidance Reconciliation (amounts in millions,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60" w:type="dxa"/>
            <w:vAlign w:val="bottom"/>
            <w:shd w:val="clear" w:color="auto" w:fill="1928A0"/>
          </w:tcPr>
          <w:p>
            <w:pPr>
              <w:spacing w:after="0"/>
              <w:rPr>
                <w:sz w:val="14"/>
                <w:szCs w:val="14"/>
                <w:color w:val="auto"/>
              </w:rPr>
            </w:pPr>
          </w:p>
        </w:tc>
        <w:tc>
          <w:tcPr>
            <w:tcW w:w="1740" w:type="dxa"/>
            <w:vAlign w:val="bottom"/>
            <w:shd w:val="clear" w:color="auto" w:fill="1928A0"/>
          </w:tcPr>
          <w:p>
            <w:pPr>
              <w:jc w:val="center"/>
              <w:ind w:left="386"/>
              <w:spacing w:after="0"/>
              <w:rPr>
                <w:sz w:val="20"/>
                <w:szCs w:val="20"/>
                <w:color w:val="auto"/>
              </w:rPr>
            </w:pPr>
            <w:r>
              <w:rPr>
                <w:rFonts w:ascii="Arial" w:cs="Arial" w:eastAsia="Arial" w:hAnsi="Arial"/>
                <w:sz w:val="11"/>
                <w:szCs w:val="11"/>
                <w:b w:val="1"/>
                <w:bCs w:val="1"/>
                <w:color w:val="FFFFFF"/>
                <w:w w:val="98"/>
              </w:rPr>
              <w:t>Low Range*</w:t>
            </w:r>
          </w:p>
        </w:tc>
        <w:tc>
          <w:tcPr>
            <w:tcW w:w="500" w:type="dxa"/>
            <w:vAlign w:val="bottom"/>
            <w:shd w:val="clear" w:color="auto" w:fill="1928A0"/>
          </w:tcPr>
          <w:p>
            <w:pPr>
              <w:spacing w:after="0"/>
              <w:rPr>
                <w:sz w:val="14"/>
                <w:szCs w:val="14"/>
                <w:color w:val="auto"/>
              </w:rPr>
            </w:pPr>
          </w:p>
        </w:tc>
        <w:tc>
          <w:tcPr>
            <w:tcW w:w="80" w:type="dxa"/>
            <w:vAlign w:val="bottom"/>
            <w:shd w:val="clear" w:color="auto" w:fill="1928A0"/>
          </w:tcPr>
          <w:p>
            <w:pPr>
              <w:spacing w:after="0"/>
              <w:rPr>
                <w:sz w:val="14"/>
                <w:szCs w:val="14"/>
                <w:color w:val="auto"/>
              </w:rPr>
            </w:pPr>
          </w:p>
        </w:tc>
        <w:tc>
          <w:tcPr>
            <w:tcW w:w="360" w:type="dxa"/>
            <w:vAlign w:val="bottom"/>
            <w:shd w:val="clear" w:color="auto" w:fill="1928A0"/>
          </w:tcPr>
          <w:p>
            <w:pPr>
              <w:spacing w:after="0"/>
              <w:rPr>
                <w:sz w:val="14"/>
                <w:szCs w:val="14"/>
                <w:color w:val="auto"/>
              </w:rPr>
            </w:pPr>
          </w:p>
        </w:tc>
        <w:tc>
          <w:tcPr>
            <w:tcW w:w="1940" w:type="dxa"/>
            <w:vAlign w:val="bottom"/>
            <w:shd w:val="clear" w:color="auto" w:fill="1928A0"/>
          </w:tcPr>
          <w:p>
            <w:pPr>
              <w:jc w:val="center"/>
              <w:ind w:right="326"/>
              <w:spacing w:after="0"/>
              <w:rPr>
                <w:sz w:val="20"/>
                <w:szCs w:val="20"/>
                <w:color w:val="auto"/>
              </w:rPr>
            </w:pPr>
            <w:r>
              <w:rPr>
                <w:rFonts w:ascii="Arial" w:cs="Arial" w:eastAsia="Arial" w:hAnsi="Arial"/>
                <w:sz w:val="11"/>
                <w:szCs w:val="11"/>
                <w:b w:val="1"/>
                <w:bCs w:val="1"/>
                <w:color w:val="FFFFFF"/>
                <w:w w:val="97"/>
              </w:rPr>
              <w:t>High Range*</w:t>
            </w:r>
          </w:p>
        </w:tc>
      </w:tr>
      <w:tr>
        <w:trPr>
          <w:trHeight w:val="144"/>
        </w:trPr>
        <w:tc>
          <w:tcPr>
            <w:tcW w:w="6620" w:type="dxa"/>
            <w:vAlign w:val="bottom"/>
          </w:tcPr>
          <w:p>
            <w:pPr>
              <w:spacing w:after="0"/>
              <w:rPr>
                <w:sz w:val="12"/>
                <w:szCs w:val="12"/>
                <w:color w:val="auto"/>
              </w:rPr>
            </w:pPr>
          </w:p>
        </w:tc>
        <w:tc>
          <w:tcPr>
            <w:tcW w:w="60" w:type="dxa"/>
            <w:vAlign w:val="bottom"/>
            <w:shd w:val="clear" w:color="auto" w:fill="1928A0"/>
          </w:tcPr>
          <w:p>
            <w:pPr>
              <w:spacing w:after="0"/>
              <w:rPr>
                <w:sz w:val="12"/>
                <w:szCs w:val="12"/>
                <w:color w:val="auto"/>
              </w:rPr>
            </w:pPr>
          </w:p>
        </w:tc>
        <w:tc>
          <w:tcPr>
            <w:tcW w:w="1740" w:type="dxa"/>
            <w:vAlign w:val="bottom"/>
            <w:shd w:val="clear" w:color="auto" w:fill="1928A0"/>
          </w:tcPr>
          <w:p>
            <w:pPr>
              <w:jc w:val="center"/>
              <w:ind w:left="366"/>
              <w:spacing w:after="0"/>
              <w:rPr>
                <w:sz w:val="20"/>
                <w:szCs w:val="20"/>
                <w:color w:val="auto"/>
              </w:rPr>
            </w:pPr>
            <w:r>
              <w:rPr>
                <w:rFonts w:ascii="Arial" w:cs="Arial" w:eastAsia="Arial" w:hAnsi="Arial"/>
                <w:sz w:val="11"/>
                <w:szCs w:val="11"/>
                <w:b w:val="1"/>
                <w:bCs w:val="1"/>
                <w:color w:val="FFFFFF"/>
                <w:w w:val="97"/>
              </w:rPr>
              <w:t>Fiscal Year Ending</w:t>
            </w:r>
          </w:p>
        </w:tc>
        <w:tc>
          <w:tcPr>
            <w:tcW w:w="500" w:type="dxa"/>
            <w:vAlign w:val="bottom"/>
            <w:shd w:val="clear" w:color="auto" w:fill="1928A0"/>
          </w:tcPr>
          <w:p>
            <w:pPr>
              <w:spacing w:after="0"/>
              <w:rPr>
                <w:sz w:val="12"/>
                <w:szCs w:val="12"/>
                <w:color w:val="auto"/>
              </w:rPr>
            </w:pPr>
          </w:p>
        </w:tc>
        <w:tc>
          <w:tcPr>
            <w:tcW w:w="80" w:type="dxa"/>
            <w:vAlign w:val="bottom"/>
            <w:shd w:val="clear" w:color="auto" w:fill="1928A0"/>
          </w:tcPr>
          <w:p>
            <w:pPr>
              <w:spacing w:after="0"/>
              <w:rPr>
                <w:sz w:val="12"/>
                <w:szCs w:val="12"/>
                <w:color w:val="auto"/>
              </w:rPr>
            </w:pPr>
          </w:p>
        </w:tc>
        <w:tc>
          <w:tcPr>
            <w:tcW w:w="360" w:type="dxa"/>
            <w:vAlign w:val="bottom"/>
            <w:shd w:val="clear" w:color="auto" w:fill="1928A0"/>
          </w:tcPr>
          <w:p>
            <w:pPr>
              <w:spacing w:after="0"/>
              <w:rPr>
                <w:sz w:val="12"/>
                <w:szCs w:val="12"/>
                <w:color w:val="auto"/>
              </w:rPr>
            </w:pPr>
          </w:p>
        </w:tc>
        <w:tc>
          <w:tcPr>
            <w:tcW w:w="1940" w:type="dxa"/>
            <w:vAlign w:val="bottom"/>
            <w:shd w:val="clear" w:color="auto" w:fill="1928A0"/>
          </w:tcPr>
          <w:p>
            <w:pPr>
              <w:jc w:val="center"/>
              <w:ind w:right="366"/>
              <w:spacing w:after="0"/>
              <w:rPr>
                <w:sz w:val="20"/>
                <w:szCs w:val="20"/>
                <w:color w:val="auto"/>
              </w:rPr>
            </w:pPr>
            <w:r>
              <w:rPr>
                <w:rFonts w:ascii="Arial" w:cs="Arial" w:eastAsia="Arial" w:hAnsi="Arial"/>
                <w:sz w:val="11"/>
                <w:szCs w:val="11"/>
                <w:b w:val="1"/>
                <w:bCs w:val="1"/>
                <w:color w:val="FFFFFF"/>
                <w:w w:val="97"/>
              </w:rPr>
              <w:t>Fiscal Year Ending</w:t>
            </w:r>
          </w:p>
        </w:tc>
      </w:tr>
      <w:tr>
        <w:trPr>
          <w:trHeight w:val="162"/>
        </w:trPr>
        <w:tc>
          <w:tcPr>
            <w:tcW w:w="6620" w:type="dxa"/>
            <w:vAlign w:val="bottom"/>
          </w:tcPr>
          <w:p>
            <w:pPr>
              <w:spacing w:after="0"/>
              <w:rPr>
                <w:sz w:val="14"/>
                <w:szCs w:val="14"/>
                <w:color w:val="auto"/>
              </w:rPr>
            </w:pPr>
          </w:p>
        </w:tc>
        <w:tc>
          <w:tcPr>
            <w:tcW w:w="60" w:type="dxa"/>
            <w:vAlign w:val="bottom"/>
            <w:shd w:val="clear" w:color="auto" w:fill="1928A0"/>
          </w:tcPr>
          <w:p>
            <w:pPr>
              <w:spacing w:after="0"/>
              <w:rPr>
                <w:sz w:val="14"/>
                <w:szCs w:val="14"/>
                <w:color w:val="auto"/>
              </w:rPr>
            </w:pPr>
          </w:p>
        </w:tc>
        <w:tc>
          <w:tcPr>
            <w:tcW w:w="1740" w:type="dxa"/>
            <w:vAlign w:val="bottom"/>
            <w:shd w:val="clear" w:color="auto" w:fill="1928A0"/>
          </w:tcPr>
          <w:p>
            <w:pPr>
              <w:jc w:val="center"/>
              <w:ind w:left="386"/>
              <w:spacing w:after="0"/>
              <w:rPr>
                <w:sz w:val="20"/>
                <w:szCs w:val="20"/>
                <w:color w:val="auto"/>
              </w:rPr>
            </w:pPr>
            <w:r>
              <w:rPr>
                <w:rFonts w:ascii="Arial" w:cs="Arial" w:eastAsia="Arial" w:hAnsi="Arial"/>
                <w:sz w:val="11"/>
                <w:szCs w:val="11"/>
                <w:b w:val="1"/>
                <w:bCs w:val="1"/>
                <w:color w:val="FFFFFF"/>
                <w:w w:val="97"/>
              </w:rPr>
              <w:t>January 30, 2027</w:t>
            </w:r>
          </w:p>
        </w:tc>
        <w:tc>
          <w:tcPr>
            <w:tcW w:w="500" w:type="dxa"/>
            <w:vAlign w:val="bottom"/>
            <w:shd w:val="clear" w:color="auto" w:fill="1928A0"/>
          </w:tcPr>
          <w:p>
            <w:pPr>
              <w:spacing w:after="0"/>
              <w:rPr>
                <w:sz w:val="14"/>
                <w:szCs w:val="14"/>
                <w:color w:val="auto"/>
              </w:rPr>
            </w:pPr>
          </w:p>
        </w:tc>
        <w:tc>
          <w:tcPr>
            <w:tcW w:w="80" w:type="dxa"/>
            <w:vAlign w:val="bottom"/>
            <w:shd w:val="clear" w:color="auto" w:fill="1928A0"/>
          </w:tcPr>
          <w:p>
            <w:pPr>
              <w:spacing w:after="0"/>
              <w:rPr>
                <w:sz w:val="14"/>
                <w:szCs w:val="14"/>
                <w:color w:val="auto"/>
              </w:rPr>
            </w:pPr>
          </w:p>
        </w:tc>
        <w:tc>
          <w:tcPr>
            <w:tcW w:w="360" w:type="dxa"/>
            <w:vAlign w:val="bottom"/>
            <w:shd w:val="clear" w:color="auto" w:fill="1928A0"/>
          </w:tcPr>
          <w:p>
            <w:pPr>
              <w:spacing w:after="0"/>
              <w:rPr>
                <w:sz w:val="14"/>
                <w:szCs w:val="14"/>
                <w:color w:val="auto"/>
              </w:rPr>
            </w:pPr>
          </w:p>
        </w:tc>
        <w:tc>
          <w:tcPr>
            <w:tcW w:w="1940" w:type="dxa"/>
            <w:vAlign w:val="bottom"/>
            <w:shd w:val="clear" w:color="auto" w:fill="1928A0"/>
          </w:tcPr>
          <w:p>
            <w:pPr>
              <w:jc w:val="center"/>
              <w:ind w:right="306"/>
              <w:spacing w:after="0"/>
              <w:rPr>
                <w:sz w:val="20"/>
                <w:szCs w:val="20"/>
                <w:color w:val="auto"/>
              </w:rPr>
            </w:pPr>
            <w:r>
              <w:rPr>
                <w:rFonts w:ascii="Arial" w:cs="Arial" w:eastAsia="Arial" w:hAnsi="Arial"/>
                <w:sz w:val="11"/>
                <w:szCs w:val="11"/>
                <w:b w:val="1"/>
                <w:bCs w:val="1"/>
                <w:color w:val="FFFFFF"/>
                <w:w w:val="97"/>
              </w:rPr>
              <w:t>January 30, 2027</w:t>
            </w:r>
          </w:p>
        </w:tc>
      </w:tr>
      <w:tr>
        <w:trPr>
          <w:trHeight w:val="171"/>
        </w:trPr>
        <w:tc>
          <w:tcPr>
            <w:tcW w:w="6620" w:type="dxa"/>
            <w:vAlign w:val="bottom"/>
            <w:shd w:val="clear" w:color="auto" w:fill="DBDBDB"/>
          </w:tcPr>
          <w:p>
            <w:pPr>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highlight w:val="lightGray"/>
                <w:w w:val="71"/>
              </w:rPr>
              <w:t>$</w:t>
            </w:r>
          </w:p>
        </w:tc>
        <w:tc>
          <w:tcPr>
            <w:tcW w:w="17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highlight w:val="lightGray"/>
              </w:rPr>
              <w:t>380.0</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51"/>
              <w:spacing w:after="0"/>
              <w:rPr>
                <w:sz w:val="20"/>
                <w:szCs w:val="20"/>
                <w:color w:val="auto"/>
              </w:rPr>
            </w:pPr>
            <w:r>
              <w:rPr>
                <w:rFonts w:ascii="Arial" w:cs="Arial" w:eastAsia="Arial" w:hAnsi="Arial"/>
                <w:sz w:val="10"/>
                <w:szCs w:val="10"/>
                <w:color w:val="auto"/>
                <w:highlight w:val="lightGray"/>
                <w:w w:val="71"/>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highlight w:val="lightGray"/>
              </w:rPr>
              <w:t>415.0</w:t>
            </w:r>
          </w:p>
        </w:tc>
      </w:tr>
      <w:tr>
        <w:trPr>
          <w:trHeight w:val="156"/>
        </w:trPr>
        <w:tc>
          <w:tcPr>
            <w:tcW w:w="6620" w:type="dxa"/>
            <w:vAlign w:val="bottom"/>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30.0</w:t>
            </w:r>
          </w:p>
        </w:tc>
        <w:tc>
          <w:tcPr>
            <w:tcW w:w="440" w:type="dxa"/>
            <w:vAlign w:val="bottom"/>
            <w:gridSpan w:val="2"/>
          </w:tcPr>
          <w:p>
            <w:pPr>
              <w:jc w:val="right"/>
              <w:ind w:right="251"/>
              <w:spacing w:after="0"/>
              <w:rPr>
                <w:sz w:val="20"/>
                <w:szCs w:val="20"/>
                <w:color w:val="auto"/>
              </w:rPr>
            </w:pPr>
            <w:r>
              <w:rPr>
                <w:rFonts w:ascii="Arial" w:cs="Arial" w:eastAsia="Arial" w:hAnsi="Arial"/>
                <w:sz w:val="11"/>
                <w:szCs w:val="11"/>
                <w:color w:val="auto"/>
              </w:rPr>
              <w:t>$</w:t>
            </w:r>
          </w:p>
        </w:tc>
        <w:tc>
          <w:tcPr>
            <w:tcW w:w="1940" w:type="dxa"/>
            <w:vAlign w:val="bottom"/>
          </w:tcPr>
          <w:p>
            <w:pPr>
              <w:jc w:val="right"/>
              <w:ind w:right="6"/>
              <w:spacing w:after="0"/>
              <w:rPr>
                <w:sz w:val="20"/>
                <w:szCs w:val="20"/>
                <w:color w:val="auto"/>
              </w:rPr>
            </w:pPr>
            <w:r>
              <w:rPr>
                <w:rFonts w:ascii="Arial" w:cs="Arial" w:eastAsia="Arial" w:hAnsi="Arial"/>
                <w:sz w:val="11"/>
                <w:szCs w:val="11"/>
                <w:color w:val="auto"/>
              </w:rPr>
              <w:t>30.0</w:t>
            </w:r>
          </w:p>
        </w:tc>
      </w:tr>
      <w:tr>
        <w:trPr>
          <w:trHeight w:val="173"/>
        </w:trPr>
        <w:tc>
          <w:tcPr>
            <w:tcW w:w="662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Net Income</w:t>
            </w:r>
          </w:p>
        </w:tc>
        <w:tc>
          <w:tcPr>
            <w:tcW w:w="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highlight w:val="lightGray"/>
                <w:w w:val="71"/>
              </w:rPr>
              <w:t>$</w:t>
            </w:r>
          </w:p>
        </w:tc>
        <w:tc>
          <w:tcPr>
            <w:tcW w:w="1740" w:type="dxa"/>
            <w:vAlign w:val="bottom"/>
            <w:tcBorders>
              <w:top w:val="single" w:sz="8" w:color="auto"/>
              <w:bottom w:val="single" w:sz="8" w:color="auto"/>
            </w:tcBorders>
            <w:shd w:val="clear" w:color="auto" w:fill="DBDBDB"/>
          </w:tcPr>
          <w:p>
            <w:pPr>
              <w:spacing w:after="0"/>
              <w:rPr>
                <w:sz w:val="15"/>
                <w:szCs w:val="15"/>
                <w:color w:val="auto"/>
              </w:rPr>
            </w:pPr>
          </w:p>
        </w:tc>
        <w:tc>
          <w:tcPr>
            <w:tcW w:w="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highlight w:val="lightGray"/>
              </w:rPr>
              <w:t>410.0</w:t>
            </w:r>
          </w:p>
        </w:tc>
        <w:tc>
          <w:tcPr>
            <w:tcW w:w="80" w:type="dxa"/>
            <w:vAlign w:val="bottom"/>
            <w:tcBorders>
              <w:top w:val="single" w:sz="8" w:color="DBDBDB"/>
              <w:bottom w:val="single" w:sz="8" w:color="DBDBDB"/>
            </w:tcBorders>
            <w:shd w:val="clear" w:color="auto" w:fill="DBDBDB"/>
          </w:tcPr>
          <w:p>
            <w:pPr>
              <w:spacing w:after="0"/>
              <w:rPr>
                <w:sz w:val="15"/>
                <w:szCs w:val="15"/>
                <w:color w:val="auto"/>
              </w:rPr>
            </w:pPr>
          </w:p>
        </w:tc>
        <w:tc>
          <w:tcPr>
            <w:tcW w:w="360" w:type="dxa"/>
            <w:vAlign w:val="bottom"/>
            <w:tcBorders>
              <w:top w:val="single" w:sz="8" w:color="auto"/>
              <w:bottom w:val="single" w:sz="8" w:color="auto"/>
            </w:tcBorders>
            <w:shd w:val="clear" w:color="auto" w:fill="DBDBDB"/>
          </w:tcPr>
          <w:p>
            <w:pPr>
              <w:jc w:val="right"/>
              <w:ind w:right="251"/>
              <w:spacing w:after="0"/>
              <w:rPr>
                <w:sz w:val="20"/>
                <w:szCs w:val="20"/>
                <w:color w:val="auto"/>
              </w:rPr>
            </w:pPr>
            <w:r>
              <w:rPr>
                <w:rFonts w:ascii="Arial" w:cs="Arial" w:eastAsia="Arial" w:hAnsi="Arial"/>
                <w:sz w:val="10"/>
                <w:szCs w:val="10"/>
                <w:color w:val="auto"/>
                <w:highlight w:val="lightGray"/>
                <w:w w:val="71"/>
              </w:rPr>
              <w:t>$</w:t>
            </w:r>
          </w:p>
        </w:tc>
        <w:tc>
          <w:tcPr>
            <w:tcW w:w="1940" w:type="dxa"/>
            <w:vAlign w:val="bottom"/>
            <w:tcBorders>
              <w:top w:val="single" w:sz="8" w:color="auto"/>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highlight w:val="lightGray"/>
              </w:rPr>
              <w:t>445.0</w:t>
            </w:r>
          </w:p>
        </w:tc>
      </w:tr>
      <w:tr>
        <w:trPr>
          <w:trHeight w:val="162"/>
        </w:trPr>
        <w:tc>
          <w:tcPr>
            <w:tcW w:w="6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2"/>
        </w:trPr>
        <w:tc>
          <w:tcPr>
            <w:tcW w:w="6620" w:type="dxa"/>
            <w:vAlign w:val="bottom"/>
            <w:shd w:val="clear" w:color="auto" w:fill="DBDBDB"/>
          </w:tcPr>
          <w:p>
            <w:pPr>
              <w:spacing w:after="0"/>
              <w:rPr>
                <w:sz w:val="20"/>
                <w:szCs w:val="20"/>
                <w:color w:val="auto"/>
              </w:rPr>
            </w:pPr>
            <w:r>
              <w:rPr>
                <w:rFonts w:ascii="Arial" w:cs="Arial" w:eastAsia="Arial" w:hAnsi="Arial"/>
                <w:sz w:val="11"/>
                <w:szCs w:val="11"/>
                <w:color w:val="auto"/>
              </w:rPr>
              <w:t>Earnings Per Common Share, Diluted</w:t>
            </w:r>
          </w:p>
        </w:tc>
        <w:tc>
          <w:tcPr>
            <w:tcW w:w="60" w:type="dxa"/>
            <w:vAlign w:val="bottom"/>
            <w:shd w:val="clear" w:color="auto" w:fill="DBDBDB"/>
          </w:tcPr>
          <w:p>
            <w:pPr>
              <w:jc w:val="right"/>
              <w:spacing w:after="0"/>
              <w:rPr>
                <w:sz w:val="20"/>
                <w:szCs w:val="20"/>
                <w:color w:val="auto"/>
              </w:rPr>
            </w:pPr>
            <w:r>
              <w:rPr>
                <w:rFonts w:ascii="Arial" w:cs="Arial" w:eastAsia="Arial" w:hAnsi="Arial"/>
                <w:sz w:val="10"/>
                <w:szCs w:val="10"/>
                <w:color w:val="auto"/>
                <w:highlight w:val="lightGray"/>
                <w:w w:val="71"/>
              </w:rPr>
              <w:t>$</w:t>
            </w:r>
          </w:p>
        </w:tc>
        <w:tc>
          <w:tcPr>
            <w:tcW w:w="1740" w:type="dxa"/>
            <w:vAlign w:val="bottom"/>
            <w:shd w:val="clear" w:color="auto" w:fill="DBDBDB"/>
          </w:tcPr>
          <w:p>
            <w:pPr>
              <w:spacing w:after="0"/>
              <w:rPr>
                <w:sz w:val="14"/>
                <w:szCs w:val="14"/>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highlight w:val="lightGray"/>
              </w:rPr>
              <w:t>5.65</w:t>
            </w:r>
          </w:p>
        </w:tc>
        <w:tc>
          <w:tcPr>
            <w:tcW w:w="80" w:type="dxa"/>
            <w:vAlign w:val="bottom"/>
            <w:shd w:val="clear" w:color="auto" w:fill="DBDBDB"/>
          </w:tcPr>
          <w:p>
            <w:pPr>
              <w:spacing w:after="0"/>
              <w:rPr>
                <w:sz w:val="14"/>
                <w:szCs w:val="14"/>
                <w:color w:val="auto"/>
              </w:rPr>
            </w:pPr>
          </w:p>
        </w:tc>
        <w:tc>
          <w:tcPr>
            <w:tcW w:w="360" w:type="dxa"/>
            <w:vAlign w:val="bottom"/>
            <w:shd w:val="clear" w:color="auto" w:fill="DBDBDB"/>
          </w:tcPr>
          <w:p>
            <w:pPr>
              <w:jc w:val="right"/>
              <w:ind w:right="251"/>
              <w:spacing w:after="0"/>
              <w:rPr>
                <w:sz w:val="20"/>
                <w:szCs w:val="20"/>
                <w:color w:val="auto"/>
              </w:rPr>
            </w:pPr>
            <w:r>
              <w:rPr>
                <w:rFonts w:ascii="Arial" w:cs="Arial" w:eastAsia="Arial" w:hAnsi="Arial"/>
                <w:sz w:val="10"/>
                <w:szCs w:val="10"/>
                <w:color w:val="auto"/>
                <w:highlight w:val="lightGray"/>
                <w:w w:val="71"/>
              </w:rPr>
              <w:t>$</w:t>
            </w:r>
          </w:p>
        </w:tc>
        <w:tc>
          <w:tcPr>
            <w:tcW w:w="194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highlight w:val="lightGray"/>
              </w:rPr>
              <w:t>6.15</w:t>
            </w:r>
          </w:p>
        </w:tc>
      </w:tr>
      <w:tr>
        <w:trPr>
          <w:trHeight w:val="157"/>
        </w:trPr>
        <w:tc>
          <w:tcPr>
            <w:tcW w:w="662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 xml:space="preserve">Equity compensation </w:t>
            </w:r>
            <w:r>
              <w:rPr>
                <w:rFonts w:ascii="Arial" w:cs="Arial" w:eastAsia="Arial" w:hAnsi="Arial"/>
                <w:sz w:val="8"/>
                <w:szCs w:val="8"/>
                <w:color w:val="auto"/>
              </w:rPr>
              <w:t>(a)</w:t>
            </w:r>
          </w:p>
        </w:tc>
        <w:tc>
          <w:tcPr>
            <w:tcW w:w="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0.45</w:t>
            </w:r>
          </w:p>
        </w:tc>
        <w:tc>
          <w:tcPr>
            <w:tcW w:w="8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0.45</w:t>
            </w:r>
          </w:p>
        </w:tc>
      </w:tr>
      <w:tr>
        <w:trPr>
          <w:trHeight w:val="173"/>
        </w:trPr>
        <w:tc>
          <w:tcPr>
            <w:tcW w:w="66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Earnings Per Common Share, Diluted</w:t>
            </w:r>
          </w:p>
        </w:tc>
        <w:tc>
          <w:tcPr>
            <w:tcW w:w="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0"/>
                <w:szCs w:val="10"/>
                <w:color w:val="auto"/>
                <w:highlight w:val="lightGray"/>
                <w:w w:val="71"/>
              </w:rPr>
              <w:t>$</w:t>
            </w:r>
          </w:p>
        </w:tc>
        <w:tc>
          <w:tcPr>
            <w:tcW w:w="1740" w:type="dxa"/>
            <w:vAlign w:val="bottom"/>
            <w:tcBorders>
              <w:bottom w:val="single" w:sz="8" w:color="auto"/>
            </w:tcBorders>
            <w:shd w:val="clear" w:color="auto" w:fill="DBDBDB"/>
          </w:tcPr>
          <w:p>
            <w:pPr>
              <w:spacing w:after="0"/>
              <w:rPr>
                <w:sz w:val="15"/>
                <w:szCs w:val="15"/>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highlight w:val="lightGray"/>
              </w:rPr>
              <w:t>6.10</w:t>
            </w:r>
          </w:p>
        </w:tc>
        <w:tc>
          <w:tcPr>
            <w:tcW w:w="80" w:type="dxa"/>
            <w:vAlign w:val="bottom"/>
            <w:tcBorders>
              <w:bottom w:val="single" w:sz="8" w:color="DBDBDB"/>
            </w:tcBorders>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jc w:val="right"/>
              <w:ind w:right="251"/>
              <w:spacing w:after="0"/>
              <w:rPr>
                <w:sz w:val="20"/>
                <w:szCs w:val="20"/>
                <w:color w:val="auto"/>
              </w:rPr>
            </w:pPr>
            <w:r>
              <w:rPr>
                <w:rFonts w:ascii="Arial" w:cs="Arial" w:eastAsia="Arial" w:hAnsi="Arial"/>
                <w:sz w:val="10"/>
                <w:szCs w:val="10"/>
                <w:color w:val="auto"/>
                <w:highlight w:val="lightGray"/>
                <w:w w:val="71"/>
              </w:rPr>
              <w:t>$</w:t>
            </w:r>
          </w:p>
        </w:tc>
        <w:tc>
          <w:tcPr>
            <w:tcW w:w="19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highlight w:val="lightGray"/>
              </w:rPr>
              <w:t>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-782320</wp:posOffset>
            </wp:positionV>
            <wp:extent cx="29718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1800" cy="5715"/>
                    </a:xfrm>
                    <a:prstGeom prst="rect">
                      <a:avLst/>
                    </a:prstGeom>
                    <a:noFill/>
                  </pic:spPr>
                </pic:pic>
              </a:graphicData>
            </a:graphic>
          </wp:anchor>
        </w:drawing>
        <w:drawing>
          <wp:anchor simplePos="0" relativeHeight="251657728" behindDoc="1" locked="0" layoutInCell="0" allowOverlap="1">
            <wp:simplePos x="0" y="0"/>
            <wp:positionH relativeFrom="column">
              <wp:posOffset>4201160</wp:posOffset>
            </wp:positionH>
            <wp:positionV relativeFrom="paragraph">
              <wp:posOffset>-976630</wp:posOffset>
            </wp:positionV>
            <wp:extent cx="297180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71800" cy="5715"/>
                    </a:xfrm>
                    <a:prstGeom prst="rect">
                      <a:avLst/>
                    </a:prstGeom>
                    <a:noFill/>
                  </pic:spPr>
                </pic:pic>
              </a:graphicData>
            </a:graphic>
          </wp:anchor>
        </w:drawing>
      </w:r>
    </w:p>
    <w:p>
      <w:pPr>
        <w:spacing w:after="0" w:line="148" w:lineRule="exact"/>
        <w:rPr>
          <w:sz w:val="20"/>
          <w:szCs w:val="20"/>
          <w:color w:val="auto"/>
        </w:rPr>
      </w:pPr>
    </w:p>
    <w:p>
      <w:pPr>
        <w:ind w:left="360" w:hanging="356"/>
        <w:spacing w:after="0"/>
        <w:tabs>
          <w:tab w:leader="none" w:pos="3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presented have been rounded.</w:t>
      </w:r>
    </w:p>
    <w:p>
      <w:pPr>
        <w:ind w:left="360" w:hanging="356"/>
        <w:spacing w:after="0" w:line="230" w:lineRule="auto"/>
        <w:tabs>
          <w:tab w:leader="none" w:pos="360" w:val="left"/>
        </w:tabs>
        <w:numPr>
          <w:ilvl w:val="0"/>
          <w:numId w:val="10"/>
        </w:numPr>
        <w:rPr>
          <w:rFonts w:ascii="Arial" w:cs="Arial" w:eastAsia="Arial" w:hAnsi="Arial"/>
          <w:sz w:val="17"/>
          <w:szCs w:val="17"/>
          <w:color w:val="auto"/>
          <w:vertAlign w:val="superscript"/>
        </w:rPr>
      </w:pPr>
      <w:r>
        <w:rPr>
          <w:rFonts w:ascii="Arial" w:cs="Arial" w:eastAsia="Arial" w:hAnsi="Arial"/>
          <w:sz w:val="11"/>
          <w:szCs w:val="11"/>
          <w:color w:val="auto"/>
        </w:rPr>
        <w:t>Adjustments include non-cash charges related to equity-based compensation (as defined above), which may vary from period to period.</w:t>
      </w:r>
    </w:p>
    <w:p>
      <w:pPr>
        <w:spacing w:after="0" w:line="41" w:lineRule="exact"/>
        <w:rPr>
          <w:rFonts w:ascii="Arial" w:cs="Arial" w:eastAsia="Arial" w:hAnsi="Arial"/>
          <w:sz w:val="17"/>
          <w:szCs w:val="17"/>
          <w:color w:val="auto"/>
          <w:vertAlign w:val="superscript"/>
        </w:rPr>
      </w:pPr>
    </w:p>
    <w:p>
      <w:pPr>
        <w:ind w:left="5600"/>
        <w:spacing w:after="0"/>
        <w:rPr>
          <w:rFonts w:ascii="Arial" w:cs="Arial" w:eastAsia="Arial" w:hAnsi="Arial"/>
          <w:sz w:val="17"/>
          <w:szCs w:val="17"/>
          <w:color w:val="auto"/>
          <w:vertAlign w:val="superscript"/>
        </w:rPr>
      </w:pPr>
      <w:r>
        <w:rPr>
          <w:rFonts w:ascii="Arial" w:cs="Arial" w:eastAsia="Arial" w:hAnsi="Arial"/>
          <w:sz w:val="10"/>
          <w:szCs w:val="10"/>
          <w:color w:val="auto"/>
        </w:rPr>
        <w:t>10</w:t>
      </w:r>
    </w:p>
    <w:p>
      <w:pPr>
        <w:sectPr>
          <w:pgSz w:w="11900" w:h="16838" w:orient="portrait"/>
          <w:cols w:equalWidth="0" w:num="1">
            <w:col w:w="11300"/>
          </w:cols>
          <w:pgMar w:left="300" w:top="705"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Adjusted Free Cash Flow</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1"/>
          <w:szCs w:val="11"/>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60" w:type="dxa"/>
            <w:vAlign w:val="bottom"/>
          </w:tcPr>
          <w:p>
            <w:pPr>
              <w:spacing w:after="0"/>
              <w:rPr>
                <w:sz w:val="14"/>
                <w:szCs w:val="14"/>
                <w:color w:val="auto"/>
              </w:rPr>
            </w:pPr>
          </w:p>
        </w:tc>
        <w:tc>
          <w:tcPr>
            <w:tcW w:w="300" w:type="dxa"/>
            <w:vAlign w:val="bottom"/>
            <w:shd w:val="clear" w:color="auto" w:fill="1928A0"/>
          </w:tcPr>
          <w:p>
            <w:pPr>
              <w:spacing w:after="0"/>
              <w:rPr>
                <w:sz w:val="14"/>
                <w:szCs w:val="14"/>
                <w:color w:val="auto"/>
              </w:rPr>
            </w:pPr>
          </w:p>
        </w:tc>
        <w:tc>
          <w:tcPr>
            <w:tcW w:w="2120" w:type="dxa"/>
            <w:vAlign w:val="bottom"/>
            <w:gridSpan w:val="3"/>
            <w:shd w:val="clear" w:color="auto" w:fill="1928A0"/>
          </w:tcPr>
          <w:p>
            <w:pPr>
              <w:jc w:val="right"/>
              <w:spacing w:after="0"/>
              <w:rPr>
                <w:sz w:val="20"/>
                <w:szCs w:val="20"/>
                <w:color w:val="auto"/>
              </w:rPr>
            </w:pPr>
            <w:r>
              <w:rPr>
                <w:rFonts w:ascii="Arial" w:cs="Arial" w:eastAsia="Arial" w:hAnsi="Arial"/>
                <w:sz w:val="11"/>
                <w:szCs w:val="11"/>
                <w:b w:val="1"/>
                <w:bCs w:val="1"/>
                <w:color w:val="FFFFFF"/>
              </w:rPr>
              <w:t>Fiscal Quarter Ended</w:t>
            </w:r>
          </w:p>
        </w:tc>
        <w:tc>
          <w:tcPr>
            <w:tcW w:w="1320" w:type="dxa"/>
            <w:vAlign w:val="bottom"/>
            <w:shd w:val="clear" w:color="auto" w:fill="1928A0"/>
          </w:tcPr>
          <w:p>
            <w:pPr>
              <w:spacing w:after="0"/>
              <w:rPr>
                <w:sz w:val="14"/>
                <w:szCs w:val="14"/>
                <w:color w:val="auto"/>
              </w:rPr>
            </w:pPr>
          </w:p>
        </w:tc>
        <w:tc>
          <w:tcPr>
            <w:tcW w:w="80" w:type="dxa"/>
            <w:vAlign w:val="bottom"/>
            <w:shd w:val="clear" w:color="auto" w:fill="1928A0"/>
          </w:tcPr>
          <w:p>
            <w:pPr>
              <w:spacing w:after="0"/>
              <w:rPr>
                <w:sz w:val="14"/>
                <w:szCs w:val="14"/>
                <w:color w:val="auto"/>
              </w:rPr>
            </w:pPr>
          </w:p>
        </w:tc>
        <w:tc>
          <w:tcPr>
            <w:tcW w:w="240" w:type="dxa"/>
            <w:vAlign w:val="bottom"/>
            <w:shd w:val="clear" w:color="auto" w:fill="1928A0"/>
          </w:tcPr>
          <w:p>
            <w:pPr>
              <w:spacing w:after="0"/>
              <w:rPr>
                <w:sz w:val="14"/>
                <w:szCs w:val="14"/>
                <w:color w:val="auto"/>
              </w:rPr>
            </w:pPr>
          </w:p>
        </w:tc>
        <w:tc>
          <w:tcPr>
            <w:tcW w:w="1980" w:type="dxa"/>
            <w:vAlign w:val="bottom"/>
            <w:gridSpan w:val="3"/>
            <w:shd w:val="clear" w:color="auto" w:fill="1928A0"/>
          </w:tcPr>
          <w:p>
            <w:pPr>
              <w:jc w:val="right"/>
              <w:spacing w:after="0"/>
              <w:rPr>
                <w:sz w:val="20"/>
                <w:szCs w:val="20"/>
                <w:color w:val="auto"/>
              </w:rPr>
            </w:pPr>
            <w:r>
              <w:rPr>
                <w:rFonts w:ascii="Arial" w:cs="Arial" w:eastAsia="Arial" w:hAnsi="Arial"/>
                <w:sz w:val="11"/>
                <w:szCs w:val="11"/>
                <w:b w:val="1"/>
                <w:bCs w:val="1"/>
                <w:color w:val="FFFFFF"/>
              </w:rPr>
              <w:t>Fiscal Year Ended</w:t>
            </w:r>
          </w:p>
        </w:tc>
        <w:tc>
          <w:tcPr>
            <w:tcW w:w="1300" w:type="dxa"/>
            <w:vAlign w:val="bottom"/>
            <w:shd w:val="clear" w:color="auto" w:fill="1928A0"/>
          </w:tcPr>
          <w:p>
            <w:pPr>
              <w:spacing w:after="0"/>
              <w:rPr>
                <w:sz w:val="14"/>
                <w:szCs w:val="14"/>
                <w:color w:val="auto"/>
              </w:rPr>
            </w:pPr>
          </w:p>
        </w:tc>
      </w:tr>
      <w:tr>
        <w:trPr>
          <w:trHeight w:val="163"/>
        </w:trPr>
        <w:tc>
          <w:tcPr>
            <w:tcW w:w="3960" w:type="dxa"/>
            <w:vAlign w:val="bottom"/>
          </w:tcPr>
          <w:p>
            <w:pPr>
              <w:spacing w:after="0"/>
              <w:rPr>
                <w:sz w:val="14"/>
                <w:szCs w:val="14"/>
                <w:color w:val="auto"/>
              </w:rPr>
            </w:pPr>
          </w:p>
        </w:tc>
        <w:tc>
          <w:tcPr>
            <w:tcW w:w="300" w:type="dxa"/>
            <w:vAlign w:val="bottom"/>
            <w:shd w:val="clear" w:color="auto" w:fill="1928A0"/>
          </w:tcPr>
          <w:p>
            <w:pPr>
              <w:spacing w:after="0"/>
              <w:rPr>
                <w:sz w:val="14"/>
                <w:szCs w:val="14"/>
                <w:color w:val="auto"/>
              </w:rPr>
            </w:pPr>
          </w:p>
        </w:tc>
        <w:tc>
          <w:tcPr>
            <w:tcW w:w="1640" w:type="dxa"/>
            <w:vAlign w:val="bottom"/>
            <w:gridSpan w:val="2"/>
            <w:shd w:val="clear" w:color="auto" w:fill="1928A0"/>
          </w:tcPr>
          <w:p>
            <w:pPr>
              <w:ind w:left="200"/>
              <w:spacing w:after="0"/>
              <w:rPr>
                <w:sz w:val="20"/>
                <w:szCs w:val="20"/>
                <w:color w:val="auto"/>
              </w:rPr>
            </w:pPr>
            <w:r>
              <w:rPr>
                <w:rFonts w:ascii="Arial" w:cs="Arial" w:eastAsia="Arial" w:hAnsi="Arial"/>
                <w:sz w:val="11"/>
                <w:szCs w:val="11"/>
                <w:b w:val="1"/>
                <w:bCs w:val="1"/>
                <w:color w:val="FFFFFF"/>
              </w:rPr>
              <w:t>January 31, 2026</w:t>
            </w:r>
          </w:p>
        </w:tc>
        <w:tc>
          <w:tcPr>
            <w:tcW w:w="480" w:type="dxa"/>
            <w:vAlign w:val="bottom"/>
            <w:shd w:val="clear" w:color="auto" w:fill="1928A0"/>
          </w:tcPr>
          <w:p>
            <w:pPr>
              <w:spacing w:after="0"/>
              <w:rPr>
                <w:sz w:val="14"/>
                <w:szCs w:val="14"/>
                <w:color w:val="auto"/>
              </w:rPr>
            </w:pPr>
          </w:p>
        </w:tc>
        <w:tc>
          <w:tcPr>
            <w:tcW w:w="1400" w:type="dxa"/>
            <w:vAlign w:val="bottom"/>
            <w:gridSpan w:val="2"/>
            <w:shd w:val="clear" w:color="auto" w:fill="1928A0"/>
          </w:tcPr>
          <w:p>
            <w:pPr>
              <w:spacing w:after="0"/>
              <w:rPr>
                <w:sz w:val="20"/>
                <w:szCs w:val="20"/>
                <w:color w:val="auto"/>
              </w:rPr>
            </w:pPr>
            <w:r>
              <w:rPr>
                <w:rFonts w:ascii="Arial" w:cs="Arial" w:eastAsia="Arial" w:hAnsi="Arial"/>
                <w:sz w:val="11"/>
                <w:szCs w:val="11"/>
                <w:b w:val="1"/>
                <w:bCs w:val="1"/>
                <w:color w:val="FFFFFF"/>
              </w:rPr>
              <w:t>February 1, 2025</w:t>
            </w:r>
          </w:p>
        </w:tc>
        <w:tc>
          <w:tcPr>
            <w:tcW w:w="240" w:type="dxa"/>
            <w:vAlign w:val="bottom"/>
            <w:shd w:val="clear" w:color="auto" w:fill="1928A0"/>
          </w:tcPr>
          <w:p>
            <w:pPr>
              <w:spacing w:after="0"/>
              <w:rPr>
                <w:sz w:val="14"/>
                <w:szCs w:val="14"/>
                <w:color w:val="auto"/>
              </w:rPr>
            </w:pPr>
          </w:p>
        </w:tc>
        <w:tc>
          <w:tcPr>
            <w:tcW w:w="1540" w:type="dxa"/>
            <w:vAlign w:val="bottom"/>
            <w:gridSpan w:val="2"/>
            <w:shd w:val="clear" w:color="auto" w:fill="1928A0"/>
          </w:tcPr>
          <w:p>
            <w:pPr>
              <w:ind w:left="180"/>
              <w:spacing w:after="0"/>
              <w:rPr>
                <w:sz w:val="20"/>
                <w:szCs w:val="20"/>
                <w:color w:val="auto"/>
              </w:rPr>
            </w:pPr>
            <w:r>
              <w:rPr>
                <w:rFonts w:ascii="Arial" w:cs="Arial" w:eastAsia="Arial" w:hAnsi="Arial"/>
                <w:sz w:val="11"/>
                <w:szCs w:val="11"/>
                <w:b w:val="1"/>
                <w:bCs w:val="1"/>
                <w:color w:val="FFFFFF"/>
              </w:rPr>
              <w:t>January 31, 2026</w:t>
            </w:r>
          </w:p>
        </w:tc>
        <w:tc>
          <w:tcPr>
            <w:tcW w:w="440" w:type="dxa"/>
            <w:vAlign w:val="bottom"/>
            <w:shd w:val="clear" w:color="auto" w:fill="1928A0"/>
          </w:tcPr>
          <w:p>
            <w:pPr>
              <w:spacing w:after="0"/>
              <w:rPr>
                <w:sz w:val="14"/>
                <w:szCs w:val="14"/>
                <w:color w:val="auto"/>
              </w:rPr>
            </w:pPr>
          </w:p>
        </w:tc>
        <w:tc>
          <w:tcPr>
            <w:tcW w:w="1300" w:type="dxa"/>
            <w:vAlign w:val="bottom"/>
            <w:shd w:val="clear" w:color="auto" w:fill="1928A0"/>
          </w:tcPr>
          <w:p>
            <w:pPr>
              <w:jc w:val="right"/>
              <w:ind w:right="386"/>
              <w:spacing w:after="0"/>
              <w:rPr>
                <w:sz w:val="20"/>
                <w:szCs w:val="20"/>
                <w:color w:val="auto"/>
              </w:rPr>
            </w:pPr>
            <w:r>
              <w:rPr>
                <w:rFonts w:ascii="Arial" w:cs="Arial" w:eastAsia="Arial" w:hAnsi="Arial"/>
                <w:sz w:val="11"/>
                <w:szCs w:val="11"/>
                <w:b w:val="1"/>
                <w:bCs w:val="1"/>
                <w:color w:val="FFFFFF"/>
                <w:w w:val="96"/>
              </w:rPr>
              <w:t>February 1, 2025</w:t>
            </w:r>
          </w:p>
        </w:tc>
      </w:tr>
      <w:tr>
        <w:trPr>
          <w:trHeight w:val="153"/>
        </w:trPr>
        <w:tc>
          <w:tcPr>
            <w:tcW w:w="396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1"/>
                <w:szCs w:val="11"/>
                <w:color w:val="auto"/>
              </w:rPr>
              <w:t>Net cash provided by operating activities</w:t>
            </w:r>
          </w:p>
        </w:tc>
        <w:tc>
          <w:tcPr>
            <w:tcW w:w="300" w:type="dxa"/>
            <w:vAlign w:val="bottom"/>
            <w:tcBorders>
              <w:top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58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149,732</w:t>
            </w:r>
          </w:p>
        </w:tc>
        <w:tc>
          <w:tcPr>
            <w:tcW w:w="60" w:type="dxa"/>
            <w:vAlign w:val="bottom"/>
            <w:tcBorders>
              <w:top w:val="single" w:sz="8" w:color="DBDBDB"/>
            </w:tcBorders>
            <w:shd w:val="clear" w:color="auto" w:fill="DBDBDB"/>
          </w:tcPr>
          <w:p>
            <w:pPr>
              <w:spacing w:after="0"/>
              <w:rPr>
                <w:sz w:val="13"/>
                <w:szCs w:val="13"/>
                <w:color w:val="auto"/>
              </w:rPr>
            </w:pPr>
          </w:p>
        </w:tc>
        <w:tc>
          <w:tcPr>
            <w:tcW w:w="480" w:type="dxa"/>
            <w:vAlign w:val="bottom"/>
            <w:tcBorders>
              <w:top w:val="single" w:sz="8" w:color="auto"/>
            </w:tcBorders>
            <w:shd w:val="clear" w:color="auto" w:fill="DBDBDB"/>
          </w:tcPr>
          <w:p>
            <w:pPr>
              <w:jc w:val="right"/>
              <w:ind w:right="346"/>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140,168</w:t>
            </w:r>
          </w:p>
        </w:tc>
        <w:tc>
          <w:tcPr>
            <w:tcW w:w="80" w:type="dxa"/>
            <w:vAlign w:val="bottom"/>
            <w:tcBorders>
              <w:top w:val="single" w:sz="8" w:color="DBDBDB"/>
            </w:tcBorders>
            <w:shd w:val="clear" w:color="auto" w:fill="DBDBDB"/>
          </w:tcPr>
          <w:p>
            <w:pPr>
              <w:spacing w:after="0"/>
              <w:rPr>
                <w:sz w:val="13"/>
                <w:szCs w:val="13"/>
                <w:color w:val="auto"/>
              </w:rPr>
            </w:pPr>
          </w:p>
        </w:tc>
        <w:tc>
          <w:tcPr>
            <w:tcW w:w="240" w:type="dxa"/>
            <w:vAlign w:val="bottom"/>
            <w:tcBorders>
              <w:top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434,798</w:t>
            </w:r>
          </w:p>
        </w:tc>
        <w:tc>
          <w:tcPr>
            <w:tcW w:w="80" w:type="dxa"/>
            <w:vAlign w:val="bottom"/>
            <w:tcBorders>
              <w:top w:val="single" w:sz="8" w:color="DBDBDB"/>
            </w:tcBorders>
            <w:shd w:val="clear" w:color="auto" w:fill="DBDBDB"/>
          </w:tcPr>
          <w:p>
            <w:pPr>
              <w:spacing w:after="0"/>
              <w:rPr>
                <w:sz w:val="13"/>
                <w:szCs w:val="13"/>
                <w:color w:val="auto"/>
              </w:rPr>
            </w:pPr>
          </w:p>
        </w:tc>
        <w:tc>
          <w:tcPr>
            <w:tcW w:w="440" w:type="dxa"/>
            <w:vAlign w:val="bottom"/>
            <w:tcBorders>
              <w:top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528,082</w:t>
            </w:r>
          </w:p>
        </w:tc>
      </w:tr>
      <w:tr>
        <w:trPr>
          <w:trHeight w:val="160"/>
        </w:trPr>
        <w:tc>
          <w:tcPr>
            <w:tcW w:w="396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Net cash used in investing activities</w:t>
            </w: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(6,008)</w:t>
            </w:r>
          </w:p>
        </w:tc>
        <w:tc>
          <w:tcPr>
            <w:tcW w:w="60" w:type="dxa"/>
            <w:vAlign w:val="bottom"/>
            <w:tcBorders>
              <w:bottom w:val="single" w:sz="8" w:color="DBDBDB"/>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(49,674)</w:t>
            </w:r>
          </w:p>
        </w:tc>
        <w:tc>
          <w:tcPr>
            <w:tcW w:w="80" w:type="dxa"/>
            <w:vAlign w:val="bottom"/>
            <w:tcBorders>
              <w:bottom w:val="single" w:sz="8" w:color="DBDBDB"/>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(172,037)</w:t>
            </w:r>
          </w:p>
        </w:tc>
        <w:tc>
          <w:tcPr>
            <w:tcW w:w="80" w:type="dxa"/>
            <w:vAlign w:val="bottom"/>
            <w:tcBorders>
              <w:bottom w:val="single" w:sz="8" w:color="DBDBDB"/>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(186,120)</w:t>
            </w:r>
          </w:p>
        </w:tc>
      </w:tr>
      <w:tr>
        <w:trPr>
          <w:trHeight w:val="169"/>
        </w:trPr>
        <w:tc>
          <w:tcPr>
            <w:tcW w:w="39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1"/>
                <w:szCs w:val="11"/>
                <w:color w:val="auto"/>
              </w:rPr>
              <w:t>Adjusted Free Cash Flow</w:t>
            </w:r>
          </w:p>
        </w:tc>
        <w:tc>
          <w:tcPr>
            <w:tcW w:w="300" w:type="dxa"/>
            <w:vAlign w:val="bottom"/>
            <w:tcBorders>
              <w:bottom w:val="single" w:sz="8" w:color="auto"/>
            </w:tcBorders>
            <w:shd w:val="clear" w:color="auto" w:fill="DBDBDB"/>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5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b w:val="1"/>
                <w:bCs w:val="1"/>
                <w:color w:val="auto"/>
              </w:rPr>
              <w:t>143,724</w:t>
            </w:r>
          </w:p>
        </w:tc>
        <w:tc>
          <w:tcPr>
            <w:tcW w:w="60" w:type="dxa"/>
            <w:vAlign w:val="bottom"/>
            <w:tcBorders>
              <w:bottom w:val="single" w:sz="8" w:color="DBDBDB"/>
            </w:tcBorders>
            <w:shd w:val="clear" w:color="auto" w:fill="DBDBDB"/>
          </w:tcPr>
          <w:p>
            <w:pPr>
              <w:spacing w:after="0"/>
              <w:rPr>
                <w:sz w:val="14"/>
                <w:szCs w:val="14"/>
                <w:color w:val="auto"/>
              </w:rPr>
            </w:pPr>
          </w:p>
        </w:tc>
        <w:tc>
          <w:tcPr>
            <w:tcW w:w="480" w:type="dxa"/>
            <w:vAlign w:val="bottom"/>
            <w:tcBorders>
              <w:bottom w:val="single" w:sz="8" w:color="auto"/>
            </w:tcBorders>
            <w:shd w:val="clear" w:color="auto" w:fill="DBDBDB"/>
          </w:tcPr>
          <w:p>
            <w:pPr>
              <w:jc w:val="right"/>
              <w:ind w:right="346"/>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90,494</w:t>
            </w:r>
          </w:p>
        </w:tc>
        <w:tc>
          <w:tcPr>
            <w:tcW w:w="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b w:val="1"/>
                <w:bCs w:val="1"/>
                <w:color w:val="auto"/>
              </w:rPr>
              <w:t>262,761</w:t>
            </w:r>
          </w:p>
        </w:tc>
        <w:tc>
          <w:tcPr>
            <w:tcW w:w="8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341,962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-450850</wp:posOffset>
            </wp:positionV>
            <wp:extent cx="465201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5201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w:t>
      </w:r>
    </w:p>
    <w:p>
      <w:pPr>
        <w:sectPr>
          <w:pgSz w:w="11900" w:h="16838" w:orient="portrait"/>
          <w:cols w:equalWidth="0" w:num="1">
            <w:col w:w="11300"/>
          </w:cols>
          <w:pgMar w:left="300" w:top="705" w:right="299" w:bottom="1440"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2026-03-17T07:05:20Z</dcterms:created>
  <dcterms:modified xsi:type="dcterms:W3CDTF">2026-03-17T07:05:20Z</dcterms:modified>
</cp:coreProperties>
</file>