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139700</wp:posOffset>
            </wp:positionV>
            <wp:extent cx="1688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144145</wp:posOffset>
            </wp:positionV>
            <wp:extent cx="1688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145415</wp:posOffset>
            </wp:positionV>
            <wp:extent cx="1688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248285</wp:posOffset>
            </wp:positionV>
            <wp:extent cx="198882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140335</wp:posOffset>
            </wp:positionV>
            <wp:extent cx="1688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520" w:space="720"/>
            <w:col w:w="2800" w:space="720"/>
            <w:col w:w="2400"/>
          </w:cols>
          <w:pgMar w:left="340" w:top="743" w:right="3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20" w:space="720"/>
            <w:col w:w="2640" w:space="720"/>
            <w:col w:w="2660"/>
          </w:cols>
          <w:pgMar w:left="340" w:top="743" w:right="3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80" w:space="720"/>
            <w:col w:w="2440" w:space="720"/>
            <w:col w:w="2700"/>
          </w:cols>
          <w:pgMar w:left="340" w:top="743" w:right="39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133350</wp:posOffset>
            </wp:positionV>
            <wp:extent cx="1688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2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9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6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6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9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ASO</w:t>
            </w:r>
          </w:p>
        </w:tc>
        <w:tc>
          <w:tcPr>
            <w:tcW w:w="66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On December 7, 2022, Academy Sports and Outdoors, Inc. (the “Company”) issued a press release announcing financial results for the quarter ended October 29, 2022. A copy of the press release is furnished herewith as Exhibit 99.1 and incorporated by reference herein.</w:t>
      </w:r>
    </w:p>
    <w:p>
      <w:pPr>
        <w:spacing w:after="0" w:line="175" w:lineRule="exact"/>
        <w:rPr>
          <w:sz w:val="20"/>
          <w:szCs w:val="20"/>
          <w:color w:val="auto"/>
        </w:rPr>
      </w:pPr>
    </w:p>
    <w:p>
      <w:pPr>
        <w:jc w:val="both"/>
        <w:ind w:firstLine="401"/>
        <w:spacing w:after="0" w:line="24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660" w:type="dxa"/>
            <w:vAlign w:val="bottom"/>
          </w:tcPr>
          <w:p>
            <w:pPr>
              <w:spacing w:after="0"/>
              <w:rPr>
                <w:sz w:val="20"/>
                <w:szCs w:val="20"/>
                <w:color w:val="auto"/>
              </w:rPr>
            </w:pPr>
          </w:p>
        </w:tc>
      </w:tr>
      <w:tr>
        <w:trPr>
          <w:trHeight w:val="500"/>
        </w:trPr>
        <w:tc>
          <w:tcPr>
            <w:tcW w:w="180" w:type="dxa"/>
            <w:vAlign w:val="bottom"/>
          </w:tcPr>
          <w:p>
            <w:pPr>
              <w:spacing w:after="0"/>
              <w:rPr>
                <w:sz w:val="24"/>
                <w:szCs w:val="24"/>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243"/>
        </w:trPr>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0" w:type="dxa"/>
            <w:vAlign w:val="bottom"/>
            <w:shd w:val="clear" w:color="auto" w:fill="CCEEFF"/>
          </w:tcPr>
          <w:p>
            <w:pPr>
              <w:spacing w:after="0"/>
              <w:rPr>
                <w:sz w:val="21"/>
                <w:szCs w:val="21"/>
                <w:color w:val="auto"/>
              </w:rPr>
            </w:pPr>
          </w:p>
        </w:tc>
        <w:tc>
          <w:tcPr>
            <w:tcW w:w="9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Academy Sports and Outdoors, Inc. Press Release, dated December 7, 2022.</w:t>
            </w:r>
          </w:p>
        </w:tc>
      </w:tr>
      <w:tr>
        <w:trPr>
          <w:trHeight w:val="243"/>
        </w:trPr>
        <w:tc>
          <w:tcPr>
            <w:tcW w:w="18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6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75"/>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Times New Roman" w:cs="Times New Roman" w:eastAsia="Times New Roman" w:hAnsi="Times New Roman"/>
          <w:sz w:val="18"/>
          <w:szCs w:val="18"/>
          <w:color w:val="auto"/>
        </w:rPr>
        <w:t>Date: December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34290</wp:posOffset>
            </wp:positionV>
            <wp:extent cx="2717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225425</wp:posOffset>
            </wp:positionV>
            <wp:extent cx="189420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Reports Third Quarter 2022 Results</w:t>
      </w: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Third Quarter Diluted EPS of $1.62; Adjusted Diluted EPS of $1.69; Company Raises Full Year EPS Guidance</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Comparable Sales Declined 7.2%</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E-commerce Sales Grew Double Digits (+10.5%) for the Fifth Consecutive Quarter</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Company Opens Four New Stores During the Quarter</w:t>
      </w:r>
    </w:p>
    <w:p>
      <w:pPr>
        <w:spacing w:after="0" w:line="3" w:lineRule="exact"/>
        <w:rPr>
          <w:sz w:val="20"/>
          <w:szCs w:val="20"/>
          <w:color w:val="auto"/>
        </w:rPr>
      </w:pPr>
    </w:p>
    <w:p>
      <w:pPr>
        <w:jc w:val="both"/>
        <w:ind w:firstLine="324"/>
        <w:spacing w:after="0"/>
        <w:rPr>
          <w:sz w:val="20"/>
          <w:szCs w:val="20"/>
          <w:color w:val="auto"/>
        </w:rPr>
      </w:pPr>
      <w:r>
        <w:rPr>
          <w:rFonts w:ascii="Arial" w:cs="Arial" w:eastAsia="Arial" w:hAnsi="Arial"/>
          <w:sz w:val="18"/>
          <w:szCs w:val="18"/>
          <w:b w:val="1"/>
          <w:bCs w:val="1"/>
          <w:color w:val="auto"/>
        </w:rPr>
        <w:t xml:space="preserve">KATY, TEXAS (Globe Newswire — December 7, 2022)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financial results for the third quarter ended October 29, 2022. Unless otherwise indicated, comparisons are to the same period in the prior fiscal year. Comparisons to 2019 are also provided, where appropriate, to benchmark performance given the impact of the pandemic in 2020 and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2022 Results</w:t>
      </w:r>
    </w:p>
    <w:p>
      <w:pPr>
        <w:jc w:val="both"/>
        <w:spacing w:after="0" w:line="239" w:lineRule="auto"/>
        <w:rPr>
          <w:sz w:val="20"/>
          <w:szCs w:val="20"/>
          <w:color w:val="auto"/>
        </w:rPr>
      </w:pPr>
      <w:r>
        <w:rPr>
          <w:rFonts w:ascii="Arial" w:cs="Arial" w:eastAsia="Arial" w:hAnsi="Arial"/>
          <w:sz w:val="18"/>
          <w:szCs w:val="18"/>
          <w:color w:val="auto"/>
        </w:rPr>
        <w:t>"The third quarter was challenging for Academy; however, we delivered a good profit performance that, while below last year, was in line with our expectations. Our team continues to execute at a high level in an uncertain environment, delivering results well above pre-pandemic levels on all measures," stated Ken Hicks, Chairman, President and Chief Executive Officer. "Our focus is on our long-term growth opportunities in stores and online through consistent operational excellence, strong financial discipline, and executing our store and omnichannel expansion plans."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sales were $1.49 billion, a decrease of 6.2%, compared to $1.59 billion. Comparable sales declined 7.2%. The decline in sales was primarily due to fewer transactions compared to last year, mainly from a decline in Hunting sales within the Outdoors division. When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compared to the third quarter of 2019, net sales increased 30.5%. Additionally, e-commerce sales grew 10.5% year-over-year and 173% compared to 2019.</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$522.5 million, or 35.0% of net sales, compared to gross margin of $560.8 million, or 35.2% of net sales in the prior year quarter. The 20 basis point decline was driven primarily by an increase in inventory shrink and e-commerce shipping costs, and was partially offset by an increase in merchandise margins. When compared to 2019, the gross margin rate expanded by 340 basis points.</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Selling, general and administrative ("SG&amp;A") expenses were 23.0% of sales, a 140 basis point increase, primarily due to fixed cost deleverage from the decline in sales and additional pre-opening expenses driven by the increase in store count.</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Pre-tax income was $169.9 million compared to $205.3 million. When compared to the third quarter of 2019, pre-tax income increased by more than 480%.</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GAAP net income decreased 18.3% to $ 131.7 million compared to $161.3 million. Diluted earnings per share were $ 1.62, a 5.8% decrease compared to $1.72 per share based on a share count of 81.4 million shares compared to 93.8 million at the end of the third quarter of 2021.</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net income, which excludes the impact of certain non-cash and extraordinary items, was $137.9 million. Adjusted diluted earnings per share were $1.69 compared to $1.75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Year-to-date 2022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sales decreased 6.4% to $4.65 billion, while comparable sales decreased 6.9%. Year-to-date sales grew 34.4% compared to 2019.</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Gross margin was $1.64 billion, or 35.3% of net sales, compared to gross margin of $1.77 billion, or 35.6% of net sales. When compared to year-to-date 2019, the gross margin rate expanded by 460 basis points.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Pre-tax income was $612.2 million compared to $671.1 million. When compared to year-to-date 2019 results, pre-tax income increased by more than 485%.</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GAAP net income decreased 11.2% to $470.3 million compared to $529.6 million. Diluted earnings per share were $5.54 compared to $5.55 per share.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net income, which excludes the impact of certain non-cash and extraordinary items, decreased 14.9% to $486.0 million. Adjusted diluted earnings per share were $5.72 compared to $5.98 per share.</w:t>
      </w:r>
    </w:p>
    <w:p>
      <w:pPr>
        <w:sectPr>
          <w:pgSz w:w="11900" w:h="16838" w:orient="portrait"/>
          <w:cols w:equalWidth="0" w:num="1">
            <w:col w:w="11240"/>
          </w:cols>
          <w:pgMar w:left="320" w:top="441"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44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Balance Sheet and Capital Allocation Update</w:t>
      </w:r>
    </w:p>
    <w:p>
      <w:pPr>
        <w:spacing w:after="0" w:line="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At the end of the third quarter, the Company’s cash and cash equivalents totaled $318.2 million with no borrowings under the $1.0 billion credit facility. During the quarter, net cash provided by operating activities was $50.8 million.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Merchandise inventories were $1.5 billion, an increase of 12.8% compared to the third quarter 2021. When compared to the third quarter of 2019, inventories were 12.3% higher in dollars, while units declined by 10.0%.</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third quarter, Academy returned $106.8 million to stockholders through a combination of share repurchases and dividends. The Company repurchased 2.2 million shares for $100.8 million and paid a quarterly cash dividend of $0.075 per share, or $6.0 million.</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Year-to-date, the Company has repurchased 10.0 million shares for $389.4 million and has approximately $400 million remaining under its share repurchase program.</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the end of the third quarter, on December 6, 2022, Academy announced that its Board of Directors declared a quarterly cash dividend with respect to the quarter ended October 29, 2022, of $0.075 per share of common stock. The dividend is payable on January 13, 2023, to stockholders of record as of the close of business on December 20,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Store Openings</w:t>
      </w:r>
    </w:p>
    <w:p>
      <w:pPr>
        <w:jc w:val="both"/>
        <w:spacing w:after="0" w:line="250" w:lineRule="auto"/>
        <w:rPr>
          <w:sz w:val="20"/>
          <w:szCs w:val="20"/>
          <w:color w:val="auto"/>
        </w:rPr>
      </w:pPr>
      <w:r>
        <w:rPr>
          <w:rFonts w:ascii="Arial" w:cs="Arial" w:eastAsia="Arial" w:hAnsi="Arial"/>
          <w:sz w:val="18"/>
          <w:szCs w:val="18"/>
          <w:color w:val="auto"/>
        </w:rPr>
        <w:t>During the third quarter, Academy opened four new stores and has since opened three new stores in the fourth quarter, bringing the total number of stores opened in 2022 to nine, for a total of 268 stores. The Company expects to open 80 to 100 stores over the next five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Outlook</w:t>
      </w:r>
    </w:p>
    <w:p>
      <w:pPr>
        <w:jc w:val="both"/>
        <w:spacing w:after="0"/>
        <w:rPr>
          <w:sz w:val="20"/>
          <w:szCs w:val="20"/>
          <w:color w:val="auto"/>
        </w:rPr>
      </w:pPr>
      <w:r>
        <w:rPr>
          <w:rFonts w:ascii="Arial" w:cs="Arial" w:eastAsia="Arial" w:hAnsi="Arial"/>
          <w:sz w:val="18"/>
          <w:szCs w:val="18"/>
          <w:color w:val="auto"/>
        </w:rPr>
        <w:t>“Our year-to-date operating income has now surpassed that of fiscal 2019 and 2020 combined. This is a clear indicator that the operational and organizational improvements made over the past few years have structurally changed the earnings power of the Company and positioned us for future growth,” said Michael Mullican, Executive Vice President and Chief Financial Officer. “As we close out the year, we remain focused on providing our customers with excellent service, broad assortments and value offerings."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Based on its year-to-date results and current trends, Academy is updating its fiscal 2022 guidance as follows:</w:t>
      </w:r>
    </w:p>
    <w:p>
      <w:pPr>
        <w:spacing w:after="0" w:line="278" w:lineRule="exact"/>
        <w:rPr>
          <w:sz w:val="20"/>
          <w:szCs w:val="20"/>
          <w:color w:val="auto"/>
        </w:rPr>
      </w:pPr>
    </w:p>
    <w:tbl>
      <w:tblPr>
        <w:tblLayout w:type="fixed"/>
        <w:tblInd w:w="290" w:type="dxa"/>
        <w:tblCellMar>
          <w:top w:w="0" w:type="dxa"/>
          <w:left w:w="0" w:type="dxa"/>
          <w:bottom w:w="0" w:type="dxa"/>
          <w:right w:w="0" w:type="dxa"/>
        </w:tblCellMar>
      </w:tblPr>
      <w:tr>
        <w:trPr>
          <w:trHeight w:val="189"/>
        </w:trPr>
        <w:tc>
          <w:tcPr>
            <w:tcW w:w="3980" w:type="dxa"/>
            <w:vAlign w:val="bottom"/>
            <w:tcBorders>
              <w:top w:val="single" w:sz="8" w:color="auto"/>
              <w:left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7"/>
          </w:tcPr>
          <w:p>
            <w:pPr>
              <w:jc w:val="right"/>
              <w:ind w:right="1040"/>
              <w:spacing w:after="0" w:line="189" w:lineRule="exact"/>
              <w:rPr>
                <w:sz w:val="20"/>
                <w:szCs w:val="20"/>
                <w:color w:val="auto"/>
              </w:rPr>
            </w:pPr>
            <w:r>
              <w:rPr>
                <w:rFonts w:ascii="Calibri" w:cs="Calibri" w:eastAsia="Calibri" w:hAnsi="Calibri"/>
                <w:sz w:val="16"/>
                <w:szCs w:val="16"/>
                <w:color w:val="auto"/>
                <w:w w:val="99"/>
              </w:rPr>
              <w:t>Previous Guidance</w:t>
            </w:r>
          </w:p>
        </w:tc>
        <w:tc>
          <w:tcPr>
            <w:tcW w:w="6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7"/>
          </w:tcPr>
          <w:p>
            <w:pPr>
              <w:jc w:val="right"/>
              <w:ind w:right="880"/>
              <w:spacing w:after="0" w:line="189" w:lineRule="exact"/>
              <w:rPr>
                <w:sz w:val="20"/>
                <w:szCs w:val="20"/>
                <w:color w:val="auto"/>
              </w:rPr>
            </w:pPr>
            <w:r>
              <w:rPr>
                <w:rFonts w:ascii="Calibri" w:cs="Calibri" w:eastAsia="Calibri" w:hAnsi="Calibri"/>
                <w:sz w:val="16"/>
                <w:szCs w:val="16"/>
                <w:color w:val="auto"/>
                <w:w w:val="98"/>
              </w:rPr>
              <w:t>Updated Guidance</w:t>
            </w:r>
          </w:p>
        </w:tc>
        <w:tc>
          <w:tcPr>
            <w:tcW w:w="240" w:type="dxa"/>
            <w:vAlign w:val="bottom"/>
            <w:tcBorders>
              <w:top w:val="single" w:sz="8" w:color="auto"/>
              <w:right w:val="single" w:sz="8" w:color="auto"/>
            </w:tcBorders>
          </w:tcPr>
          <w:p>
            <w:pPr>
              <w:spacing w:after="0"/>
              <w:rPr>
                <w:sz w:val="16"/>
                <w:szCs w:val="16"/>
                <w:color w:val="auto"/>
              </w:rPr>
            </w:pPr>
          </w:p>
        </w:tc>
      </w:tr>
      <w:tr>
        <w:trPr>
          <w:trHeight w:val="20"/>
        </w:trPr>
        <w:tc>
          <w:tcPr>
            <w:tcW w:w="398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223"/>
        </w:trPr>
        <w:tc>
          <w:tcPr>
            <w:tcW w:w="39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(in millions, except per share amounts)</w:t>
            </w:r>
          </w:p>
        </w:tc>
        <w:tc>
          <w:tcPr>
            <w:tcW w:w="72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Calibri" w:cs="Calibri" w:eastAsia="Calibri" w:hAnsi="Calibri"/>
                <w:sz w:val="16"/>
                <w:szCs w:val="16"/>
                <w:color w:val="auto"/>
                <w:w w:val="98"/>
              </w:rPr>
              <w:t>Low end</w:t>
            </w:r>
          </w:p>
        </w:tc>
        <w:tc>
          <w:tcPr>
            <w:tcW w:w="280" w:type="dxa"/>
            <w:vAlign w:val="bottom"/>
          </w:tcPr>
          <w:p>
            <w:pPr>
              <w:spacing w:after="0"/>
              <w:rPr>
                <w:sz w:val="19"/>
                <w:szCs w:val="19"/>
                <w:color w:val="auto"/>
              </w:rPr>
            </w:pPr>
          </w:p>
        </w:tc>
        <w:tc>
          <w:tcPr>
            <w:tcW w:w="1380" w:type="dxa"/>
            <w:vAlign w:val="bottom"/>
            <w:gridSpan w:val="4"/>
          </w:tcPr>
          <w:p>
            <w:pPr>
              <w:jc w:val="right"/>
              <w:ind w:right="620"/>
              <w:spacing w:after="0"/>
              <w:rPr>
                <w:sz w:val="20"/>
                <w:szCs w:val="20"/>
                <w:color w:val="auto"/>
              </w:rPr>
            </w:pPr>
            <w:r>
              <w:rPr>
                <w:rFonts w:ascii="Calibri" w:cs="Calibri" w:eastAsia="Calibri" w:hAnsi="Calibri"/>
                <w:sz w:val="16"/>
                <w:szCs w:val="16"/>
                <w:color w:val="auto"/>
              </w:rPr>
              <w:t>High end</w:t>
            </w:r>
          </w:p>
        </w:tc>
        <w:tc>
          <w:tcPr>
            <w:tcW w:w="620" w:type="dxa"/>
            <w:vAlign w:val="bottom"/>
          </w:tcPr>
          <w:p>
            <w:pPr>
              <w:spacing w:after="0"/>
              <w:rPr>
                <w:sz w:val="19"/>
                <w:szCs w:val="19"/>
                <w:color w:val="auto"/>
              </w:rPr>
            </w:pPr>
          </w:p>
        </w:tc>
        <w:tc>
          <w:tcPr>
            <w:tcW w:w="1020" w:type="dxa"/>
            <w:vAlign w:val="bottom"/>
            <w:gridSpan w:val="3"/>
          </w:tcPr>
          <w:p>
            <w:pPr>
              <w:jc w:val="right"/>
              <w:ind w:right="460"/>
              <w:spacing w:after="0"/>
              <w:rPr>
                <w:sz w:val="20"/>
                <w:szCs w:val="20"/>
                <w:color w:val="auto"/>
              </w:rPr>
            </w:pPr>
            <w:r>
              <w:rPr>
                <w:rFonts w:ascii="Calibri" w:cs="Calibri" w:eastAsia="Calibri" w:hAnsi="Calibri"/>
                <w:sz w:val="16"/>
                <w:szCs w:val="16"/>
                <w:color w:val="auto"/>
                <w:w w:val="98"/>
              </w:rPr>
              <w:t>Low end</w:t>
            </w:r>
          </w:p>
        </w:tc>
        <w:tc>
          <w:tcPr>
            <w:tcW w:w="280" w:type="dxa"/>
            <w:vAlign w:val="bottom"/>
          </w:tcPr>
          <w:p>
            <w:pPr>
              <w:spacing w:after="0"/>
              <w:rPr>
                <w:sz w:val="19"/>
                <w:szCs w:val="19"/>
                <w:color w:val="auto"/>
              </w:rPr>
            </w:pPr>
          </w:p>
        </w:tc>
        <w:tc>
          <w:tcPr>
            <w:tcW w:w="1200" w:type="dxa"/>
            <w:vAlign w:val="bottom"/>
            <w:gridSpan w:val="4"/>
          </w:tcPr>
          <w:p>
            <w:pPr>
              <w:jc w:val="right"/>
              <w:ind w:right="440"/>
              <w:spacing w:after="0"/>
              <w:rPr>
                <w:sz w:val="20"/>
                <w:szCs w:val="20"/>
                <w:color w:val="auto"/>
              </w:rPr>
            </w:pPr>
            <w:r>
              <w:rPr>
                <w:rFonts w:ascii="Calibri" w:cs="Calibri" w:eastAsia="Calibri" w:hAnsi="Calibri"/>
                <w:sz w:val="16"/>
                <w:szCs w:val="16"/>
                <w:color w:val="auto"/>
              </w:rPr>
              <w:t>High end</w:t>
            </w:r>
          </w:p>
        </w:tc>
        <w:tc>
          <w:tcPr>
            <w:tcW w:w="240" w:type="dxa"/>
            <w:vAlign w:val="bottom"/>
            <w:tcBorders>
              <w:right w:val="single" w:sz="8" w:color="auto"/>
            </w:tcBorders>
          </w:tcPr>
          <w:p>
            <w:pPr>
              <w:spacing w:after="0"/>
              <w:rPr>
                <w:sz w:val="19"/>
                <w:szCs w:val="19"/>
                <w:color w:val="auto"/>
              </w:rPr>
            </w:pPr>
          </w:p>
        </w:tc>
      </w:tr>
      <w:tr>
        <w:trPr>
          <w:trHeight w:val="48"/>
        </w:trPr>
        <w:tc>
          <w:tcPr>
            <w:tcW w:w="3980" w:type="dxa"/>
            <w:vAlign w:val="bottom"/>
            <w:tcBorders>
              <w:lef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r>
      <w:tr>
        <w:trPr>
          <w:trHeight w:val="223"/>
        </w:trPr>
        <w:tc>
          <w:tcPr>
            <w:tcW w:w="39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Net Sales</w:t>
            </w:r>
          </w:p>
        </w:tc>
        <w:tc>
          <w:tcPr>
            <w:tcW w:w="7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6,430.0</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DBDBDB"/>
            </w:tcBorders>
            <w:gridSpan w:val="4"/>
            <w:shd w:val="clear" w:color="auto" w:fill="DBDBDB"/>
          </w:tcPr>
          <w:p>
            <w:pPr>
              <w:jc w:val="right"/>
              <w:ind w:right="340"/>
              <w:spacing w:after="0"/>
              <w:rPr>
                <w:sz w:val="20"/>
                <w:szCs w:val="20"/>
                <w:color w:val="auto"/>
              </w:rPr>
            </w:pPr>
            <w:r>
              <w:rPr>
                <w:rFonts w:ascii="Calibri" w:cs="Calibri" w:eastAsia="Calibri" w:hAnsi="Calibri"/>
                <w:sz w:val="16"/>
                <w:szCs w:val="16"/>
                <w:color w:val="auto"/>
              </w:rPr>
              <w:t>6,630.0</w:t>
            </w:r>
          </w:p>
        </w:tc>
        <w:tc>
          <w:tcPr>
            <w:tcW w:w="6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2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6,430.0</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DBDBDB"/>
            </w:tcBorders>
            <w:gridSpan w:val="4"/>
            <w:shd w:val="clear" w:color="auto" w:fill="DBDBDB"/>
          </w:tcPr>
          <w:p>
            <w:pPr>
              <w:jc w:val="right"/>
              <w:ind w:right="180"/>
              <w:spacing w:after="0"/>
              <w:rPr>
                <w:sz w:val="20"/>
                <w:szCs w:val="20"/>
                <w:color w:val="auto"/>
              </w:rPr>
            </w:pPr>
            <w:r>
              <w:rPr>
                <w:rFonts w:ascii="Calibri" w:cs="Calibri" w:eastAsia="Calibri" w:hAnsi="Calibri"/>
                <w:sz w:val="16"/>
                <w:szCs w:val="16"/>
                <w:color w:val="auto"/>
              </w:rPr>
              <w:t>6,490.0</w:t>
            </w:r>
          </w:p>
        </w:tc>
        <w:tc>
          <w:tcPr>
            <w:tcW w:w="240" w:type="dxa"/>
            <w:vAlign w:val="bottom"/>
            <w:tcBorders>
              <w:right w:val="single" w:sz="8" w:color="auto"/>
            </w:tcBorders>
          </w:tcPr>
          <w:p>
            <w:pPr>
              <w:spacing w:after="0"/>
              <w:rPr>
                <w:sz w:val="19"/>
                <w:szCs w:val="19"/>
                <w:color w:val="auto"/>
              </w:rPr>
            </w:pPr>
          </w:p>
        </w:tc>
      </w:tr>
      <w:tr>
        <w:trPr>
          <w:trHeight w:val="216"/>
        </w:trPr>
        <w:tc>
          <w:tcPr>
            <w:tcW w:w="3980" w:type="dxa"/>
            <w:vAlign w:val="bottom"/>
            <w:tcBorders>
              <w:lef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39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Comparable Sales</w:t>
            </w:r>
          </w:p>
        </w:tc>
        <w:tc>
          <w:tcPr>
            <w:tcW w:w="7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gridSpan w:val="3"/>
            <w:shd w:val="clear" w:color="auto" w:fill="DBDBDB"/>
          </w:tcPr>
          <w:p>
            <w:pPr>
              <w:jc w:val="right"/>
              <w:ind w:right="20"/>
              <w:spacing w:after="0"/>
              <w:rPr>
                <w:sz w:val="20"/>
                <w:szCs w:val="20"/>
                <w:color w:val="auto"/>
              </w:rPr>
            </w:pPr>
            <w:r>
              <w:rPr>
                <w:rFonts w:ascii="Calibri" w:cs="Calibri" w:eastAsia="Calibri" w:hAnsi="Calibri"/>
                <w:sz w:val="16"/>
                <w:szCs w:val="16"/>
                <w:color w:val="auto"/>
              </w:rPr>
              <w:t>-6.0 %</w:t>
            </w:r>
          </w:p>
        </w:tc>
        <w:tc>
          <w:tcPr>
            <w:tcW w:w="28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gridSpan w:val="4"/>
            <w:shd w:val="clear" w:color="auto" w:fill="DBDBDB"/>
          </w:tcPr>
          <w:p>
            <w:pPr>
              <w:jc w:val="right"/>
              <w:ind w:right="200"/>
              <w:spacing w:after="0"/>
              <w:rPr>
                <w:sz w:val="20"/>
                <w:szCs w:val="20"/>
                <w:color w:val="auto"/>
              </w:rPr>
            </w:pPr>
            <w:r>
              <w:rPr>
                <w:rFonts w:ascii="Calibri" w:cs="Calibri" w:eastAsia="Calibri" w:hAnsi="Calibri"/>
                <w:sz w:val="16"/>
                <w:szCs w:val="16"/>
                <w:color w:val="auto"/>
              </w:rPr>
              <w:t>-3.0 %</w:t>
            </w:r>
          </w:p>
        </w:tc>
        <w:tc>
          <w:tcPr>
            <w:tcW w:w="6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gridSpan w:val="3"/>
            <w:shd w:val="clear" w:color="auto" w:fill="DBDBDB"/>
          </w:tcPr>
          <w:p>
            <w:pPr>
              <w:jc w:val="right"/>
              <w:spacing w:after="0"/>
              <w:rPr>
                <w:sz w:val="20"/>
                <w:szCs w:val="20"/>
                <w:color w:val="auto"/>
              </w:rPr>
            </w:pPr>
            <w:r>
              <w:rPr>
                <w:rFonts w:ascii="Calibri" w:cs="Calibri" w:eastAsia="Calibri" w:hAnsi="Calibri"/>
                <w:sz w:val="16"/>
                <w:szCs w:val="16"/>
                <w:color w:val="auto"/>
              </w:rPr>
              <w:t>-6.0 %</w:t>
            </w:r>
          </w:p>
        </w:tc>
        <w:tc>
          <w:tcPr>
            <w:tcW w:w="28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gridSpan w:val="4"/>
            <w:shd w:val="clear" w:color="auto" w:fill="DBDBDB"/>
          </w:tcPr>
          <w:p>
            <w:pPr>
              <w:jc w:val="right"/>
              <w:ind w:right="40"/>
              <w:spacing w:after="0"/>
              <w:rPr>
                <w:sz w:val="20"/>
                <w:szCs w:val="20"/>
                <w:color w:val="auto"/>
              </w:rPr>
            </w:pPr>
            <w:r>
              <w:rPr>
                <w:rFonts w:ascii="Calibri" w:cs="Calibri" w:eastAsia="Calibri" w:hAnsi="Calibri"/>
                <w:sz w:val="16"/>
                <w:szCs w:val="16"/>
                <w:color w:val="auto"/>
              </w:rPr>
              <w:t>-5.0 %</w:t>
            </w:r>
          </w:p>
        </w:tc>
        <w:tc>
          <w:tcPr>
            <w:tcW w:w="240" w:type="dxa"/>
            <w:vAlign w:val="bottom"/>
            <w:tcBorders>
              <w:right w:val="single" w:sz="8" w:color="auto"/>
            </w:tcBorders>
          </w:tcPr>
          <w:p>
            <w:pPr>
              <w:spacing w:after="0"/>
              <w:rPr>
                <w:sz w:val="19"/>
                <w:szCs w:val="19"/>
                <w:color w:val="auto"/>
              </w:rPr>
            </w:pPr>
          </w:p>
        </w:tc>
      </w:tr>
      <w:tr>
        <w:trPr>
          <w:trHeight w:val="216"/>
        </w:trPr>
        <w:tc>
          <w:tcPr>
            <w:tcW w:w="3980" w:type="dxa"/>
            <w:vAlign w:val="bottom"/>
            <w:tcBorders>
              <w:lef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39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Gross Margin Rate</w:t>
            </w:r>
          </w:p>
        </w:tc>
        <w:tc>
          <w:tcPr>
            <w:tcW w:w="7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gridSpan w:val="3"/>
            <w:shd w:val="clear" w:color="auto" w:fill="DBDBDB"/>
          </w:tcPr>
          <w:p>
            <w:pPr>
              <w:jc w:val="right"/>
              <w:ind w:right="20"/>
              <w:spacing w:after="0"/>
              <w:rPr>
                <w:sz w:val="20"/>
                <w:szCs w:val="20"/>
                <w:color w:val="auto"/>
              </w:rPr>
            </w:pPr>
            <w:r>
              <w:rPr>
                <w:rFonts w:ascii="Calibri" w:cs="Calibri" w:eastAsia="Calibri" w:hAnsi="Calibri"/>
                <w:sz w:val="16"/>
                <w:szCs w:val="16"/>
                <w:color w:val="auto"/>
              </w:rPr>
              <w:t>33.0 %</w:t>
            </w:r>
          </w:p>
        </w:tc>
        <w:tc>
          <w:tcPr>
            <w:tcW w:w="28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gridSpan w:val="4"/>
            <w:shd w:val="clear" w:color="auto" w:fill="DBDBDB"/>
          </w:tcPr>
          <w:p>
            <w:pPr>
              <w:jc w:val="right"/>
              <w:ind w:right="200"/>
              <w:spacing w:after="0"/>
              <w:rPr>
                <w:sz w:val="20"/>
                <w:szCs w:val="20"/>
                <w:color w:val="auto"/>
              </w:rPr>
            </w:pPr>
            <w:r>
              <w:rPr>
                <w:rFonts w:ascii="Calibri" w:cs="Calibri" w:eastAsia="Calibri" w:hAnsi="Calibri"/>
                <w:sz w:val="16"/>
                <w:szCs w:val="16"/>
                <w:color w:val="auto"/>
              </w:rPr>
              <w:t>33.5 %</w:t>
            </w:r>
          </w:p>
        </w:tc>
        <w:tc>
          <w:tcPr>
            <w:tcW w:w="6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gridSpan w:val="3"/>
            <w:shd w:val="clear" w:color="auto" w:fill="DBDBDB"/>
          </w:tcPr>
          <w:p>
            <w:pPr>
              <w:jc w:val="right"/>
              <w:spacing w:after="0"/>
              <w:rPr>
                <w:sz w:val="20"/>
                <w:szCs w:val="20"/>
                <w:color w:val="auto"/>
              </w:rPr>
            </w:pPr>
            <w:r>
              <w:rPr>
                <w:rFonts w:ascii="Calibri" w:cs="Calibri" w:eastAsia="Calibri" w:hAnsi="Calibri"/>
                <w:sz w:val="16"/>
                <w:szCs w:val="16"/>
                <w:color w:val="auto"/>
              </w:rPr>
              <w:t>34.0 %</w:t>
            </w:r>
          </w:p>
        </w:tc>
        <w:tc>
          <w:tcPr>
            <w:tcW w:w="28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gridSpan w:val="4"/>
            <w:shd w:val="clear" w:color="auto" w:fill="DBDBDB"/>
          </w:tcPr>
          <w:p>
            <w:pPr>
              <w:jc w:val="right"/>
              <w:ind w:right="40"/>
              <w:spacing w:after="0"/>
              <w:rPr>
                <w:sz w:val="20"/>
                <w:szCs w:val="20"/>
                <w:color w:val="auto"/>
              </w:rPr>
            </w:pPr>
            <w:r>
              <w:rPr>
                <w:rFonts w:ascii="Calibri" w:cs="Calibri" w:eastAsia="Calibri" w:hAnsi="Calibri"/>
                <w:sz w:val="16"/>
                <w:szCs w:val="16"/>
                <w:color w:val="auto"/>
              </w:rPr>
              <w:t>34.5 %</w:t>
            </w:r>
          </w:p>
        </w:tc>
        <w:tc>
          <w:tcPr>
            <w:tcW w:w="240" w:type="dxa"/>
            <w:vAlign w:val="bottom"/>
            <w:tcBorders>
              <w:right w:val="single" w:sz="8" w:color="auto"/>
            </w:tcBorders>
          </w:tcPr>
          <w:p>
            <w:pPr>
              <w:spacing w:after="0"/>
              <w:rPr>
                <w:sz w:val="19"/>
                <w:szCs w:val="19"/>
                <w:color w:val="auto"/>
              </w:rPr>
            </w:pPr>
          </w:p>
        </w:tc>
      </w:tr>
      <w:tr>
        <w:trPr>
          <w:trHeight w:val="216"/>
        </w:trPr>
        <w:tc>
          <w:tcPr>
            <w:tcW w:w="3980" w:type="dxa"/>
            <w:vAlign w:val="bottom"/>
            <w:tcBorders>
              <w:lef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39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GAAP Income Before Taxes</w:t>
            </w:r>
          </w:p>
        </w:tc>
        <w:tc>
          <w:tcPr>
            <w:tcW w:w="7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725.0</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DBDBDB"/>
            </w:tcBorders>
            <w:gridSpan w:val="4"/>
            <w:shd w:val="clear" w:color="auto" w:fill="DBDBDB"/>
          </w:tcPr>
          <w:p>
            <w:pPr>
              <w:jc w:val="right"/>
              <w:ind w:right="340"/>
              <w:spacing w:after="0"/>
              <w:rPr>
                <w:sz w:val="20"/>
                <w:szCs w:val="20"/>
                <w:color w:val="auto"/>
              </w:rPr>
            </w:pPr>
            <w:r>
              <w:rPr>
                <w:rFonts w:ascii="Calibri" w:cs="Calibri" w:eastAsia="Calibri" w:hAnsi="Calibri"/>
                <w:sz w:val="16"/>
                <w:szCs w:val="16"/>
                <w:color w:val="auto"/>
              </w:rPr>
              <w:t>805.0</w:t>
            </w:r>
          </w:p>
        </w:tc>
        <w:tc>
          <w:tcPr>
            <w:tcW w:w="6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2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790.0</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DBDBDB"/>
            </w:tcBorders>
            <w:gridSpan w:val="4"/>
            <w:shd w:val="clear" w:color="auto" w:fill="DBDBDB"/>
          </w:tcPr>
          <w:p>
            <w:pPr>
              <w:jc w:val="right"/>
              <w:ind w:right="180"/>
              <w:spacing w:after="0"/>
              <w:rPr>
                <w:sz w:val="20"/>
                <w:szCs w:val="20"/>
                <w:color w:val="auto"/>
              </w:rPr>
            </w:pPr>
            <w:r>
              <w:rPr>
                <w:rFonts w:ascii="Calibri" w:cs="Calibri" w:eastAsia="Calibri" w:hAnsi="Calibri"/>
                <w:sz w:val="16"/>
                <w:szCs w:val="16"/>
                <w:color w:val="auto"/>
              </w:rPr>
              <w:t>810.0</w:t>
            </w:r>
          </w:p>
        </w:tc>
        <w:tc>
          <w:tcPr>
            <w:tcW w:w="240" w:type="dxa"/>
            <w:vAlign w:val="bottom"/>
            <w:tcBorders>
              <w:right w:val="single" w:sz="8" w:color="auto"/>
            </w:tcBorders>
          </w:tcPr>
          <w:p>
            <w:pPr>
              <w:spacing w:after="0"/>
              <w:rPr>
                <w:sz w:val="19"/>
                <w:szCs w:val="19"/>
                <w:color w:val="auto"/>
              </w:rPr>
            </w:pPr>
          </w:p>
        </w:tc>
      </w:tr>
      <w:tr>
        <w:trPr>
          <w:trHeight w:val="216"/>
        </w:trPr>
        <w:tc>
          <w:tcPr>
            <w:tcW w:w="3980" w:type="dxa"/>
            <w:vAlign w:val="bottom"/>
            <w:tcBorders>
              <w:lef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39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GAAP Net Income</w:t>
            </w:r>
          </w:p>
        </w:tc>
        <w:tc>
          <w:tcPr>
            <w:tcW w:w="7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550.0</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DBDBDB"/>
            </w:tcBorders>
            <w:gridSpan w:val="4"/>
            <w:shd w:val="clear" w:color="auto" w:fill="DBDBDB"/>
          </w:tcPr>
          <w:p>
            <w:pPr>
              <w:jc w:val="right"/>
              <w:ind w:right="340"/>
              <w:spacing w:after="0"/>
              <w:rPr>
                <w:sz w:val="20"/>
                <w:szCs w:val="20"/>
                <w:color w:val="auto"/>
              </w:rPr>
            </w:pPr>
            <w:r>
              <w:rPr>
                <w:rFonts w:ascii="Calibri" w:cs="Calibri" w:eastAsia="Calibri" w:hAnsi="Calibri"/>
                <w:sz w:val="16"/>
                <w:szCs w:val="16"/>
                <w:color w:val="auto"/>
              </w:rPr>
              <w:t>615.0</w:t>
            </w:r>
          </w:p>
        </w:tc>
        <w:tc>
          <w:tcPr>
            <w:tcW w:w="6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2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610.0</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DBDBDB"/>
            </w:tcBorders>
            <w:gridSpan w:val="4"/>
            <w:shd w:val="clear" w:color="auto" w:fill="DBDBDB"/>
          </w:tcPr>
          <w:p>
            <w:pPr>
              <w:jc w:val="right"/>
              <w:ind w:right="180"/>
              <w:spacing w:after="0"/>
              <w:rPr>
                <w:sz w:val="20"/>
                <w:szCs w:val="20"/>
                <w:color w:val="auto"/>
              </w:rPr>
            </w:pPr>
            <w:r>
              <w:rPr>
                <w:rFonts w:ascii="Calibri" w:cs="Calibri" w:eastAsia="Calibri" w:hAnsi="Calibri"/>
                <w:sz w:val="16"/>
                <w:szCs w:val="16"/>
                <w:color w:val="auto"/>
              </w:rPr>
              <w:t>620.0</w:t>
            </w:r>
          </w:p>
        </w:tc>
        <w:tc>
          <w:tcPr>
            <w:tcW w:w="240" w:type="dxa"/>
            <w:vAlign w:val="bottom"/>
            <w:tcBorders>
              <w:right w:val="single" w:sz="8" w:color="auto"/>
            </w:tcBorders>
          </w:tcPr>
          <w:p>
            <w:pPr>
              <w:spacing w:after="0"/>
              <w:rPr>
                <w:sz w:val="19"/>
                <w:szCs w:val="19"/>
                <w:color w:val="auto"/>
              </w:rPr>
            </w:pPr>
          </w:p>
        </w:tc>
      </w:tr>
      <w:tr>
        <w:trPr>
          <w:trHeight w:val="216"/>
        </w:trPr>
        <w:tc>
          <w:tcPr>
            <w:tcW w:w="3980" w:type="dxa"/>
            <w:vAlign w:val="bottom"/>
            <w:tcBorders>
              <w:lef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39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GAAP Earnings per Common Share, Diluted</w:t>
            </w:r>
          </w:p>
        </w:tc>
        <w:tc>
          <w:tcPr>
            <w:tcW w:w="7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6.50</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DBDBDB"/>
            </w:tcBorders>
            <w:gridSpan w:val="4"/>
            <w:shd w:val="clear" w:color="auto" w:fill="DBDBDB"/>
          </w:tcPr>
          <w:p>
            <w:pPr>
              <w:jc w:val="right"/>
              <w:ind w:right="340"/>
              <w:spacing w:after="0"/>
              <w:rPr>
                <w:sz w:val="20"/>
                <w:szCs w:val="20"/>
                <w:color w:val="auto"/>
              </w:rPr>
            </w:pPr>
            <w:r>
              <w:rPr>
                <w:rFonts w:ascii="Calibri" w:cs="Calibri" w:eastAsia="Calibri" w:hAnsi="Calibri"/>
                <w:sz w:val="16"/>
                <w:szCs w:val="16"/>
                <w:color w:val="auto"/>
              </w:rPr>
              <w:t>7.25</w:t>
            </w:r>
          </w:p>
        </w:tc>
        <w:tc>
          <w:tcPr>
            <w:tcW w:w="6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2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7.25</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DBDBDB"/>
            </w:tcBorders>
            <w:gridSpan w:val="4"/>
            <w:shd w:val="clear" w:color="auto" w:fill="DBDBDB"/>
          </w:tcPr>
          <w:p>
            <w:pPr>
              <w:jc w:val="right"/>
              <w:ind w:right="180"/>
              <w:spacing w:after="0"/>
              <w:rPr>
                <w:sz w:val="20"/>
                <w:szCs w:val="20"/>
                <w:color w:val="auto"/>
              </w:rPr>
            </w:pPr>
            <w:r>
              <w:rPr>
                <w:rFonts w:ascii="Calibri" w:cs="Calibri" w:eastAsia="Calibri" w:hAnsi="Calibri"/>
                <w:sz w:val="16"/>
                <w:szCs w:val="16"/>
                <w:color w:val="auto"/>
              </w:rPr>
              <w:t>7.40</w:t>
            </w:r>
          </w:p>
        </w:tc>
        <w:tc>
          <w:tcPr>
            <w:tcW w:w="240" w:type="dxa"/>
            <w:vAlign w:val="bottom"/>
            <w:tcBorders>
              <w:right w:val="single" w:sz="8" w:color="auto"/>
            </w:tcBorders>
          </w:tcPr>
          <w:p>
            <w:pPr>
              <w:spacing w:after="0"/>
              <w:rPr>
                <w:sz w:val="19"/>
                <w:szCs w:val="19"/>
                <w:color w:val="auto"/>
              </w:rPr>
            </w:pPr>
          </w:p>
        </w:tc>
      </w:tr>
      <w:tr>
        <w:trPr>
          <w:trHeight w:val="216"/>
        </w:trPr>
        <w:tc>
          <w:tcPr>
            <w:tcW w:w="3980" w:type="dxa"/>
            <w:vAlign w:val="bottom"/>
            <w:tcBorders>
              <w:lef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39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Adjusted Earnings per Common Share, Diluted</w:t>
            </w:r>
          </w:p>
        </w:tc>
        <w:tc>
          <w:tcPr>
            <w:tcW w:w="7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6.75</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DBDBDB"/>
            </w:tcBorders>
            <w:gridSpan w:val="4"/>
            <w:shd w:val="clear" w:color="auto" w:fill="DBDBDB"/>
          </w:tcPr>
          <w:p>
            <w:pPr>
              <w:jc w:val="right"/>
              <w:ind w:right="340"/>
              <w:spacing w:after="0"/>
              <w:rPr>
                <w:sz w:val="20"/>
                <w:szCs w:val="20"/>
                <w:color w:val="auto"/>
              </w:rPr>
            </w:pPr>
            <w:r>
              <w:rPr>
                <w:rFonts w:ascii="Calibri" w:cs="Calibri" w:eastAsia="Calibri" w:hAnsi="Calibri"/>
                <w:sz w:val="16"/>
                <w:szCs w:val="16"/>
                <w:color w:val="auto"/>
              </w:rPr>
              <w:t>7.50</w:t>
            </w:r>
          </w:p>
        </w:tc>
        <w:tc>
          <w:tcPr>
            <w:tcW w:w="620" w:type="dxa"/>
            <w:vAlign w:val="bottom"/>
            <w:tcBorders>
              <w:bottom w:val="single" w:sz="8" w:color="DBDBDB"/>
            </w:tcBorders>
            <w:shd w:val="clear" w:color="auto" w:fill="DBDBDB"/>
          </w:tcPr>
          <w:p>
            <w:pPr>
              <w:jc w:val="right"/>
              <w:ind w:right="279"/>
              <w:spacing w:after="0"/>
              <w:rPr>
                <w:sz w:val="20"/>
                <w:szCs w:val="20"/>
                <w:color w:val="auto"/>
              </w:rPr>
            </w:pPr>
            <w:r>
              <w:rPr>
                <w:rFonts w:ascii="Calibri" w:cs="Calibri" w:eastAsia="Calibri" w:hAnsi="Calibri"/>
                <w:sz w:val="16"/>
                <w:szCs w:val="16"/>
                <w:color w:val="auto"/>
              </w:rPr>
              <w:t>$</w:t>
            </w:r>
          </w:p>
        </w:tc>
        <w:tc>
          <w:tcPr>
            <w:tcW w:w="102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7.50</w:t>
            </w:r>
          </w:p>
        </w:tc>
        <w:tc>
          <w:tcPr>
            <w:tcW w:w="280" w:type="dxa"/>
            <w:vAlign w:val="bottom"/>
            <w:tcBorders>
              <w:bottom w:val="single" w:sz="8" w:color="DBDBDB"/>
            </w:tcBorders>
            <w:shd w:val="clear" w:color="auto" w:fill="DBDBDB"/>
          </w:tcPr>
          <w:p>
            <w:pPr>
              <w:jc w:val="right"/>
              <w:ind w:right="99"/>
              <w:spacing w:after="0"/>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DBDBDB"/>
            </w:tcBorders>
            <w:gridSpan w:val="4"/>
            <w:shd w:val="clear" w:color="auto" w:fill="DBDBDB"/>
          </w:tcPr>
          <w:p>
            <w:pPr>
              <w:jc w:val="right"/>
              <w:ind w:right="180"/>
              <w:spacing w:after="0"/>
              <w:rPr>
                <w:sz w:val="20"/>
                <w:szCs w:val="20"/>
                <w:color w:val="auto"/>
              </w:rPr>
            </w:pPr>
            <w:r>
              <w:rPr>
                <w:rFonts w:ascii="Calibri" w:cs="Calibri" w:eastAsia="Calibri" w:hAnsi="Calibri"/>
                <w:sz w:val="16"/>
                <w:szCs w:val="16"/>
                <w:color w:val="auto"/>
              </w:rPr>
              <w:t>7.65</w:t>
            </w:r>
          </w:p>
        </w:tc>
        <w:tc>
          <w:tcPr>
            <w:tcW w:w="240" w:type="dxa"/>
            <w:vAlign w:val="bottom"/>
            <w:tcBorders>
              <w:right w:val="single" w:sz="8" w:color="auto"/>
            </w:tcBorders>
          </w:tcPr>
          <w:p>
            <w:pPr>
              <w:spacing w:after="0"/>
              <w:rPr>
                <w:sz w:val="19"/>
                <w:szCs w:val="19"/>
                <w:color w:val="auto"/>
              </w:rPr>
            </w:pPr>
          </w:p>
        </w:tc>
      </w:tr>
      <w:tr>
        <w:trPr>
          <w:trHeight w:val="216"/>
        </w:trPr>
        <w:tc>
          <w:tcPr>
            <w:tcW w:w="3980" w:type="dxa"/>
            <w:vAlign w:val="bottom"/>
            <w:tcBorders>
              <w:lef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39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Diluted Weighted Average Common Shares Outstanding</w:t>
            </w:r>
          </w:p>
        </w:tc>
        <w:tc>
          <w:tcPr>
            <w:tcW w:w="72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85.0</w:t>
            </w:r>
          </w:p>
        </w:tc>
        <w:tc>
          <w:tcPr>
            <w:tcW w:w="28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gridSpan w:val="4"/>
            <w:shd w:val="clear" w:color="auto" w:fill="DBDBDB"/>
          </w:tcPr>
          <w:p>
            <w:pPr>
              <w:jc w:val="right"/>
              <w:ind w:right="340"/>
              <w:spacing w:after="0"/>
              <w:rPr>
                <w:sz w:val="20"/>
                <w:szCs w:val="20"/>
                <w:color w:val="auto"/>
              </w:rPr>
            </w:pPr>
            <w:r>
              <w:rPr>
                <w:rFonts w:ascii="Calibri" w:cs="Calibri" w:eastAsia="Calibri" w:hAnsi="Calibri"/>
                <w:sz w:val="16"/>
                <w:szCs w:val="16"/>
                <w:color w:val="auto"/>
              </w:rPr>
              <w:t>85.0</w:t>
            </w:r>
          </w:p>
        </w:tc>
        <w:tc>
          <w:tcPr>
            <w:tcW w:w="6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Calibri" w:cs="Calibri" w:eastAsia="Calibri" w:hAnsi="Calibri"/>
                <w:sz w:val="16"/>
                <w:szCs w:val="16"/>
                <w:color w:val="auto"/>
              </w:rPr>
              <w:t>84.0</w:t>
            </w:r>
          </w:p>
        </w:tc>
        <w:tc>
          <w:tcPr>
            <w:tcW w:w="28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gridSpan w:val="4"/>
            <w:shd w:val="clear" w:color="auto" w:fill="DBDBDB"/>
          </w:tcPr>
          <w:p>
            <w:pPr>
              <w:jc w:val="right"/>
              <w:ind w:right="180"/>
              <w:spacing w:after="0"/>
              <w:rPr>
                <w:sz w:val="20"/>
                <w:szCs w:val="20"/>
                <w:color w:val="auto"/>
              </w:rPr>
            </w:pPr>
            <w:r>
              <w:rPr>
                <w:rFonts w:ascii="Calibri" w:cs="Calibri" w:eastAsia="Calibri" w:hAnsi="Calibri"/>
                <w:sz w:val="16"/>
                <w:szCs w:val="16"/>
                <w:color w:val="auto"/>
              </w:rPr>
              <w:t>84.0</w:t>
            </w:r>
          </w:p>
        </w:tc>
        <w:tc>
          <w:tcPr>
            <w:tcW w:w="240" w:type="dxa"/>
            <w:vAlign w:val="bottom"/>
            <w:tcBorders>
              <w:right w:val="single" w:sz="8" w:color="auto"/>
            </w:tcBorders>
          </w:tcPr>
          <w:p>
            <w:pPr>
              <w:spacing w:after="0"/>
              <w:rPr>
                <w:sz w:val="19"/>
                <w:szCs w:val="19"/>
                <w:color w:val="auto"/>
              </w:rPr>
            </w:pPr>
          </w:p>
        </w:tc>
      </w:tr>
      <w:tr>
        <w:trPr>
          <w:trHeight w:val="149"/>
        </w:trPr>
        <w:tc>
          <w:tcPr>
            <w:tcW w:w="3980" w:type="dxa"/>
            <w:vAlign w:val="bottom"/>
            <w:tcBorders>
              <w:left w:val="single" w:sz="8" w:color="auto"/>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r>
    </w:tbl>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earnings per common share estimate reflects a tax rate of approximately 23.0% and the year-to-date share repurchase activity, but does not include any potential future share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Academy will host a conference call today at 10:00 a.m. Eastern Time to discuss its financial results. Listeners may access the call by dialing 1-877-407-3982 (U.S.) or 1-201-493-6780 (International). The passcode is 13734402.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88" w:right="339" w:bottom="1440" w:gutter="0" w:footer="0" w:header="0"/>
          <w:type w:val="continuous"/>
        </w:sectPr>
      </w:pPr>
    </w:p>
    <w:bookmarkStart w:id="5" w:name="page6"/>
    <w:bookmarkEnd w:id="5"/>
    <w:p>
      <w:pPr>
        <w:jc w:val="both"/>
        <w:spacing w:after="0" w:line="271" w:lineRule="auto"/>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(U.S.) or 1-412-317-6671 (International) and entering passcode 13734402.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30 days.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268 stores across 18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These non-GAAP measures have limitations as analytical tools. For information on these limitations, as well as information on why management believes these non-GAAP measures are useful, please see our Annual Report for the fiscal year ended January 29, 2022 (the "Annual Report") and our Quarterly Report for the thirteen and thirty-nine weeks ended October 29, 2022 (the “Quarterly Report”), as such limitations and information may be updated from time to time in our periodic filings with the Securities 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compensate for these limitations by primarily relying on our GAAP results in addition to using these non-GAAP measures supplementally.</w:t>
      </w: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404040"/>
        </w:rPr>
        <w:t>This press release contains forward-looking statements within the meaning of Section 27A of the Securities Act of 1933, as amended, and Section 21E of the Securities Exchange Act of 1934, as amended. These forward-looking statements are based on Academy's current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404040"/>
        </w:rPr>
        <w:t>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and declaration of future dividends, including the timing and amount thereof, share repurchases,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including ongoing inflation and continued increases in interest rates, many of which are beyond Academy's control. Important factors that could cause actual results to differ materially from those in the forward-looking statements are set forth in Academy's filings with the SEC, including the Annual Report and the Quarterly Report, under the caption "Risk Factors," as may be updated from time to time in our periodic filings with the SEC. Any forward-looking statement in this press release</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04040"/>
        </w:rPr>
        <w:t>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6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2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2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28"/>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60" w:type="dxa"/>
            <w:vAlign w:val="bottom"/>
            <w:gridSpan w:val="3"/>
          </w:tcPr>
          <w:p>
            <w:pPr>
              <w:jc w:val="right"/>
              <w:ind w:right="110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240"/>
          </w:cols>
          <w:pgMar w:left="320" w:top="44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220"/>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Percentage of</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Percentage of</w:t>
            </w:r>
          </w:p>
        </w:tc>
      </w:tr>
      <w:tr>
        <w:trPr>
          <w:trHeight w:val="266"/>
        </w:trPr>
        <w:tc>
          <w:tcPr>
            <w:tcW w:w="40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October 29, 2022</w:t>
            </w:r>
          </w:p>
        </w:tc>
        <w:tc>
          <w:tcPr>
            <w:tcW w:w="80" w:type="dxa"/>
            <w:vAlign w:val="bottom"/>
            <w:tcBorders>
              <w:bottom w:val="single" w:sz="8" w:color="CCEEFF"/>
            </w:tcBorders>
          </w:tcPr>
          <w:p>
            <w:pPr>
              <w:spacing w:after="0"/>
              <w:rPr>
                <w:sz w:val="23"/>
                <w:szCs w:val="23"/>
                <w:color w:val="auto"/>
              </w:rPr>
            </w:pP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October 30, 2021</w:t>
            </w:r>
          </w:p>
        </w:tc>
        <w:tc>
          <w:tcPr>
            <w:tcW w:w="8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1,493,925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1,592,795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971,454</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65.0 %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1,031,957</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64.8 %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522,471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35.0 %</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560,838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342,949</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23.0 %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344,725</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21.6 %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179,522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12.0 %</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12,163</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0.8 %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11,424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0.7 %</w:t>
            </w:r>
          </w:p>
        </w:tc>
      </w:tr>
      <w:tr>
        <w:trPr>
          <w:trHeight w:val="278"/>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56"/>
        </w:trPr>
        <w:tc>
          <w:tcPr>
            <w:tcW w:w="40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169,897</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205,303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12.9 %</w:t>
            </w:r>
          </w:p>
        </w:tc>
      </w:tr>
      <w:tr>
        <w:trPr>
          <w:trHeight w:val="271"/>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38,156</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70"/>
        </w:trPr>
        <w:tc>
          <w:tcPr>
            <w:tcW w:w="4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131,741</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8.8 %</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161,305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10.1 %</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r>
      <w:tr>
        <w:trPr>
          <w:trHeight w:val="224"/>
        </w:trPr>
        <w:tc>
          <w:tcPr>
            <w:tcW w:w="4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2"/>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64"/>
        </w:trPr>
        <w:tc>
          <w:tcPr>
            <w:tcW w:w="4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79,085</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91,140</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55"/>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81,379</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93,844</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bl>
    <w:p>
      <w:pPr>
        <w:spacing w:after="0" w:line="51"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0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Thirty-Nine Weeks Ended</w:t>
            </w:r>
          </w:p>
        </w:tc>
        <w:tc>
          <w:tcPr>
            <w:tcW w:w="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220"/>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Percentage of</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Percentage of</w:t>
            </w:r>
          </w:p>
        </w:tc>
      </w:tr>
      <w:tr>
        <w:trPr>
          <w:trHeight w:val="266"/>
        </w:trPr>
        <w:tc>
          <w:tcPr>
            <w:tcW w:w="40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October 29, 2022</w:t>
            </w:r>
          </w:p>
        </w:tc>
        <w:tc>
          <w:tcPr>
            <w:tcW w:w="80" w:type="dxa"/>
            <w:vAlign w:val="bottom"/>
            <w:tcBorders>
              <w:bottom w:val="single" w:sz="8" w:color="CCEEFF"/>
            </w:tcBorders>
          </w:tcPr>
          <w:p>
            <w:pPr>
              <w:spacing w:after="0"/>
              <w:rPr>
                <w:sz w:val="23"/>
                <w:szCs w:val="23"/>
                <w:color w:val="auto"/>
              </w:rPr>
            </w:pP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October 30, 2021</w:t>
            </w:r>
          </w:p>
        </w:tc>
        <w:tc>
          <w:tcPr>
            <w:tcW w:w="8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(1)</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4,648,570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4,964,658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3,008,612</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64.7 %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3,197,623</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64.4 %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1,639,958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35.3 %</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1,767,035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998,209</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21.5 %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1,057,290</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21.3 %</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641,749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13.8 %</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709,745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34,240</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0.7 %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38,130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0.8 %</w:t>
            </w:r>
          </w:p>
        </w:tc>
      </w:tr>
      <w:tr>
        <w:trPr>
          <w:trHeight w:val="278"/>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14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w:t>
            </w: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(4,676)</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(0.0)%</w:t>
            </w:r>
          </w:p>
        </w:tc>
      </w:tr>
      <w:tr>
        <w:trPr>
          <w:trHeight w:val="27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612,185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13.2 %</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671,122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141,837</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3.1 %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141,511</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2.9 %</w:t>
            </w:r>
          </w:p>
        </w:tc>
      </w:tr>
      <w:tr>
        <w:trPr>
          <w:trHeight w:val="295"/>
        </w:trPr>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470,348</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529,611</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r>
        <w:trPr>
          <w:trHeight w:val="204"/>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62"/>
        </w:trPr>
        <w:tc>
          <w:tcPr>
            <w:tcW w:w="404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5.67</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8"/>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57"/>
        </w:trPr>
        <w:tc>
          <w:tcPr>
            <w:tcW w:w="4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63"/>
        </w:trPr>
        <w:tc>
          <w:tcPr>
            <w:tcW w:w="404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82,901</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91,951</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8"/>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84,910</w:t>
            </w:r>
          </w:p>
        </w:tc>
        <w:tc>
          <w:tcPr>
            <w:tcW w:w="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95,504</w:t>
            </w:r>
          </w:p>
        </w:tc>
        <w:tc>
          <w:tcPr>
            <w:tcW w:w="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bl>
    <w:p>
      <w:pPr>
        <w:spacing w:after="0" w:line="36"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29, 2022</w:t>
            </w:r>
          </w:p>
        </w:tc>
        <w:tc>
          <w:tcPr>
            <w:tcW w:w="140" w:type="dxa"/>
            <w:vAlign w:val="bottom"/>
          </w:tcPr>
          <w:p>
            <w:pPr>
              <w:spacing w:after="0"/>
              <w:rPr>
                <w:sz w:val="22"/>
                <w:szCs w:val="22"/>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29, 2022</w:t>
            </w:r>
          </w:p>
        </w:tc>
        <w:tc>
          <w:tcPr>
            <w:tcW w:w="140" w:type="dxa"/>
            <w:vAlign w:val="bottom"/>
          </w:tcPr>
          <w:p>
            <w:pPr>
              <w:spacing w:after="0"/>
              <w:rPr>
                <w:sz w:val="22"/>
                <w:szCs w:val="22"/>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October 30, 2021</w:t>
            </w:r>
          </w:p>
        </w:tc>
      </w:tr>
      <w:tr>
        <w:trPr>
          <w:trHeight w:val="257"/>
        </w:trPr>
        <w:tc>
          <w:tcPr>
            <w:tcW w:w="5600" w:type="dxa"/>
            <w:vAlign w:val="bottom"/>
            <w:tcBorders>
              <w:top w:val="single" w:sz="8" w:color="CCEEFF"/>
            </w:tcBorders>
            <w:shd w:val="clear" w:color="auto" w:fill="CCEEFF"/>
          </w:tcPr>
          <w:p>
            <w:pPr>
              <w:ind w:left="238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8"/>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318,167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485,998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401,297</w:t>
            </w:r>
          </w:p>
        </w:tc>
      </w:tr>
      <w:tr>
        <w:trPr>
          <w:trHeight w:val="224"/>
        </w:trPr>
        <w:tc>
          <w:tcPr>
            <w:tcW w:w="5600" w:type="dxa"/>
            <w:vAlign w:val="bottom"/>
          </w:tcPr>
          <w:p>
            <w:pPr>
              <w:ind w:left="220"/>
              <w:spacing w:after="0"/>
              <w:rPr>
                <w:sz w:val="20"/>
                <w:szCs w:val="20"/>
                <w:color w:val="auto"/>
              </w:rPr>
            </w:pPr>
            <w:r>
              <w:rPr>
                <w:rFonts w:ascii="Arial" w:cs="Arial" w:eastAsia="Arial" w:hAnsi="Arial"/>
                <w:sz w:val="18"/>
                <w:szCs w:val="18"/>
                <w:color w:val="auto"/>
              </w:rPr>
              <w:t>Accounts receivable - less allowance for doubtful accounts of</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4"/>
        </w:trPr>
        <w:tc>
          <w:tcPr>
            <w:tcW w:w="5600" w:type="dxa"/>
            <w:vAlign w:val="bottom"/>
          </w:tcPr>
          <w:p>
            <w:pPr>
              <w:ind w:left="220"/>
              <w:spacing w:after="0"/>
              <w:rPr>
                <w:sz w:val="20"/>
                <w:szCs w:val="20"/>
                <w:color w:val="auto"/>
              </w:rPr>
            </w:pPr>
            <w:r>
              <w:rPr>
                <w:rFonts w:ascii="Arial" w:cs="Arial" w:eastAsia="Arial" w:hAnsi="Arial"/>
                <w:sz w:val="18"/>
                <w:szCs w:val="18"/>
                <w:color w:val="auto"/>
              </w:rPr>
              <w:t>$1,449, $732 and $1,139, respectively</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15,998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19,718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12,368</w:t>
            </w:r>
          </w:p>
        </w:tc>
      </w:tr>
      <w:tr>
        <w:trPr>
          <w:trHeight w:val="278"/>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inventories, net</w:t>
            </w: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1,495,464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1,171,808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1,325,979</w:t>
            </w:r>
          </w:p>
        </w:tc>
      </w:tr>
      <w:tr>
        <w:trPr>
          <w:trHeight w:val="263"/>
        </w:trPr>
        <w:tc>
          <w:tcPr>
            <w:tcW w:w="5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44,241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36,460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44,491</w:t>
            </w:r>
          </w:p>
        </w:tc>
      </w:tr>
      <w:tr>
        <w:trPr>
          <w:trHeight w:val="278"/>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14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56"/>
        </w:trPr>
        <w:tc>
          <w:tcPr>
            <w:tcW w:w="5600" w:type="dxa"/>
            <w:vAlign w:val="bottom"/>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1,875,633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1,715,747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1,785,898</w:t>
            </w:r>
          </w:p>
        </w:tc>
      </w:tr>
      <w:tr>
        <w:trPr>
          <w:trHeight w:val="223"/>
        </w:trPr>
        <w:tc>
          <w:tcPr>
            <w:tcW w:w="5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354,014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345,836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358,110</w:t>
            </w:r>
          </w:p>
        </w:tc>
      </w:tr>
      <w:tr>
        <w:trPr>
          <w:trHeight w:val="27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1,100,522</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1,079,546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1,087,407</w:t>
            </w: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577,571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577,215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577,144</w:t>
            </w:r>
          </w:p>
        </w:tc>
      </w:tr>
      <w:tr>
        <w:trPr>
          <w:trHeight w:val="27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861,920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861,920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861,920</w:t>
            </w:r>
          </w:p>
        </w:tc>
      </w:tr>
      <w:tr>
        <w:trPr>
          <w:trHeight w:val="26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12,804</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w:t>
            </w:r>
          </w:p>
        </w:tc>
      </w:tr>
      <w:tr>
        <w:trPr>
          <w:trHeight w:val="295"/>
        </w:trPr>
        <w:tc>
          <w:tcPr>
            <w:tcW w:w="5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4,782,464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4,584,940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4,675,995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70"/>
        </w:trPr>
        <w:tc>
          <w:tcPr>
            <w:tcW w:w="56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8"/>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840,585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919,196</w:t>
            </w:r>
          </w:p>
        </w:tc>
      </w:tr>
      <w:tr>
        <w:trPr>
          <w:trHeight w:val="263"/>
        </w:trPr>
        <w:tc>
          <w:tcPr>
            <w:tcW w:w="560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259,179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303,207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304,488</w:t>
            </w:r>
          </w:p>
        </w:tc>
      </w:tr>
      <w:tr>
        <w:trPr>
          <w:trHeight w:val="278"/>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lease liabilities</w:t>
            </w: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88,447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86,701</w:t>
            </w:r>
          </w:p>
        </w:tc>
      </w:tr>
      <w:tr>
        <w:trPr>
          <w:trHeight w:val="264"/>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70"/>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1,191,211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1,127,110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1,313,385</w:t>
            </w:r>
          </w:p>
        </w:tc>
      </w:tr>
      <w:tr>
        <w:trPr>
          <w:trHeight w:val="216"/>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682,803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683,585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683,845</w:t>
            </w: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1,093,909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1,077,667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1,088,142</w:t>
            </w:r>
          </w:p>
        </w:tc>
      </w:tr>
      <w:tr>
        <w:trPr>
          <w:trHeight w:val="27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242,843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217,212</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188,243</w:t>
            </w:r>
          </w:p>
        </w:tc>
      </w:tr>
      <w:tr>
        <w:trPr>
          <w:trHeight w:val="26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12,779</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26,386</w:t>
            </w:r>
          </w:p>
        </w:tc>
      </w:tr>
      <w:tr>
        <w:trPr>
          <w:trHeight w:val="263"/>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3,223,545</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3,117,994</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3,300,001</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16"/>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24"/>
        </w:trPr>
        <w:tc>
          <w:tcPr>
            <w:tcW w:w="5600" w:type="dxa"/>
            <w:vAlign w:val="bottom"/>
          </w:tcPr>
          <w:p>
            <w:pPr>
              <w:ind w:left="220"/>
              <w:spacing w:after="0"/>
              <w:rPr>
                <w:sz w:val="20"/>
                <w:szCs w:val="20"/>
                <w:color w:val="auto"/>
              </w:rPr>
            </w:pPr>
            <w:r>
              <w:rPr>
                <w:rFonts w:ascii="Arial" w:cs="Arial" w:eastAsia="Arial" w:hAnsi="Arial"/>
                <w:sz w:val="18"/>
                <w:szCs w:val="18"/>
                <w:color w:val="auto"/>
              </w:rPr>
              <w:t>Preferred stock, $0.01 par value, authorized 50,000,000 shares;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4"/>
        </w:trPr>
        <w:tc>
          <w:tcPr>
            <w:tcW w:w="5600" w:type="dxa"/>
            <w:vAlign w:val="bottom"/>
          </w:tcPr>
          <w:p>
            <w:pPr>
              <w:ind w:left="220"/>
              <w:spacing w:after="0"/>
              <w:rPr>
                <w:sz w:val="20"/>
                <w:szCs w:val="20"/>
                <w:color w:val="auto"/>
              </w:rPr>
            </w:pPr>
            <w:r>
              <w:rPr>
                <w:rFonts w:ascii="Arial" w:cs="Arial" w:eastAsia="Arial" w:hAnsi="Arial"/>
                <w:sz w:val="18"/>
                <w:szCs w:val="18"/>
                <w:color w:val="auto"/>
              </w:rPr>
              <w:t>none issued and outstanding</w:t>
            </w:r>
          </w:p>
        </w:tc>
        <w:tc>
          <w:tcPr>
            <w:tcW w:w="140" w:type="dxa"/>
            <w:vAlign w:val="bottom"/>
          </w:tcPr>
          <w:p>
            <w:pPr>
              <w:spacing w:after="0"/>
              <w:rPr>
                <w:sz w:val="22"/>
                <w:szCs w:val="22"/>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$0.01 par value, authorized 300,000,000 shares;</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77,959,530; 87,079,394; and 88,164,878 issued and outstanding</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of October 29, 2022, January 29, 2022, and October 30, 2021,</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62"/>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63"/>
        </w:trPr>
        <w:tc>
          <w:tcPr>
            <w:tcW w:w="56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203,734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198,016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188,329</w:t>
            </w:r>
          </w:p>
        </w:tc>
      </w:tr>
      <w:tr>
        <w:trPr>
          <w:trHeight w:val="278"/>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1,354,406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1,268,060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1,188,271</w:t>
            </w:r>
          </w:p>
        </w:tc>
      </w:tr>
      <w:tr>
        <w:trPr>
          <w:trHeight w:val="264"/>
        </w:trPr>
        <w:tc>
          <w:tcPr>
            <w:tcW w:w="56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2"/>
                <w:szCs w:val="22"/>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(1,488)</w:t>
            </w:r>
          </w:p>
        </w:tc>
      </w:tr>
      <w:tr>
        <w:trPr>
          <w:trHeight w:val="263"/>
        </w:trPr>
        <w:tc>
          <w:tcPr>
            <w:tcW w:w="56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1,558,919</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1,466,946</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1,375,994</w:t>
            </w:r>
          </w:p>
        </w:tc>
      </w:tr>
      <w:tr>
        <w:trPr>
          <w:trHeight w:val="270"/>
        </w:trPr>
        <w:tc>
          <w:tcPr>
            <w:tcW w:w="5600" w:type="dxa"/>
            <w:vAlign w:val="bottom"/>
          </w:tcPr>
          <w:p>
            <w:pPr>
              <w:ind w:left="4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4,782,464</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4,584,940</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4,675,995</w:t>
            </w:r>
          </w:p>
        </w:tc>
      </w:tr>
      <w:tr>
        <w:trPr>
          <w:trHeight w:val="21"/>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80" w:top="769" w:right="379" w:bottom="1440" w:gutter="0" w:footer="0" w:header="0"/>
        </w:sectPr>
      </w:pP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40"/>
          </w:cols>
          <w:pgMar w:left="380" w:top="769" w:right="37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Thirty-Nine Weeks Ended</w:t>
            </w:r>
          </w:p>
        </w:tc>
      </w:tr>
      <w:tr>
        <w:trPr>
          <w:trHeight w:val="263"/>
        </w:trPr>
        <w:tc>
          <w:tcPr>
            <w:tcW w:w="7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 2022</w:t>
            </w:r>
          </w:p>
        </w:tc>
        <w:tc>
          <w:tcPr>
            <w:tcW w:w="140" w:type="dxa"/>
            <w:vAlign w:val="bottom"/>
          </w:tcPr>
          <w:p>
            <w:pPr>
              <w:spacing w:after="0"/>
              <w:rPr>
                <w:sz w:val="22"/>
                <w:szCs w:val="22"/>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October 30, 2021</w:t>
            </w:r>
          </w:p>
        </w:tc>
      </w:tr>
      <w:tr>
        <w:trPr>
          <w:trHeight w:val="257"/>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r>
      <w:tr>
        <w:trPr>
          <w:trHeight w:val="263"/>
        </w:trPr>
        <w:tc>
          <w:tcPr>
            <w:tcW w:w="75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470,348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529,611</w:t>
            </w:r>
          </w:p>
        </w:tc>
      </w:tr>
      <w:tr>
        <w:trPr>
          <w:trHeight w:val="258"/>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63"/>
        </w:trPr>
        <w:tc>
          <w:tcPr>
            <w:tcW w:w="75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78,852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77,767</w:t>
            </w:r>
          </w:p>
        </w:tc>
      </w:tr>
      <w:tr>
        <w:trPr>
          <w:trHeight w:val="278"/>
        </w:trPr>
        <w:tc>
          <w:tcPr>
            <w:tcW w:w="7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lease expense</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63"/>
        </w:trPr>
        <w:tc>
          <w:tcPr>
            <w:tcW w:w="7500" w:type="dxa"/>
            <w:vAlign w:val="bottom"/>
          </w:tcPr>
          <w:p>
            <w:pPr>
              <w:ind w:left="440"/>
              <w:spacing w:after="0"/>
              <w:rPr>
                <w:sz w:val="20"/>
                <w:szCs w:val="20"/>
                <w:color w:val="auto"/>
              </w:rPr>
            </w:pPr>
            <w:r>
              <w:rPr>
                <w:rFonts w:ascii="Arial" w:cs="Arial" w:eastAsia="Arial" w:hAnsi="Arial"/>
                <w:sz w:val="18"/>
                <w:szCs w:val="18"/>
                <w:color w:val="auto"/>
              </w:rPr>
              <w:t>Equity compensation</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15,486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36,126</w:t>
            </w:r>
          </w:p>
        </w:tc>
      </w:tr>
      <w:tr>
        <w:trPr>
          <w:trHeight w:val="278"/>
        </w:trPr>
        <w:tc>
          <w:tcPr>
            <w:tcW w:w="7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terminated interest rate swaps, deferred loan and other costs</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r>
      <w:tr>
        <w:trPr>
          <w:trHeight w:val="263"/>
        </w:trPr>
        <w:tc>
          <w:tcPr>
            <w:tcW w:w="75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25,631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48,991</w:t>
            </w:r>
          </w:p>
        </w:tc>
      </w:tr>
      <w:tr>
        <w:trPr>
          <w:trHeight w:val="278"/>
        </w:trPr>
        <w:tc>
          <w:tcPr>
            <w:tcW w:w="7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loss on early retirement of debt</w:t>
            </w:r>
          </w:p>
        </w:tc>
        <w:tc>
          <w:tcPr>
            <w:tcW w:w="14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r>
      <w:tr>
        <w:trPr>
          <w:trHeight w:val="247"/>
        </w:trPr>
        <w:tc>
          <w:tcPr>
            <w:tcW w:w="7500" w:type="dxa"/>
            <w:vAlign w:val="bottom"/>
          </w:tcPr>
          <w:p>
            <w:pPr>
              <w:ind w:left="44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
        </w:trPr>
        <w:tc>
          <w:tcPr>
            <w:tcW w:w="7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r>
      <w:tr>
        <w:trPr>
          <w:trHeight w:val="262"/>
        </w:trPr>
        <w:tc>
          <w:tcPr>
            <w:tcW w:w="7500" w:type="dxa"/>
            <w:vAlign w:val="bottom"/>
          </w:tcPr>
          <w:p>
            <w:pPr>
              <w:ind w:left="660"/>
              <w:spacing w:after="0"/>
              <w:rPr>
                <w:sz w:val="20"/>
                <w:szCs w:val="20"/>
                <w:color w:val="auto"/>
              </w:rPr>
            </w:pPr>
            <w:r>
              <w:rPr>
                <w:rFonts w:ascii="Arial" w:cs="Arial" w:eastAsia="Arial" w:hAnsi="Arial"/>
                <w:sz w:val="18"/>
                <w:szCs w:val="18"/>
                <w:color w:val="auto"/>
              </w:rPr>
              <w:t>Merchandise inventories, net</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(323,656)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(335,945)</w:t>
            </w:r>
          </w:p>
        </w:tc>
      </w:tr>
      <w:tr>
        <w:trPr>
          <w:trHeight w:val="278"/>
        </w:trPr>
        <w:tc>
          <w:tcPr>
            <w:tcW w:w="7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w:t>
            </w:r>
          </w:p>
        </w:tc>
      </w:tr>
      <w:tr>
        <w:trPr>
          <w:trHeight w:val="262"/>
        </w:trPr>
        <w:tc>
          <w:tcPr>
            <w:tcW w:w="7500" w:type="dxa"/>
            <w:vAlign w:val="bottom"/>
          </w:tcPr>
          <w:p>
            <w:pPr>
              <w:ind w:left="66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(8,987)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2,207</w:t>
            </w:r>
          </w:p>
        </w:tc>
      </w:tr>
      <w:tr>
        <w:trPr>
          <w:trHeight w:val="278"/>
        </w:trPr>
        <w:tc>
          <w:tcPr>
            <w:tcW w:w="7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95,183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128,743</w:t>
            </w:r>
          </w:p>
        </w:tc>
      </w:tr>
      <w:tr>
        <w:trPr>
          <w:trHeight w:val="262"/>
        </w:trPr>
        <w:tc>
          <w:tcPr>
            <w:tcW w:w="7500" w:type="dxa"/>
            <w:vAlign w:val="bottom"/>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(39,196)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34,683</w:t>
            </w:r>
          </w:p>
        </w:tc>
      </w:tr>
      <w:tr>
        <w:trPr>
          <w:trHeight w:val="278"/>
        </w:trPr>
        <w:tc>
          <w:tcPr>
            <w:tcW w:w="7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(12,332)</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63"/>
        </w:trPr>
        <w:tc>
          <w:tcPr>
            <w:tcW w:w="75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r>
      <w:tr>
        <w:trPr>
          <w:trHeight w:val="264"/>
        </w:trPr>
        <w:tc>
          <w:tcPr>
            <w:tcW w:w="7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309,169</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515,063</w:t>
            </w:r>
          </w:p>
        </w:tc>
      </w:tr>
      <w:tr>
        <w:trPr>
          <w:trHeight w:val="243"/>
        </w:trPr>
        <w:tc>
          <w:tcPr>
            <w:tcW w:w="7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0"/>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2"/>
        </w:trPr>
        <w:tc>
          <w:tcPr>
            <w:tcW w:w="75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(79,454)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(58,567)</w:t>
            </w:r>
          </w:p>
        </w:tc>
      </w:tr>
      <w:tr>
        <w:trPr>
          <w:trHeight w:val="278"/>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intangible assets</w:t>
            </w:r>
          </w:p>
        </w:tc>
        <w:tc>
          <w:tcPr>
            <w:tcW w:w="1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57"/>
        </w:trPr>
        <w:tc>
          <w:tcPr>
            <w:tcW w:w="75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(79,811)</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(58,711)</w:t>
            </w:r>
          </w:p>
        </w:tc>
      </w:tr>
      <w:tr>
        <w:trPr>
          <w:trHeight w:val="243"/>
        </w:trPr>
        <w:tc>
          <w:tcPr>
            <w:tcW w:w="7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62"/>
        </w:trPr>
        <w:tc>
          <w:tcPr>
            <w:tcW w:w="7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8"/>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Term Loan</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(101,500)</w:t>
            </w:r>
          </w:p>
        </w:tc>
      </w:tr>
      <w:tr>
        <w:trPr>
          <w:trHeight w:val="262"/>
        </w:trPr>
        <w:tc>
          <w:tcPr>
            <w:tcW w:w="7500" w:type="dxa"/>
            <w:vAlign w:val="bottom"/>
          </w:tcPr>
          <w:p>
            <w:pPr>
              <w:ind w:left="220"/>
              <w:spacing w:after="0"/>
              <w:rPr>
                <w:sz w:val="20"/>
                <w:szCs w:val="20"/>
                <w:color w:val="auto"/>
              </w:rPr>
            </w:pPr>
            <w:r>
              <w:rPr>
                <w:rFonts w:ascii="Arial" w:cs="Arial" w:eastAsia="Arial" w:hAnsi="Arial"/>
                <w:sz w:val="18"/>
                <w:szCs w:val="18"/>
                <w:color w:val="auto"/>
              </w:rPr>
              <w:t>Debt issuance fees</w:t>
            </w:r>
          </w:p>
        </w:tc>
        <w:tc>
          <w:tcPr>
            <w:tcW w:w="140" w:type="dxa"/>
            <w:vAlign w:val="bottom"/>
          </w:tcPr>
          <w:p>
            <w:pPr>
              <w:spacing w:after="0"/>
              <w:rPr>
                <w:sz w:val="22"/>
                <w:szCs w:val="22"/>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8"/>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 Payments</w:t>
            </w:r>
          </w:p>
        </w:tc>
        <w:tc>
          <w:tcPr>
            <w:tcW w:w="14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w:t>
            </w:r>
          </w:p>
        </w:tc>
      </w:tr>
      <w:tr>
        <w:trPr>
          <w:trHeight w:val="262"/>
        </w:trPr>
        <w:tc>
          <w:tcPr>
            <w:tcW w:w="750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11,559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41,292</w:t>
            </w:r>
          </w:p>
        </w:tc>
      </w:tr>
      <w:tr>
        <w:trPr>
          <w:trHeight w:val="278"/>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 under employee stock purchase program</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63"/>
        </w:trPr>
        <w:tc>
          <w:tcPr>
            <w:tcW w:w="7500" w:type="dxa"/>
            <w:vAlign w:val="bottom"/>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(1,078)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(15,418)</w:t>
            </w:r>
          </w:p>
        </w:tc>
      </w:tr>
      <w:tr>
        <w:trPr>
          <w:trHeight w:val="278"/>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common stock for retirement</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(389,436)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(345,837)</w:t>
            </w:r>
          </w:p>
        </w:tc>
      </w:tr>
      <w:tr>
        <w:trPr>
          <w:trHeight w:val="264"/>
        </w:trPr>
        <w:tc>
          <w:tcPr>
            <w:tcW w:w="7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paid</w:t>
            </w: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(18,781)</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(397,189)</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(432,659)</w:t>
            </w:r>
          </w:p>
        </w:tc>
      </w:tr>
      <w:tr>
        <w:trPr>
          <w:trHeight w:val="243"/>
        </w:trPr>
        <w:tc>
          <w:tcPr>
            <w:tcW w:w="7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0"/>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(167,831)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23,693</w:t>
            </w:r>
          </w:p>
        </w:tc>
      </w:tr>
      <w:tr>
        <w:trPr>
          <w:trHeight w:val="264"/>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485,998</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377,604</w:t>
            </w:r>
          </w:p>
        </w:tc>
      </w:tr>
      <w:tr>
        <w:trPr>
          <w:trHeight w:val="29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318,167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401,297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769" w:right="359" w:bottom="1440" w:gutter="0" w:footer="0" w:header="0"/>
        </w:sect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80"/>
          </w:cols>
          <w:pgMar w:left="360" w:top="769" w:right="3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costs such as consulting fees, private equity sponsor monitoring fees, equity compensation expense, (gain) loss on early retirement of debt, net, severance and executive transition costs, costs related to the COVID-19 pandemic, pre-opening expenses, payroll taxes associated with a vesting event, as a result of a secondary offering, of certain time and performance-based equity awards, which occurred in May 2021 (the “2021 Vesting Event”) and other adjustments. We define “Adjusted EBIT” as net income (loss) before interest expense, net, and income tax expense, further adjusted to exclude costs such as consulting fees, private equity sponsor</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monitoring fees, equity compensation expense, (gain) loss on early retirement of debt, net, severance and executive transition costs, costs related to the COVID-19 pandemic, pre-opening expenses, payroll taxes associated with the 2021 Vesting Event and other adjustments. We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describe these adjustments reconciling net income (loss) to Adjusted EBITDA and Adjusted EBIT in the following table.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Thirty-Nine Weeks Ended</w:t>
            </w:r>
          </w:p>
        </w:tc>
      </w:tr>
      <w:tr>
        <w:trPr>
          <w:trHeight w:val="237"/>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2022</w:t>
            </w: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2022</w:t>
            </w:r>
          </w:p>
        </w:tc>
        <w:tc>
          <w:tcPr>
            <w:tcW w:w="16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b w:val="1"/>
                <w:bCs w:val="1"/>
                <w:color w:val="auto"/>
              </w:rPr>
              <w:t>October 30, 2021</w:t>
            </w:r>
          </w:p>
        </w:tc>
      </w:tr>
      <w:tr>
        <w:trPr>
          <w:trHeight w:val="24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131,741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161,305</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470,348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529,611</w:t>
            </w:r>
          </w:p>
        </w:tc>
      </w:tr>
      <w:tr>
        <w:trPr>
          <w:trHeight w:val="239"/>
        </w:trPr>
        <w:tc>
          <w:tcPr>
            <w:tcW w:w="40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12,163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11,424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34,240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38,130</w:t>
            </w:r>
          </w:p>
        </w:tc>
      </w:tr>
      <w:tr>
        <w:trPr>
          <w:trHeight w:val="24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141,837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141,511</w:t>
            </w:r>
          </w:p>
        </w:tc>
      </w:tr>
      <w:tr>
        <w:trPr>
          <w:trHeight w:val="239"/>
        </w:trPr>
        <w:tc>
          <w:tcPr>
            <w:tcW w:w="40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27,000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26,459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78,852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77,767</w:t>
            </w:r>
          </w:p>
        </w:tc>
      </w:tr>
      <w:tr>
        <w:trPr>
          <w:trHeight w:val="24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(a)</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36,126</w:t>
            </w:r>
          </w:p>
        </w:tc>
      </w:tr>
      <w:tr>
        <w:trPr>
          <w:trHeight w:val="239"/>
        </w:trPr>
        <w:tc>
          <w:tcPr>
            <w:tcW w:w="4020" w:type="dxa"/>
            <w:vAlign w:val="bottom"/>
          </w:tcPr>
          <w:p>
            <w:pPr>
              <w:ind w:left="20"/>
              <w:spacing w:after="0"/>
              <w:rPr>
                <w:sz w:val="20"/>
                <w:szCs w:val="20"/>
                <w:color w:val="auto"/>
              </w:rPr>
            </w:pPr>
            <w:r>
              <w:rPr>
                <w:rFonts w:ascii="Arial" w:cs="Arial" w:eastAsia="Arial" w:hAnsi="Arial"/>
                <w:sz w:val="16"/>
                <w:szCs w:val="16"/>
                <w:color w:val="auto"/>
              </w:rPr>
              <w:t>Loss on early retirement of debt</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2,239</w:t>
            </w:r>
          </w:p>
        </w:tc>
      </w:tr>
      <w:tr>
        <w:trPr>
          <w:trHeight w:val="24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Pre-opening expenses (b)</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Payroll taxes associated with the 2021 Vesting Event</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6"/>
        </w:trPr>
        <w:tc>
          <w:tcPr>
            <w:tcW w:w="4020" w:type="dxa"/>
            <w:vAlign w:val="bottom"/>
          </w:tcPr>
          <w:p>
            <w:pPr>
              <w:ind w:left="20"/>
              <w:spacing w:after="0"/>
              <w:rPr>
                <w:sz w:val="20"/>
                <w:szCs w:val="20"/>
                <w:color w:val="auto"/>
              </w:rPr>
            </w:pPr>
            <w:r>
              <w:rPr>
                <w:rFonts w:ascii="Arial" w:cs="Arial" w:eastAsia="Arial" w:hAnsi="Arial"/>
                <w:sz w:val="16"/>
                <w:szCs w:val="16"/>
                <w:color w:val="auto"/>
              </w:rPr>
              <w:t>(c)</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15,418</w:t>
            </w: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r>
      <w:tr>
        <w:trPr>
          <w:trHeight w:val="237"/>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217,004</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246,702</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745,704</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842,111</w:t>
            </w:r>
          </w:p>
        </w:tc>
      </w:tr>
      <w:tr>
        <w:trPr>
          <w:trHeight w:val="23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Depreciation and amortization</w:t>
            </w:r>
          </w:p>
        </w:tc>
        <w:tc>
          <w:tcPr>
            <w:tcW w:w="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(27,000)</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(78,852)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(77,767)</w:t>
            </w:r>
          </w:p>
        </w:tc>
      </w:tr>
      <w:tr>
        <w:trPr>
          <w:trHeight w:val="240"/>
        </w:trPr>
        <w:tc>
          <w:tcPr>
            <w:tcW w:w="4020" w:type="dxa"/>
            <w:vAlign w:val="bottom"/>
          </w:tcPr>
          <w:p>
            <w:pPr>
              <w:ind w:left="240"/>
              <w:spacing w:after="0"/>
              <w:rPr>
                <w:sz w:val="20"/>
                <w:szCs w:val="20"/>
                <w:color w:val="auto"/>
              </w:rPr>
            </w:pPr>
            <w:r>
              <w:rPr>
                <w:rFonts w:ascii="Arial" w:cs="Arial" w:eastAsia="Arial" w:hAnsi="Arial"/>
                <w:sz w:val="16"/>
                <w:szCs w:val="16"/>
                <w:color w:val="auto"/>
              </w:rPr>
              <w:t>Adjusted EBIT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190,004</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220,243</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666,852</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764,344</w:t>
            </w: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400" w:right="320" w:hanging="374"/>
        <w:spacing w:after="0" w:line="264"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the 2021 Vesting Event,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00" w:right="300" w:hanging="374"/>
        <w:spacing w:after="0" w:line="264"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22" w:lineRule="exact"/>
        <w:rPr>
          <w:rFonts w:ascii="Arial" w:cs="Arial" w:eastAsia="Arial" w:hAnsi="Arial"/>
          <w:sz w:val="13"/>
          <w:szCs w:val="13"/>
          <w:color w:val="auto"/>
        </w:rPr>
      </w:pP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53" w:lineRule="exact"/>
        <w:rPr>
          <w:rFonts w:ascii="Arial" w:cs="Arial" w:eastAsia="Arial" w:hAnsi="Arial"/>
          <w:sz w:val="13"/>
          <w:szCs w:val="13"/>
          <w:color w:val="auto"/>
        </w:rPr>
      </w:pPr>
    </w:p>
    <w:p>
      <w:pPr>
        <w:jc w:val="both"/>
        <w:ind w:left="400" w:right="300" w:hanging="374"/>
        <w:spacing w:after="0" w:line="262"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EBITDA and Adjusted EBIT)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define “Adjusted Net Income (Loss)” as net income (loss), plus costs such as consulting fees, private equity sponsor monitoring fees, equity compensation expense, (gain) loss on early retirement of debt, net, severance and executive transition costs, costs related to the COVID-19 pandemic, pre-opening expenses, payroll taxes associated with the 2021 Vesting Event and other adjustments,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Thirty-Nine Weeks Ended</w:t>
            </w:r>
          </w:p>
        </w:tc>
      </w:tr>
      <w:tr>
        <w:trPr>
          <w:trHeight w:val="237"/>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2022</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29, 2022</w:t>
            </w:r>
          </w:p>
        </w:tc>
        <w:tc>
          <w:tcPr>
            <w:tcW w:w="16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October 30, 2021</w:t>
            </w:r>
          </w:p>
        </w:tc>
      </w:tr>
      <w:tr>
        <w:trPr>
          <w:trHeight w:val="24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131,741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161,305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470,348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529,611</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5,829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15,486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36,126</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Pre-opening expenses (b)</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2,115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4,941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Payroll taxes associated with the 2021 Vesting Event (c)</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15,418</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Other (d)</w:t>
            </w:r>
          </w:p>
        </w:tc>
        <w:tc>
          <w:tcPr>
            <w:tcW w:w="14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1,309</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effects of these adjustments (e)</w:t>
            </w: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(4,735)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(13,487)</w:t>
            </w:r>
          </w:p>
        </w:tc>
      </w:tr>
      <w:tr>
        <w:trPr>
          <w:trHeight w:val="237"/>
        </w:trPr>
        <w:tc>
          <w:tcPr>
            <w:tcW w:w="4320" w:type="dxa"/>
            <w:vAlign w:val="bottom"/>
          </w:tcPr>
          <w:p>
            <w:pPr>
              <w:ind w:left="240"/>
              <w:spacing w:after="0"/>
              <w:rPr>
                <w:sz w:val="20"/>
                <w:szCs w:val="20"/>
                <w:color w:val="auto"/>
              </w:rPr>
            </w:pPr>
            <w:r>
              <w:rPr>
                <w:rFonts w:ascii="Arial" w:cs="Arial" w:eastAsia="Arial" w:hAnsi="Arial"/>
                <w:sz w:val="16"/>
                <w:szCs w:val="16"/>
                <w:color w:val="auto"/>
              </w:rPr>
              <w:t>Adjusted Net Income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137,877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164,135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486,040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571,216</w:t>
            </w:r>
          </w:p>
        </w:tc>
      </w:tr>
      <w:tr>
        <w:trPr>
          <w:trHeight w:val="152"/>
        </w:trPr>
        <w:tc>
          <w:tcPr>
            <w:tcW w:w="4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235"/>
        </w:trPr>
        <w:tc>
          <w:tcPr>
            <w:tcW w:w="4320" w:type="dxa"/>
            <w:vAlign w:val="bottom"/>
          </w:tcPr>
          <w:p>
            <w:pPr>
              <w:ind w:left="20"/>
              <w:spacing w:after="0"/>
              <w:rPr>
                <w:sz w:val="20"/>
                <w:szCs w:val="20"/>
                <w:color w:val="auto"/>
              </w:rPr>
            </w:pPr>
            <w:r>
              <w:rPr>
                <w:rFonts w:ascii="Arial" w:cs="Arial" w:eastAsia="Arial" w:hAnsi="Arial"/>
                <w:sz w:val="16"/>
                <w:szCs w:val="16"/>
                <w:color w:val="auto"/>
              </w:rPr>
              <w:t>Adjusted Earnings per Common Share:</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4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39"/>
        </w:trPr>
        <w:tc>
          <w:tcPr>
            <w:tcW w:w="4320" w:type="dxa"/>
            <w:vAlign w:val="bottom"/>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1.69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5.72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9"/>
        </w:trPr>
        <w:tc>
          <w:tcPr>
            <w:tcW w:w="4320" w:type="dxa"/>
            <w:vAlign w:val="bottom"/>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79,085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82,901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91,951</w:t>
            </w:r>
          </w:p>
        </w:tc>
      </w:tr>
      <w:tr>
        <w:trPr>
          <w:trHeight w:val="247"/>
        </w:trPr>
        <w:tc>
          <w:tcPr>
            <w:tcW w:w="4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81,379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84,910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95,504</w:t>
            </w:r>
          </w:p>
        </w:tc>
      </w:tr>
    </w:tbl>
    <w:p>
      <w:pPr>
        <w:spacing w:after="0" w:line="117" w:lineRule="exact"/>
        <w:rPr>
          <w:sz w:val="20"/>
          <w:szCs w:val="20"/>
          <w:color w:val="auto"/>
        </w:rPr>
      </w:pPr>
    </w:p>
    <w:p>
      <w:pPr>
        <w:ind w:left="440" w:right="20" w:hanging="414"/>
        <w:spacing w:after="0" w:line="264"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the 2021 Vesting Event,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40" w:right="20" w:hanging="414"/>
        <w:spacing w:after="0" w:line="264"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22" w:lineRule="exact"/>
        <w:rPr>
          <w:rFonts w:ascii="Arial" w:cs="Arial" w:eastAsia="Arial" w:hAnsi="Arial"/>
          <w:sz w:val="13"/>
          <w:szCs w:val="13"/>
          <w:color w:val="auto"/>
        </w:rPr>
      </w:pPr>
    </w:p>
    <w:p>
      <w:pPr>
        <w:ind w:left="440" w:hanging="414"/>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53" w:lineRule="exact"/>
        <w:rPr>
          <w:rFonts w:ascii="Arial" w:cs="Arial" w:eastAsia="Arial" w:hAnsi="Arial"/>
          <w:sz w:val="13"/>
          <w:szCs w:val="13"/>
          <w:color w:val="auto"/>
        </w:rPr>
      </w:pPr>
    </w:p>
    <w:p>
      <w:pPr>
        <w:ind w:left="440" w:right="40" w:hanging="414"/>
        <w:spacing w:after="0" w:line="264"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Net Income)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22" w:lineRule="exact"/>
        <w:rPr>
          <w:rFonts w:ascii="Arial" w:cs="Arial" w:eastAsia="Arial" w:hAnsi="Arial"/>
          <w:sz w:val="13"/>
          <w:szCs w:val="13"/>
          <w:color w:val="auto"/>
        </w:rPr>
      </w:pPr>
    </w:p>
    <w:p>
      <w:pPr>
        <w:ind w:left="440" w:right="20" w:hanging="414"/>
        <w:spacing w:after="0" w:line="264"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the thirteen and thirty-nine weeks ended October 29, 2022 and October 30, 2021, this represents the tax effect (by using the projected full year tax rates for the respective years) of the total adjustments made to arrive at Adjusted Net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Adjusted Earnings Per Common Share, Diluted, Guidance Reconciliation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Low Range*</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High Range*</w:t>
            </w:r>
          </w:p>
        </w:tc>
      </w:tr>
      <w:tr>
        <w:trPr>
          <w:trHeight w:val="213"/>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Fiscal Year Ending</w:t>
            </w:r>
          </w:p>
        </w:tc>
        <w:tc>
          <w:tcPr>
            <w:tcW w:w="260" w:type="dxa"/>
            <w:vAlign w:val="bottom"/>
          </w:tcPr>
          <w:p>
            <w:pPr>
              <w:spacing w:after="0"/>
              <w:rPr>
                <w:sz w:val="18"/>
                <w:szCs w:val="18"/>
                <w:color w:val="auto"/>
              </w:rPr>
            </w:pPr>
          </w:p>
        </w:tc>
        <w:tc>
          <w:tcPr>
            <w:tcW w:w="2040" w:type="dxa"/>
            <w:vAlign w:val="bottom"/>
          </w:tcPr>
          <w:p>
            <w:pPr>
              <w:jc w:val="center"/>
              <w:ind w:right="199"/>
              <w:spacing w:after="0"/>
              <w:rPr>
                <w:sz w:val="20"/>
                <w:szCs w:val="20"/>
                <w:color w:val="auto"/>
              </w:rPr>
            </w:pPr>
            <w:r>
              <w:rPr>
                <w:rFonts w:ascii="Arial" w:cs="Arial" w:eastAsia="Arial" w:hAnsi="Arial"/>
                <w:sz w:val="16"/>
                <w:szCs w:val="16"/>
                <w:b w:val="1"/>
                <w:bCs w:val="1"/>
                <w:color w:val="auto"/>
              </w:rPr>
              <w:t>Fiscal Year Ending</w:t>
            </w:r>
          </w:p>
        </w:tc>
      </w:tr>
      <w:tr>
        <w:trPr>
          <w:trHeight w:val="226"/>
        </w:trPr>
        <w:tc>
          <w:tcPr>
            <w:tcW w:w="6540" w:type="dxa"/>
            <w:vAlign w:val="bottom"/>
          </w:tcPr>
          <w:p>
            <w:pPr>
              <w:ind w:left="20"/>
              <w:spacing w:after="0"/>
              <w:rPr>
                <w:sz w:val="20"/>
                <w:szCs w:val="20"/>
                <w:color w:val="auto"/>
              </w:rPr>
            </w:pPr>
            <w:r>
              <w:rPr>
                <w:rFonts w:ascii="Arial" w:cs="Arial" w:eastAsia="Arial" w:hAnsi="Arial"/>
                <w:sz w:val="13"/>
                <w:szCs w:val="13"/>
                <w:color w:val="auto"/>
              </w:rPr>
              <w:t>(in millions, except per share amounts)</w:t>
            </w:r>
          </w:p>
        </w:tc>
        <w:tc>
          <w:tcPr>
            <w:tcW w:w="260" w:type="dxa"/>
            <w:vAlign w:val="bottom"/>
          </w:tcPr>
          <w:p>
            <w:pPr>
              <w:spacing w:after="0"/>
              <w:rPr>
                <w:sz w:val="19"/>
                <w:szCs w:val="19"/>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January 28, 2023</w:t>
            </w:r>
          </w:p>
        </w:tc>
        <w:tc>
          <w:tcPr>
            <w:tcW w:w="260" w:type="dxa"/>
            <w:vAlign w:val="bottom"/>
          </w:tcPr>
          <w:p>
            <w:pPr>
              <w:spacing w:after="0"/>
              <w:rPr>
                <w:sz w:val="19"/>
                <w:szCs w:val="19"/>
                <w:color w:val="auto"/>
              </w:rPr>
            </w:pPr>
          </w:p>
        </w:tc>
        <w:tc>
          <w:tcPr>
            <w:tcW w:w="2040" w:type="dxa"/>
            <w:vAlign w:val="bottom"/>
          </w:tcPr>
          <w:p>
            <w:pPr>
              <w:jc w:val="center"/>
              <w:ind w:right="179"/>
              <w:spacing w:after="0"/>
              <w:rPr>
                <w:sz w:val="20"/>
                <w:szCs w:val="20"/>
                <w:color w:val="auto"/>
              </w:rPr>
            </w:pPr>
            <w:r>
              <w:rPr>
                <w:rFonts w:ascii="Arial" w:cs="Arial" w:eastAsia="Arial" w:hAnsi="Arial"/>
                <w:sz w:val="16"/>
                <w:szCs w:val="16"/>
                <w:b w:val="1"/>
                <w:bCs w:val="1"/>
                <w:color w:val="auto"/>
              </w:rPr>
              <w:t>January 28, 2023</w:t>
            </w:r>
          </w:p>
        </w:tc>
      </w:tr>
      <w:tr>
        <w:trPr>
          <w:trHeight w:val="24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Net Income</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620.0</w:t>
            </w: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2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51"/>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Pre-opening expenses </w:t>
            </w:r>
            <w:r>
              <w:rPr>
                <w:rFonts w:ascii="Arial" w:cs="Arial" w:eastAsia="Arial" w:hAnsi="Arial"/>
                <w:sz w:val="12"/>
                <w:szCs w:val="12"/>
                <w:color w:val="auto"/>
              </w:rPr>
              <w:t>(a)</w:t>
            </w:r>
          </w:p>
        </w:tc>
        <w:tc>
          <w:tcPr>
            <w:tcW w:w="26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68"/>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Earnings Per Common Share, Diluted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2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51"/>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Pre-opening expenses </w:t>
            </w:r>
            <w:r>
              <w:rPr>
                <w:rFonts w:ascii="Arial" w:cs="Arial" w:eastAsia="Arial" w:hAnsi="Arial"/>
                <w:sz w:val="12"/>
                <w:szCs w:val="12"/>
                <w:color w:val="auto"/>
              </w:rPr>
              <w:t>(a)</w:t>
            </w:r>
          </w:p>
        </w:tc>
        <w:tc>
          <w:tcPr>
            <w:tcW w:w="26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3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r>
      <w:tr>
        <w:trPr>
          <w:trHeight w:val="268"/>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Earnings per Common Share, Diluted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80" w:hanging="354"/>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53" w:lineRule="exact"/>
        <w:rPr>
          <w:sz w:val="20"/>
          <w:szCs w:val="20"/>
          <w:color w:val="auto"/>
        </w:rPr>
      </w:pPr>
    </w:p>
    <w:p>
      <w:pPr>
        <w:ind w:left="380" w:right="40" w:hanging="354"/>
        <w:spacing w:after="0" w:line="286"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Adjustments include new store pre-opening costs (as defined above) and non-cash charges related to equity-based compensation (as defined above), which may vary from period to period. The tax effect of these adjustments is determined by using the projected full year tax rate for the fiscal year.</w:t>
      </w:r>
    </w:p>
    <w:p>
      <w:pPr>
        <w:sectPr>
          <w:pgSz w:w="11900" w:h="16838" w:orient="portrait"/>
          <w:cols w:equalWidth="0" w:num="1">
            <w:col w:w="11240"/>
          </w:cols>
          <w:pgMar w:left="320" w:top="987" w:right="339" w:bottom="1440" w:gutter="0" w:footer="0" w:header="0"/>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8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Thirty-Nine Weeks Ended</w:t>
            </w: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October 29, 2022</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29, 2022</w:t>
            </w:r>
          </w:p>
        </w:tc>
        <w:tc>
          <w:tcPr>
            <w:tcW w:w="180" w:type="dxa"/>
            <w:vAlign w:val="bottom"/>
          </w:tcPr>
          <w:p>
            <w:pPr>
              <w:spacing w:after="0"/>
              <w:rPr>
                <w:sz w:val="20"/>
                <w:szCs w:val="20"/>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October 30, 2021</w:t>
            </w:r>
          </w:p>
        </w:tc>
      </w:tr>
      <w:tr>
        <w:trPr>
          <w:trHeight w:val="24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b w:val="1"/>
                <w:bCs w:val="1"/>
                <w:color w:val="auto"/>
              </w:rPr>
              <w:t>50,763</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109,389</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309,169</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515,063</w:t>
            </w:r>
          </w:p>
        </w:tc>
      </w:tr>
      <w:tr>
        <w:trPr>
          <w:trHeight w:val="23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left="801"/>
              <w:spacing w:after="0"/>
              <w:rPr>
                <w:sz w:val="20"/>
                <w:szCs w:val="20"/>
                <w:color w:val="auto"/>
              </w:rPr>
            </w:pPr>
            <w:r>
              <w:rPr>
                <w:rFonts w:ascii="Arial" w:cs="Arial" w:eastAsia="Arial" w:hAnsi="Arial"/>
                <w:sz w:val="16"/>
                <w:szCs w:val="16"/>
                <w:b w:val="1"/>
                <w:bCs w:val="1"/>
                <w:color w:val="auto"/>
              </w:rPr>
              <w:t>(31,677)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(24,944)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(79,811)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(58,711)</w:t>
            </w:r>
          </w:p>
        </w:tc>
      </w:tr>
      <w:tr>
        <w:trPr>
          <w:trHeight w:val="265"/>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b w:val="1"/>
                <w:bCs w:val="1"/>
                <w:color w:val="auto"/>
              </w:rPr>
              <w:t>19,086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84,445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229,358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456,352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9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2022-12-07T07:10:36Z</dcterms:created>
  <dcterms:modified xsi:type="dcterms:W3CDTF">2022-12-07T07:10:36Z</dcterms:modified>
</cp:coreProperties>
</file>