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9845484.xml.htm"/>
      <w:bookmarkStart w:id="1" w:name="kswkform4_17498454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Picou Monique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ACADEMY SPORTS AND OUTDOORS,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NORTH MASON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KATY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77499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Academy Sports &amp; Outdoors, Inc.</w:t>
              </w:r>
            </w:hyperlink>
            <w:r>
              <w:rPr/>
              <w:t xml:space="preserve"> [ </w:t>
            </w:r>
            <w:r>
              <w:rPr>
                <w:rFonts w:ascii="Times;serif" w:hAnsi="Times;serif"/>
                <w:color w:val="0000FF"/>
                <w:sz w:val="24"/>
                <w:shd w:fill="FFFFFF" w:val="clear"/>
              </w:rPr>
              <w:t>ASO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Units</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06/13/2025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3,932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Granted under the Company's 2020 Omnibus Incentive Plan, as amended (the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represents a contingent right upon vesting to receive one share of Issuer common stock, par value $0.01 per share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June 13, 2025, the Reporting Person was granted 3,932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Gary Holland,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06/13/2025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3246" TargetMode="External"/><Relationship Id="rId5" Type="http://schemas.openxmlformats.org/officeDocument/2006/relationships/hyperlink" Target="http://www.sec.gov/cgi-bin/browse-edgar?action=getcompany&amp;CIK=000181735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699</Words>
  <Characters>3749</Characters>
  <CharactersWithSpaces>4384</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