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915"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Ennis William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915"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1800 NORTH MASON ROAD</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27" w:lineRule="exact"/>
        <w:rPr>
          <w:sz w:val="24"/>
          <w:szCs w:val="24"/>
          <w:color w:val="auto"/>
        </w:rPr>
      </w:pPr>
    </w:p>
    <w:p>
      <w:pPr>
        <w:sectPr>
          <w:pgSz w:w="11900" w:h="16915" w:orient="portrait"/>
          <w:cols w:equalWidth="0" w:num="3">
            <w:col w:w="4277" w:space="720"/>
            <w:col w:w="3003" w:space="269"/>
            <w:col w:w="2671"/>
          </w:cols>
          <w:pgMar w:left="480" w:top="236" w:right="479" w:bottom="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ind w:left="68"/>
              <w:spacing w:after="0"/>
              <w:rPr>
                <w:sz w:val="20"/>
                <w:szCs w:val="20"/>
                <w:color w:val="auto"/>
              </w:rPr>
            </w:pPr>
            <w:r>
              <w:rPr>
                <w:rFonts w:ascii="Arial" w:cs="Arial" w:eastAsia="Arial" w:hAnsi="Arial"/>
                <w:sz w:val="20"/>
                <w:szCs w:val="20"/>
                <w:color w:val="0000FF"/>
                <w:w w:val="81"/>
              </w:rPr>
              <w:t>116,310</w:t>
            </w:r>
            <w:r>
              <w:rPr>
                <w:rFonts w:ascii="Arial" w:cs="Arial" w:eastAsia="Arial" w:hAnsi="Arial"/>
                <w:sz w:val="25"/>
                <w:szCs w:val="25"/>
                <w:color w:val="008000"/>
                <w:w w:val="81"/>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08/30/2021</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8"/>
              </w:rPr>
              <w:t>119,047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5.23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08/30/2021</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8"/>
              </w:rPr>
              <w:t>119,047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5.23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03/27/2026</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4"/>
              </w:rPr>
              <w:t>30,912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03/23/2027</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4"/>
              </w:rPr>
              <w:t>27,367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03/23/2027</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4"/>
              </w:rPr>
              <w:t>13,683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04/05/2028</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4"/>
              </w:rPr>
              <w:t>29,394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04/05/2028</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4"/>
              </w:rPr>
              <w:t>14,697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(8)</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03/07/2029</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4"/>
              </w:rPr>
              <w:t>33,062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rPr>
              <w:t>(9)</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03/07/2029</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4"/>
              </w:rPr>
              <w:t>16,284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008000"/>
                <w:w w:val="86"/>
              </w:rPr>
              <w:t>(10)</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03/05/2030</w:t>
            </w:r>
          </w:p>
        </w:tc>
        <w:tc>
          <w:tcPr>
            <w:tcW w:w="1720" w:type="dxa"/>
            <w:vAlign w:val="bottom"/>
          </w:tcPr>
          <w:p>
            <w:pPr>
              <w:jc w:val="center"/>
              <w:ind w:left="48"/>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4"/>
              </w:rPr>
              <w:t>35,106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-4048760</wp:posOffset>
            </wp:positionV>
            <wp:extent cx="6946900" cy="3907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907155"/>
                    </a:xfrm>
                    <a:prstGeom prst="rect">
                      <a:avLst/>
                    </a:prstGeom>
                    <a:noFill/>
                  </pic:spPr>
                </pic:pic>
              </a:graphicData>
            </a:graphic>
          </wp:anchor>
        </w:drawing>
      </w:r>
    </w:p>
    <w:p>
      <w:pPr>
        <w:spacing w:after="0" w:line="15" w:lineRule="exact"/>
        <w:rPr>
          <w:sz w:val="24"/>
          <w:szCs w:val="24"/>
          <w:color w:val="auto"/>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(a) 72,337 time-based restricted stock units, and (b) 12,227 performance-based restricted stock units that vest if certain performance criteria and/or Issuer stock price conditions are met.</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are fully vested.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are fully vested.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23, 2018.</w:t>
      </w:r>
    </w:p>
    <w:p>
      <w:pPr>
        <w:spacing w:after="0" w:line="52" w:lineRule="exact"/>
        <w:rPr>
          <w:rFonts w:ascii="Arial" w:cs="Arial" w:eastAsia="Arial" w:hAnsi="Arial"/>
          <w:sz w:val="15"/>
          <w:szCs w:val="15"/>
          <w:color w:val="008000"/>
        </w:rPr>
      </w:pPr>
    </w:p>
    <w:p>
      <w:pPr>
        <w:ind w:left="40" w:right="2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5,798 have vested, (b)1,933 shall vest on February 3, 2021, and (c) the remaining portion shall vest in full on February 1, 2021 if certain Issuer stock price conditions are met on such date as determined by the Issuer.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April 5,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shall vest in full on February 2, 2022 if certain stock price conditions are met on such date as determined by the Issuer.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7, 2020.</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4,070 have vested, and (b) the remaining portion shall vest in three equal annual installments beginning on February 1, 2021.</w:t>
      </w:r>
    </w:p>
    <w:p>
      <w:pPr>
        <w:sectPr>
          <w:pgSz w:w="11900" w:h="16915"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008000"/>
        </w:rPr>
        <w:t>10. These time-based options vest in four equal annual installments beginning on March 5, 2021.</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SVP, Chief Human Resources Officer Exhibit List: Exhibit 24 - Power of Attorney.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74" w:right="559" w:bottom="1440" w:gutter="0" w:footer="0" w:header="0"/>
        </w:sectPr>
      </w:pPr>
    </w:p>
    <w:bookmarkStart w:id="2" w:name="page3"/>
    <w:bookmarkEnd w:id="2"/>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William S. Ennis</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William S. Ennis</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6063"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2020-10-02T19:54:26Z</dcterms:created>
  <dcterms:modified xsi:type="dcterms:W3CDTF">2020-10-02T19:54:26Z</dcterms:modified>
</cp:coreProperties>
</file>