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483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8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59.02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15, 2022, subject to the Reporting Person's continued services with the Issuer, the Reporting Person was granted 7,449 time-based restricted stock units that vest 50% on each the second and third anniversary of the date of grant.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2441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2024-04-15T18:17:24Z</dcterms:created>
  <dcterms:modified xsi:type="dcterms:W3CDTF">2024-04-15T18:17:24Z</dcterms:modified>
</cp:coreProperties>
</file>