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1370965</wp:posOffset>
            </wp:positionH>
            <wp:positionV relativeFrom="paragraph">
              <wp:posOffset>50800</wp:posOffset>
            </wp:positionV>
            <wp:extent cx="4140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3900" w:right="1380" w:hanging="2525"/>
        <w:spacing w:after="0" w:line="281" w:lineRule="auto"/>
        <w:tabs>
          <w:tab w:leader="none" w:pos="1555"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January 30, 2021</w:t>
      </w:r>
    </w:p>
    <w:p>
      <w:pPr>
        <w:ind w:left="53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32" w:lineRule="exact"/>
        <w:rPr>
          <w:rFonts w:ascii="MS PGothic" w:cs="MS PGothic" w:eastAsia="MS PGothic" w:hAnsi="MS PGothic"/>
          <w:sz w:val="16"/>
          <w:szCs w:val="16"/>
          <w:color w:val="auto"/>
        </w:rPr>
      </w:pPr>
    </w:p>
    <w:p>
      <w:pPr>
        <w:ind w:left="1400" w:hanging="191"/>
        <w:spacing w:after="0"/>
        <w:tabs>
          <w:tab w:leader="none" w:pos="1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340"/>
        <w:spacing w:after="0"/>
        <w:rPr>
          <w:sz w:val="20"/>
          <w:szCs w:val="20"/>
          <w:color w:val="auto"/>
        </w:rPr>
      </w:pPr>
      <w:r>
        <w:rPr>
          <w:rFonts w:ascii="Arial" w:cs="Arial" w:eastAsia="Arial" w:hAnsi="Arial"/>
          <w:sz w:val="16"/>
          <w:szCs w:val="16"/>
          <w:b w:val="1"/>
          <w:bCs w:val="1"/>
          <w:color w:val="auto"/>
        </w:rPr>
        <w:t>For the transition period from ___________ to ___________</w:t>
      </w:r>
      <w:r>
        <w:rPr>
          <w:rFonts w:ascii="Arial" w:cs="Arial" w:eastAsia="Arial" w:hAnsi="Arial"/>
          <w:sz w:val="16"/>
          <w:szCs w:val="16"/>
          <w:color w:val="auto"/>
        </w:rPr>
        <w: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1370965</wp:posOffset>
            </wp:positionH>
            <wp:positionV relativeFrom="paragraph">
              <wp:posOffset>54610</wp:posOffset>
            </wp:positionV>
            <wp:extent cx="414020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4020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Academy Sports and Outdoors,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560" w:type="dxa"/>
            <w:vAlign w:val="bottom"/>
          </w:tcPr>
          <w:p>
            <w:pPr>
              <w:spacing w:after="0"/>
              <w:rPr>
                <w:sz w:val="18"/>
                <w:szCs w:val="18"/>
                <w:color w:val="auto"/>
              </w:rPr>
            </w:pPr>
          </w:p>
        </w:tc>
        <w:tc>
          <w:tcPr>
            <w:tcW w:w="2800" w:type="dxa"/>
            <w:vAlign w:val="bottom"/>
            <w:gridSpan w:val="2"/>
          </w:tcPr>
          <w:p>
            <w:pPr>
              <w:jc w:val="center"/>
              <w:ind w:right="1519"/>
              <w:spacing w:after="0"/>
              <w:rPr>
                <w:sz w:val="20"/>
                <w:szCs w:val="20"/>
                <w:color w:val="auto"/>
              </w:rPr>
            </w:pPr>
            <w:r>
              <w:rPr>
                <w:rFonts w:ascii="Arial" w:cs="Arial" w:eastAsia="Arial" w:hAnsi="Arial"/>
                <w:sz w:val="16"/>
                <w:szCs w:val="16"/>
                <w:b w:val="1"/>
                <w:bCs w:val="1"/>
                <w:color w:val="auto"/>
                <w:w w:val="91"/>
              </w:rPr>
              <w:t>Delaware</w:t>
            </w: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60" w:type="dxa"/>
            <w:vAlign w:val="bottom"/>
          </w:tcPr>
          <w:p>
            <w:pPr>
              <w:jc w:val="center"/>
              <w:ind w:right="439"/>
              <w:spacing w:after="0"/>
              <w:rPr>
                <w:sz w:val="20"/>
                <w:szCs w:val="20"/>
                <w:color w:val="auto"/>
              </w:rPr>
            </w:pPr>
            <w:r>
              <w:rPr>
                <w:rFonts w:ascii="Arial" w:cs="Arial" w:eastAsia="Arial" w:hAnsi="Arial"/>
                <w:sz w:val="16"/>
                <w:szCs w:val="16"/>
                <w:b w:val="1"/>
                <w:bCs w:val="1"/>
                <w:color w:val="auto"/>
                <w:w w:val="91"/>
              </w:rPr>
              <w:t>85-1800912</w:t>
            </w:r>
          </w:p>
        </w:tc>
      </w:tr>
      <w:tr>
        <w:trPr>
          <w:trHeight w:val="311"/>
        </w:trPr>
        <w:tc>
          <w:tcPr>
            <w:tcW w:w="4360" w:type="dxa"/>
            <w:vAlign w:val="bottom"/>
            <w:gridSpan w:val="3"/>
          </w:tcPr>
          <w:p>
            <w:pPr>
              <w:jc w:val="center"/>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i w:val="1"/>
                <w:iCs w:val="1"/>
                <w:color w:val="auto"/>
                <w:w w:val="94"/>
              </w:rPr>
              <w:t>(I.R.S. Employer Identification No.)</w:t>
            </w:r>
          </w:p>
        </w:tc>
      </w:tr>
      <w:tr>
        <w:trPr>
          <w:trHeight w:val="297"/>
        </w:trPr>
        <w:tc>
          <w:tcPr>
            <w:tcW w:w="1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9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3"/>
              </w:rPr>
              <w:t>1800 North Mason Road</w:t>
            </w:r>
          </w:p>
        </w:tc>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9"/>
        </w:trPr>
        <w:tc>
          <w:tcPr>
            <w:tcW w:w="15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9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1"/>
              </w:rPr>
              <w:t>Katy, Texas 77449</w:t>
            </w:r>
          </w:p>
        </w:tc>
        <w:tc>
          <w:tcPr>
            <w:tcW w:w="5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16"/>
        </w:trPr>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00" w:type="dxa"/>
            <w:vAlign w:val="bottom"/>
            <w:gridSpan w:val="4"/>
          </w:tcPr>
          <w:p>
            <w:pPr>
              <w:jc w:val="center"/>
              <w:ind w:left="739"/>
              <w:spacing w:after="0"/>
              <w:rPr>
                <w:sz w:val="20"/>
                <w:szCs w:val="20"/>
                <w:color w:val="auto"/>
              </w:rPr>
            </w:pPr>
            <w:r>
              <w:rPr>
                <w:rFonts w:ascii="Arial" w:cs="Arial" w:eastAsia="Arial" w:hAnsi="Arial"/>
                <w:sz w:val="16"/>
                <w:szCs w:val="16"/>
                <w:i w:val="1"/>
                <w:iCs w:val="1"/>
                <w:color w:val="auto"/>
                <w:w w:val="92"/>
              </w:rPr>
              <w:t>(Address of principal executive offices) (Zip Code)</w:t>
            </w:r>
          </w:p>
        </w:tc>
        <w:tc>
          <w:tcPr>
            <w:tcW w:w="5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70"/>
        </w:trPr>
        <w:tc>
          <w:tcPr>
            <w:tcW w:w="15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72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w w:val="93"/>
              </w:rPr>
              <w:t>(281) 646-5200</w:t>
            </w:r>
          </w:p>
        </w:tc>
        <w:tc>
          <w:tcPr>
            <w:tcW w:w="1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60" w:type="dxa"/>
            <w:vAlign w:val="bottom"/>
          </w:tcPr>
          <w:p>
            <w:pPr>
              <w:spacing w:after="0"/>
              <w:rPr>
                <w:sz w:val="23"/>
                <w:szCs w:val="23"/>
                <w:color w:val="auto"/>
              </w:rPr>
            </w:pPr>
          </w:p>
        </w:tc>
      </w:tr>
      <w:tr>
        <w:trPr>
          <w:trHeight w:val="216"/>
        </w:trPr>
        <w:tc>
          <w:tcPr>
            <w:tcW w:w="1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500" w:type="dxa"/>
            <w:vAlign w:val="bottom"/>
            <w:gridSpan w:val="4"/>
          </w:tcPr>
          <w:p>
            <w:pPr>
              <w:jc w:val="center"/>
              <w:ind w:left="759"/>
              <w:spacing w:after="0"/>
              <w:rPr>
                <w:sz w:val="20"/>
                <w:szCs w:val="20"/>
                <w:color w:val="auto"/>
              </w:rPr>
            </w:pPr>
            <w:r>
              <w:rPr>
                <w:rFonts w:ascii="Arial" w:cs="Arial" w:eastAsia="Arial" w:hAnsi="Arial"/>
                <w:sz w:val="16"/>
                <w:szCs w:val="16"/>
                <w:i w:val="1"/>
                <w:iCs w:val="1"/>
                <w:color w:val="auto"/>
                <w:w w:val="90"/>
              </w:rPr>
              <w:t>(Registrant’s Telephone Number, including Area Code)</w:t>
            </w:r>
          </w:p>
        </w:tc>
        <w:tc>
          <w:tcPr>
            <w:tcW w:w="5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70"/>
        </w:trPr>
        <w:tc>
          <w:tcPr>
            <w:tcW w:w="15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0" w:type="dxa"/>
            <w:vAlign w:val="bottom"/>
            <w:gridSpan w:val="5"/>
          </w:tcPr>
          <w:p>
            <w:pPr>
              <w:jc w:val="center"/>
              <w:ind w:left="2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2460" w:type="dxa"/>
            <w:vAlign w:val="bottom"/>
          </w:tcPr>
          <w:p>
            <w:pPr>
              <w:spacing w:after="0"/>
              <w:rPr>
                <w:sz w:val="23"/>
                <w:szCs w:val="23"/>
                <w:color w:val="auto"/>
              </w:rPr>
            </w:pPr>
          </w:p>
        </w:tc>
      </w:tr>
      <w:tr>
        <w:trPr>
          <w:trHeight w:val="181"/>
        </w:trPr>
        <w:tc>
          <w:tcPr>
            <w:tcW w:w="156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Arial" w:cs="Arial" w:eastAsia="Arial" w:hAnsi="Arial"/>
                <w:sz w:val="16"/>
                <w:szCs w:val="16"/>
                <w:b w:val="1"/>
                <w:bCs w:val="1"/>
                <w:i w:val="1"/>
                <w:iCs w:val="1"/>
                <w:color w:val="auto"/>
                <w:w w:val="87"/>
              </w:rPr>
              <w:t>Title of each class</w:t>
            </w:r>
          </w:p>
        </w:tc>
        <w:tc>
          <w:tcPr>
            <w:tcW w:w="16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20" w:type="dxa"/>
            <w:vAlign w:val="bottom"/>
            <w:gridSpan w:val="2"/>
          </w:tcPr>
          <w:p>
            <w:pPr>
              <w:jc w:val="center"/>
              <w:ind w:right="1180"/>
              <w:spacing w:after="0" w:line="181" w:lineRule="exact"/>
              <w:rPr>
                <w:sz w:val="20"/>
                <w:szCs w:val="20"/>
                <w:color w:val="auto"/>
              </w:rPr>
            </w:pPr>
            <w:r>
              <w:rPr>
                <w:rFonts w:ascii="Arial" w:cs="Arial" w:eastAsia="Arial" w:hAnsi="Arial"/>
                <w:sz w:val="16"/>
                <w:szCs w:val="16"/>
                <w:b w:val="1"/>
                <w:bCs w:val="1"/>
                <w:i w:val="1"/>
                <w:iCs w:val="1"/>
                <w:color w:val="auto"/>
                <w:w w:val="88"/>
              </w:rPr>
              <w:t>Trading Symbol(s)</w:t>
            </w:r>
          </w:p>
        </w:tc>
        <w:tc>
          <w:tcPr>
            <w:tcW w:w="296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i w:val="1"/>
                <w:iCs w:val="1"/>
                <w:color w:val="auto"/>
                <w:w w:val="87"/>
              </w:rPr>
              <w:t>Name of each exchange on which registered</w:t>
            </w:r>
          </w:p>
        </w:tc>
      </w:tr>
      <w:tr>
        <w:trPr>
          <w:trHeight w:val="20"/>
        </w:trPr>
        <w:tc>
          <w:tcPr>
            <w:tcW w:w="15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30"/>
        </w:trPr>
        <w:tc>
          <w:tcPr>
            <w:tcW w:w="4360" w:type="dxa"/>
            <w:vAlign w:val="bottom"/>
            <w:gridSpan w:val="3"/>
          </w:tcPr>
          <w:p>
            <w:pPr>
              <w:jc w:val="center"/>
              <w:spacing w:after="0"/>
              <w:rPr>
                <w:sz w:val="20"/>
                <w:szCs w:val="20"/>
                <w:color w:val="auto"/>
              </w:rPr>
            </w:pPr>
            <w:r>
              <w:rPr>
                <w:rFonts w:ascii="Arial" w:cs="Arial" w:eastAsia="Arial" w:hAnsi="Arial"/>
                <w:sz w:val="16"/>
                <w:szCs w:val="16"/>
                <w:color w:val="auto"/>
                <w:w w:val="90"/>
              </w:rPr>
              <w:t>Common Stock, par value $0.01 per share</w:t>
            </w:r>
          </w:p>
        </w:tc>
        <w:tc>
          <w:tcPr>
            <w:tcW w:w="480" w:type="dxa"/>
            <w:vAlign w:val="bottom"/>
          </w:tcPr>
          <w:p>
            <w:pPr>
              <w:spacing w:after="0"/>
              <w:rPr>
                <w:sz w:val="20"/>
                <w:szCs w:val="20"/>
                <w:color w:val="auto"/>
              </w:rPr>
            </w:pPr>
          </w:p>
        </w:tc>
        <w:tc>
          <w:tcPr>
            <w:tcW w:w="2420" w:type="dxa"/>
            <w:vAlign w:val="bottom"/>
            <w:gridSpan w:val="2"/>
          </w:tcPr>
          <w:p>
            <w:pPr>
              <w:jc w:val="center"/>
              <w:ind w:right="1180"/>
              <w:spacing w:after="0"/>
              <w:rPr>
                <w:sz w:val="20"/>
                <w:szCs w:val="20"/>
                <w:color w:val="auto"/>
              </w:rPr>
            </w:pPr>
            <w:r>
              <w:rPr>
                <w:rFonts w:ascii="Arial" w:cs="Arial" w:eastAsia="Arial" w:hAnsi="Arial"/>
                <w:sz w:val="16"/>
                <w:szCs w:val="16"/>
                <w:color w:val="auto"/>
                <w:w w:val="94"/>
              </w:rPr>
              <w:t>ASO</w:t>
            </w:r>
          </w:p>
        </w:tc>
        <w:tc>
          <w:tcPr>
            <w:tcW w:w="500" w:type="dxa"/>
            <w:vAlign w:val="bottom"/>
          </w:tcPr>
          <w:p>
            <w:pPr>
              <w:spacing w:after="0"/>
              <w:rPr>
                <w:sz w:val="20"/>
                <w:szCs w:val="20"/>
                <w:color w:val="auto"/>
              </w:rPr>
            </w:pPr>
          </w:p>
        </w:tc>
        <w:tc>
          <w:tcPr>
            <w:tcW w:w="2460" w:type="dxa"/>
            <w:vAlign w:val="bottom"/>
          </w:tcPr>
          <w:p>
            <w:pPr>
              <w:jc w:val="center"/>
              <w:ind w:right="439"/>
              <w:spacing w:after="0"/>
              <w:rPr>
                <w:sz w:val="20"/>
                <w:szCs w:val="20"/>
                <w:color w:val="auto"/>
              </w:rPr>
            </w:pPr>
            <w:r>
              <w:rPr>
                <w:rFonts w:ascii="Arial" w:cs="Arial" w:eastAsia="Arial" w:hAnsi="Arial"/>
                <w:sz w:val="16"/>
                <w:szCs w:val="16"/>
                <w:color w:val="auto"/>
                <w:w w:val="91"/>
              </w:rPr>
              <w:t>Nasdaq Global Select Market</w:t>
            </w:r>
          </w:p>
        </w:tc>
      </w:tr>
      <w:tr>
        <w:trPr>
          <w:trHeight w:val="250"/>
        </w:trPr>
        <w:tc>
          <w:tcPr>
            <w:tcW w:w="7760" w:type="dxa"/>
            <w:vAlign w:val="bottom"/>
            <w:gridSpan w:val="7"/>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2460" w:type="dxa"/>
            <w:vAlign w:val="bottom"/>
          </w:tcPr>
          <w:p>
            <w:pPr>
              <w:ind w:left="9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254"/>
        </w:trPr>
        <w:tc>
          <w:tcPr>
            <w:tcW w:w="7760" w:type="dxa"/>
            <w:vAlign w:val="bottom"/>
            <w:gridSpan w:val="7"/>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2460" w:type="dxa"/>
            <w:vAlign w:val="bottom"/>
          </w:tcPr>
          <w:p>
            <w:pPr>
              <w:ind w:left="9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8680" w:type="dxa"/>
            <w:vAlign w:val="bottom"/>
          </w:tcPr>
          <w:p>
            <w:pPr>
              <w:spacing w:after="0" w:line="154" w:lineRule="exact"/>
              <w:rPr>
                <w:sz w:val="20"/>
                <w:szCs w:val="20"/>
                <w:color w:val="auto"/>
              </w:rPr>
            </w:pPr>
            <w:r>
              <w:rPr>
                <w:rFonts w:ascii="Arial" w:cs="Arial" w:eastAsia="Arial" w:hAnsi="Arial"/>
                <w:sz w:val="16"/>
                <w:szCs w:val="16"/>
                <w:color w:val="auto"/>
                <w:w w:val="95"/>
              </w:rPr>
              <w:t>Indicate by check mark whether the registrant (1) has filed all reports required to be filed by Section 13 or 15(d) of the Securities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680" w:type="dxa"/>
            <w:vAlign w:val="bottom"/>
          </w:tcPr>
          <w:p>
            <w:pPr>
              <w:spacing w:after="0" w:line="162" w:lineRule="exact"/>
              <w:rPr>
                <w:sz w:val="20"/>
                <w:szCs w:val="20"/>
                <w:color w:val="auto"/>
              </w:rPr>
            </w:pPr>
            <w:r>
              <w:rPr>
                <w:rFonts w:ascii="Arial" w:cs="Arial" w:eastAsia="Arial" w:hAnsi="Arial"/>
                <w:sz w:val="16"/>
                <w:szCs w:val="16"/>
                <w:color w:val="auto"/>
                <w:w w:val="98"/>
              </w:rPr>
              <w:t>Exchange Act of 1934 during the preceding 12 months (or for such shorter period that the registrant was required to file such</w:t>
            </w:r>
          </w:p>
        </w:tc>
        <w:tc>
          <w:tcPr>
            <w:tcW w:w="860" w:type="dxa"/>
            <w:vAlign w:val="bottom"/>
            <w:vMerge w:val="restart"/>
          </w:tcPr>
          <w:p>
            <w:pPr>
              <w:ind w:left="20"/>
              <w:spacing w:after="0" w:line="184" w:lineRule="exact"/>
              <w:rPr>
                <w:sz w:val="20"/>
                <w:szCs w:val="20"/>
                <w:color w:val="auto"/>
              </w:rPr>
            </w:pPr>
            <w:r>
              <w:rPr>
                <w:rFonts w:ascii="Arial" w:cs="Arial" w:eastAsia="Arial" w:hAnsi="Arial"/>
                <w:sz w:val="16"/>
                <w:szCs w:val="16"/>
                <w:color w:val="auto"/>
                <w:w w:val="87"/>
              </w:rPr>
              <w:t xml:space="preserve">Yes </w:t>
            </w:r>
            <w:r>
              <w:rPr>
                <w:rFonts w:ascii="MS PGothic" w:cs="MS PGothic" w:eastAsia="MS PGothic" w:hAnsi="MS PGothic"/>
                <w:sz w:val="16"/>
                <w:szCs w:val="16"/>
                <w:color w:val="auto"/>
                <w:w w:val="87"/>
              </w:rPr>
              <w:t>☑</w:t>
            </w:r>
            <w:r>
              <w:rPr>
                <w:rFonts w:ascii="Arial" w:cs="Arial" w:eastAsia="Arial" w:hAnsi="Arial"/>
                <w:sz w:val="16"/>
                <w:szCs w:val="16"/>
                <w:color w:val="auto"/>
                <w:w w:val="87"/>
              </w:rPr>
              <w:t xml:space="preserve"> No </w:t>
            </w: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4"/>
        </w:trPr>
        <w:tc>
          <w:tcPr>
            <w:tcW w:w="8680" w:type="dxa"/>
            <w:vAlign w:val="bottom"/>
          </w:tcPr>
          <w:p>
            <w:pPr>
              <w:spacing w:after="0"/>
              <w:rPr>
                <w:sz w:val="20"/>
                <w:szCs w:val="20"/>
                <w:color w:val="auto"/>
              </w:rPr>
            </w:pPr>
            <w:r>
              <w:rPr>
                <w:rFonts w:ascii="Arial" w:cs="Arial" w:eastAsia="Arial" w:hAnsi="Arial"/>
                <w:sz w:val="16"/>
                <w:szCs w:val="16"/>
                <w:color w:val="auto"/>
              </w:rPr>
              <w:t>reports), and (2) has been subject to such filing requirements for the past 90 days.</w:t>
            </w: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180"/>
        <w:spacing w:after="0" w:line="27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860"/>
          </w:cols>
          <w:pgMar w:left="680" w:top="504" w:right="359" w:bottom="1440" w:gutter="0" w:footer="0" w:header="0"/>
        </w:sectPr>
      </w:pPr>
    </w:p>
    <w:p>
      <w:pPr>
        <w:spacing w:after="0" w:line="1" w:lineRule="exact"/>
        <w:rPr>
          <w:sz w:val="24"/>
          <w:szCs w:val="24"/>
          <w:color w:val="auto"/>
        </w:rPr>
      </w:pPr>
    </w:p>
    <w:p>
      <w:pPr>
        <w:ind w:left="21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980"/>
        <w:spacing w:after="0" w:line="14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3" w:lineRule="exact"/>
        <w:rPr>
          <w:sz w:val="24"/>
          <w:szCs w:val="24"/>
          <w:color w:val="auto"/>
        </w:rPr>
      </w:pPr>
    </w:p>
    <w:p>
      <w:pPr>
        <w:sectPr>
          <w:pgSz w:w="11900" w:h="16838" w:orient="portrait"/>
          <w:cols w:equalWidth="0" w:num="2">
            <w:col w:w="5900" w:space="720"/>
            <w:col w:w="4240"/>
          </w:cols>
          <w:pgMar w:left="680" w:top="504" w:right="359" w:bottom="1440" w:gutter="0" w:footer="0" w:header="0"/>
          <w:type w:val="continuous"/>
        </w:sectPr>
      </w:pPr>
    </w:p>
    <w:p>
      <w:pPr>
        <w:ind w:left="218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8" w:lineRule="exact"/>
        <w:rPr>
          <w:sz w:val="24"/>
          <w:szCs w:val="24"/>
          <w:color w:val="auto"/>
        </w:rPr>
      </w:pPr>
    </w:p>
    <w:p>
      <w:pPr>
        <w:sectPr>
          <w:pgSz w:w="11900" w:h="16838" w:orient="portrait"/>
          <w:cols w:equalWidth="0" w:num="2">
            <w:col w:w="5900" w:space="720"/>
            <w:col w:w="4240"/>
          </w:cols>
          <w:pgMar w:left="680" w:top="504" w:right="359" w:bottom="1440" w:gutter="0" w:footer="0" w:header="0"/>
          <w:type w:val="continuous"/>
        </w:sectPr>
      </w:pPr>
    </w:p>
    <w:p>
      <w:pPr>
        <w:jc w:val="both"/>
        <w:ind w:right="20"/>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183"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jc w:val="both"/>
        <w:ind w:right="20"/>
        <w:spacing w:after="0" w:line="225" w:lineRule="auto"/>
        <w:rPr>
          <w:sz w:val="20"/>
          <w:szCs w:val="20"/>
          <w:color w:val="auto"/>
        </w:rPr>
      </w:pPr>
      <w:r>
        <w:rPr>
          <w:rFonts w:ascii="Arial" w:cs="Arial" w:eastAsia="Arial" w:hAnsi="Arial"/>
          <w:sz w:val="16"/>
          <w:szCs w:val="16"/>
          <w:color w:val="auto"/>
        </w:rPr>
        <w:t>As of August 1, 2020, the last day of the registrant's most recently completed second quarter, the registrant's common stock was not publicly traded. The registrant's common stock, $0.01 par value per share, began trading on the Nasdaq Global Select Market, or Nasdaq, on October 2, 2020. As of March 30, 2021, the aggregate market value of the registrant's common stock held by non-affiliates of the registrant was approximately $1,103,587,377 (based upon the closing sale price of the common stock on that date on the Nasdaq).</w:t>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As of March 30, 2021, Academy Sports and Outdoors, Inc. had 91,296,308 shares of common stock, par value $0.01 per share, outstanding.</w:t>
      </w:r>
    </w:p>
    <w:p>
      <w:pPr>
        <w:spacing w:after="0" w:line="86" w:lineRule="exact"/>
        <w:rPr>
          <w:sz w:val="24"/>
          <w:szCs w:val="24"/>
          <w:color w:val="auto"/>
        </w:rPr>
      </w:pPr>
    </w:p>
    <w:p>
      <w:pPr>
        <w:jc w:val="both"/>
        <w:ind w:right="20"/>
        <w:spacing w:after="0"/>
        <w:rPr>
          <w:sz w:val="20"/>
          <w:szCs w:val="20"/>
          <w:color w:val="auto"/>
        </w:rPr>
      </w:pPr>
      <w:r>
        <w:rPr>
          <w:rFonts w:ascii="Arial" w:cs="Arial" w:eastAsia="Arial" w:hAnsi="Arial"/>
          <w:sz w:val="16"/>
          <w:szCs w:val="16"/>
          <w:color w:val="auto"/>
        </w:rPr>
        <w:t>Documents Incorporated by Reference: Part III of this Annual Report on Form 10-K incorporates certain information from the registrant's definite proxy statement for its Annual Meeting of Stockholders to be held on June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-235585</wp:posOffset>
            </wp:positionH>
            <wp:positionV relativeFrom="paragraph">
              <wp:posOffset>385445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680" w:top="504"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8"/>
          </w:tcPr>
          <w:p>
            <w:pPr>
              <w:ind w:left="600"/>
              <w:spacing w:after="0"/>
              <w:rPr>
                <w:sz w:val="20"/>
                <w:szCs w:val="20"/>
                <w:color w:val="auto"/>
              </w:rPr>
            </w:pPr>
            <w:r>
              <w:rPr>
                <w:rFonts w:ascii="Arial" w:cs="Arial" w:eastAsia="Arial" w:hAnsi="Arial"/>
                <w:sz w:val="18"/>
                <w:szCs w:val="18"/>
                <w:b w:val="1"/>
                <w:bCs w:val="1"/>
                <w:color w:val="auto"/>
              </w:rPr>
              <w:t>Page</w:t>
            </w:r>
          </w:p>
        </w:tc>
      </w:tr>
      <w:tr>
        <w:trPr>
          <w:trHeight w:val="183"/>
        </w:trPr>
        <w:tc>
          <w:tcPr>
            <w:tcW w:w="9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CAUTIONARY STATEMENT REGARDING FORWARD-LOOKING STATEMENTS</w:t>
            </w:r>
          </w:p>
        </w:tc>
        <w:tc>
          <w:tcPr>
            <w:tcW w:w="860" w:type="dxa"/>
            <w:vAlign w:val="bottom"/>
            <w:gridSpan w:val="5"/>
            <w:shd w:val="clear" w:color="auto" w:fill="CCEEFF"/>
          </w:tcPr>
          <w:p>
            <w:pPr>
              <w:jc w:val="center"/>
              <w:ind w:left="61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rPr>
              <w:t>PART I</w:t>
            </w:r>
          </w:p>
        </w:tc>
        <w:tc>
          <w:tcPr>
            <w:tcW w:w="860" w:type="dxa"/>
            <w:vAlign w:val="bottom"/>
            <w:gridSpan w:val="5"/>
          </w:tcPr>
          <w:p>
            <w:pPr>
              <w:jc w:val="center"/>
              <w:ind w:left="610"/>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9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 Business</w:t>
            </w:r>
          </w:p>
        </w:tc>
        <w:tc>
          <w:tcPr>
            <w:tcW w:w="860" w:type="dxa"/>
            <w:vAlign w:val="bottom"/>
            <w:gridSpan w:val="5"/>
            <w:shd w:val="clear" w:color="auto" w:fill="CCEEFF"/>
          </w:tcPr>
          <w:p>
            <w:pPr>
              <w:jc w:val="center"/>
              <w:ind w:left="610"/>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1A. Risk Factors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22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1B. Unresolved Staff Comments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49</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2. Properties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3. Legal Proceedings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4. Mine Safety Disclosures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49</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50</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w w:val="99"/>
              </w:rPr>
              <w:t>Item 5. Market for Registrant's Common Equity, Related Stockholder Matters and Issuer Purchases of Equity Securities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50</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6. Selected Financial Data</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51">
              <w:r>
                <w:rPr>
                  <w:rFonts w:ascii="Arial" w:cs="Arial" w:eastAsia="Arial" w:hAnsi="Arial"/>
                  <w:sz w:val="18"/>
                  <w:szCs w:val="18"/>
                  <w:color w:val="0000FF"/>
                  <w:w w:val="89"/>
                </w:rPr>
                <w:t>51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7A. Quantitative and Qualitative Disclosures About Market Risk</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8. Financial Statements and Supplementary Data</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9. Changes in and Disagreements with Accountants on Accounting and Financial Disclosure</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9A. Controls and Procedures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9B. Other Information</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rPr>
              <w:t>PART III</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69</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10. Directors, Executive Officers and Corporate Governance</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69</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11. Executive Compensation</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70">
              <w:r>
                <w:rPr>
                  <w:rFonts w:ascii="Arial" w:cs="Arial" w:eastAsia="Arial" w:hAnsi="Arial"/>
                  <w:sz w:val="18"/>
                  <w:szCs w:val="18"/>
                  <w:color w:val="0000FF"/>
                  <w:w w:val="89"/>
                </w:rPr>
                <w:t>71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12. Security Ownership of Certain Beneficial Owners and Management and Related Shareholder Matters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13. Certain Relationships and Related Transactions, and Director Independence</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14. Principal Accountant Fees and Services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71</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rPr>
              <w:t>PART IV</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15. Exhibits and Financial Statement Schedules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72</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16. Form 10-K Summary</w:t>
            </w:r>
          </w:p>
        </w:tc>
        <w:tc>
          <w:tcPr>
            <w:tcW w:w="1560" w:type="dxa"/>
            <w:vAlign w:val="bottom"/>
            <w:gridSpan w:val="8"/>
          </w:tcPr>
          <w:p>
            <w:pPr>
              <w:jc w:val="center"/>
              <w:spacing w:after="0" w:line="189" w:lineRule="exact"/>
              <w:rPr>
                <w:rFonts w:ascii="Arial" w:cs="Arial" w:eastAsia="Arial" w:hAnsi="Arial"/>
                <w:sz w:val="18"/>
                <w:szCs w:val="18"/>
                <w:color w:val="0000FF"/>
                <w:w w:val="93"/>
              </w:rPr>
            </w:pPr>
            <w:hyperlink w:anchor="page108">
              <w:r>
                <w:rPr>
                  <w:rFonts w:ascii="Arial" w:cs="Arial" w:eastAsia="Arial" w:hAnsi="Arial"/>
                  <w:sz w:val="18"/>
                  <w:szCs w:val="18"/>
                  <w:color w:val="0000FF"/>
                  <w:w w:val="93"/>
                </w:rPr>
                <w:t>108</w:t>
              </w:r>
            </w:hyperlink>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96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SIGNATURES</w:t>
            </w:r>
          </w:p>
        </w:tc>
        <w:tc>
          <w:tcPr>
            <w:tcW w:w="920" w:type="dxa"/>
            <w:vAlign w:val="bottom"/>
            <w:gridSpan w:val="7"/>
            <w:shd w:val="clear" w:color="auto" w:fill="CCEEFF"/>
          </w:tcPr>
          <w:p>
            <w:pPr>
              <w:jc w:val="center"/>
              <w:ind w:left="530"/>
              <w:spacing w:after="0" w:line="189" w:lineRule="exact"/>
              <w:rPr>
                <w:rFonts w:ascii="Arial" w:cs="Arial" w:eastAsia="Arial" w:hAnsi="Arial"/>
                <w:sz w:val="18"/>
                <w:szCs w:val="18"/>
                <w:color w:val="0000FF"/>
                <w:w w:val="86"/>
              </w:rPr>
            </w:pPr>
            <w:hyperlink w:anchor="page112">
              <w:r>
                <w:rPr>
                  <w:rFonts w:ascii="Arial" w:cs="Arial" w:eastAsia="Arial" w:hAnsi="Arial"/>
                  <w:sz w:val="18"/>
                  <w:szCs w:val="18"/>
                  <w:color w:val="0000FF"/>
                  <w:w w:val="86"/>
                </w:rPr>
                <w:t>113</w:t>
              </w:r>
            </w:hyperlink>
          </w:p>
        </w:tc>
        <w:tc>
          <w:tcPr>
            <w:tcW w:w="640" w:type="dxa"/>
            <w:vAlign w:val="bottom"/>
            <w:shd w:val="clear" w:color="auto" w:fill="CCEEFF"/>
          </w:tcPr>
          <w:p>
            <w:pPr>
              <w:spacing w:after="0"/>
              <w:rPr>
                <w:sz w:val="16"/>
                <w:szCs w:val="16"/>
                <w:color w:val="auto"/>
              </w:rPr>
            </w:pPr>
          </w:p>
        </w:tc>
      </w:tr>
      <w:tr>
        <w:trPr>
          <w:trHeight w:val="20"/>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292"/>
        <w:spacing w:after="0" w:line="253" w:lineRule="auto"/>
        <w:rPr>
          <w:sz w:val="20"/>
          <w:szCs w:val="20"/>
          <w:color w:val="auto"/>
        </w:rPr>
      </w:pPr>
      <w:r>
        <w:rPr>
          <w:rFonts w:ascii="Arial" w:cs="Arial" w:eastAsia="Arial" w:hAnsi="Arial"/>
          <w:sz w:val="18"/>
          <w:szCs w:val="18"/>
          <w:color w:val="auto"/>
        </w:rPr>
        <w:t>This Annual Report on Form 10-K (this "Annual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Annual Report, including in the section entitled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w:t>
      </w:r>
    </w:p>
    <w:p>
      <w:pPr>
        <w:spacing w:after="0" w:line="221"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color w:val="auto"/>
        </w:rPr>
        <w:t>The forward-looking statements contained in this Annual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this Annual Report, as such risk factors may be updated from time to time in our periodic filings with the Securities and Exchange Commission, or SEC, and are accessible on the SEC's website at www.sec.gov.</w:t>
      </w:r>
    </w:p>
    <w:p>
      <w:pPr>
        <w:spacing w:after="0" w:line="219"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color w:val="auto"/>
        </w:rPr>
        <w:t>Any forward-looking statement made by us in this Annual Report speaks only as of the date of this Annual Report and are expressly qualified in their entirety by the cautionary statements included in this Annual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Investing in our securities involves a high degree of risk. The following is a summary of the principal factors that make an investment in our securities speculative or risky, all of which are more fully described below in the section entitled “Risk Factors.” In addition to the following summary, you should consider the information set forth in the “Risk Factors” section and the other information contained in this Annual Report before investing in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overall decline in the health of the economy and consumer discretionary spending;</w:t>
      </w:r>
    </w:p>
    <w:p>
      <w:pPr>
        <w:spacing w:after="0" w:line="26"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the impact of COVID-19 on the communities we serve, our business and financial results;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associated with our reliance on internationally manufactured merchandise;</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27"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operate, update or implement our information technology systems;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associated with disruptions in our supply chain and losses of merchandise purchasing incentives;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harm to our reputation;</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33"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associated with our e-commerce business;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risks related to our owned brand merchandise;</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any disruption in the operation of our distribution centers;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quarterly and seasonal fluctuations in our operating results;</w:t>
      </w:r>
    </w:p>
    <w:p>
      <w:pPr>
        <w:spacing w:after="0" w:line="27"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9"/>
          <w:szCs w:val="19"/>
          <w:color w:val="auto"/>
        </w:rPr>
      </w:pPr>
      <w:r>
        <w:rPr>
          <w:rFonts w:ascii="Arial" w:cs="Arial" w:eastAsia="Arial" w:hAnsi="Arial"/>
          <w:sz w:val="16"/>
          <w:szCs w:val="16"/>
          <w:color w:val="auto"/>
        </w:rPr>
        <w:t>the occurrence of severe weather events, catastrophic health events, natural or man-made disasters, social and political conditions or civil unrest;</w:t>
      </w:r>
    </w:p>
    <w:p>
      <w:pPr>
        <w:spacing w:after="0" w:line="21" w:lineRule="exact"/>
        <w:rPr>
          <w:rFonts w:ascii="Arial" w:cs="Arial" w:eastAsia="Arial" w:hAnsi="Arial"/>
          <w:sz w:val="19"/>
          <w:szCs w:val="19"/>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dependence on our ability to meet our labor needs;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the geographic concentration of our stores;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fluctuations in merchandise (including raw materials) costs and availability;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successfully pursue strategic acquisitions and integrate acquired businesses;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payment-related risks;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our ability to retain key executives;</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50" w:lineRule="exact"/>
        <w:rPr>
          <w:sz w:val="20"/>
          <w:szCs w:val="20"/>
          <w:color w:val="auto"/>
        </w:rPr>
      </w:pPr>
    </w:p>
    <w:p>
      <w:pPr>
        <w:ind w:left="660" w:hanging="328"/>
        <w:spacing w:after="0" w:line="232"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high level of indebtedness and related debt service payments and our ability to generate sufficient cash flow to satisfy all of our obligations under our indebtedness;</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incur substantially more debt;</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restrictions on our current and future operations imposed by the terms of our indebtedness;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variable rate indebtedness subjects us to interest rate risk;</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high level of indebtedness may hinder our ability to negotiate favorable terms with our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Risks Related to the Ownership of Our Common Stock</w:t>
      </w:r>
    </w:p>
    <w:p>
      <w:pPr>
        <w:spacing w:after="0" w:line="50" w:lineRule="exact"/>
        <w:rPr>
          <w:sz w:val="20"/>
          <w:szCs w:val="20"/>
          <w:color w:val="auto"/>
        </w:rPr>
      </w:pPr>
    </w:p>
    <w:p>
      <w:pPr>
        <w:ind w:left="660" w:hanging="328"/>
        <w:spacing w:after="0" w:line="232"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sponsor (affiliates of Kohlberg Kravis Roberts &amp; Co. L.P. ("KKR")) controls us and their interests may conflict with ours or yours in the future;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new and increased costs and additional regulations and requirements as a result of becoming a public company;</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our stock price is volatile or may decline;</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have effective internal controls;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you may be diluted by any future issuances of shares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organizational documents could delay or prevent a change of control;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board of directors is authorized to issue and designate shares of preferred stock without stockholder approval.</w:t>
      </w:r>
    </w:p>
    <w:p>
      <w:pPr>
        <w:spacing w:after="0" w:line="238"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our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firstLine="292"/>
        <w:spacing w:after="0" w:line="257" w:lineRule="auto"/>
        <w:rPr>
          <w:sz w:val="20"/>
          <w:szCs w:val="20"/>
          <w:color w:val="auto"/>
        </w:rPr>
      </w:pPr>
      <w:r>
        <w:rPr>
          <w:rFonts w:ascii="Arial" w:cs="Arial" w:eastAsia="Arial" w:hAnsi="Arial"/>
          <w:sz w:val="18"/>
          <w:szCs w:val="18"/>
          <w:color w:val="auto"/>
        </w:rPr>
        <w:t>All references to "Academy," "we," "us," "our" or the "Company" in this Annual Report refer to (1) prior to October 1, 2020, New Academy Holding Company, LLC, a Delaware limited liability company and the prior parent holding company of our operations, and its consolidated subsidiaries; and (2) on and after October 1, 2020,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w:t>
      </w:r>
    </w:p>
    <w:p>
      <w:pPr>
        <w:spacing w:after="0" w:line="215" w:lineRule="exact"/>
        <w:rPr>
          <w:sz w:val="20"/>
          <w:szCs w:val="20"/>
          <w:color w:val="auto"/>
        </w:rPr>
      </w:pPr>
    </w:p>
    <w:p>
      <w:pPr>
        <w:jc w:val="both"/>
        <w:ind w:firstLine="292"/>
        <w:spacing w:after="0" w:line="262"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“2018,” “2019,” and “2020” relate to our fiscal years ended February 2, 2019, February 1, 2020, and January 30, 2021, respectively, unless the context requires otherwise.</w:t>
      </w:r>
    </w:p>
    <w:p>
      <w:pPr>
        <w:spacing w:after="0" w:line="199" w:lineRule="exact"/>
        <w:rPr>
          <w:sz w:val="20"/>
          <w:szCs w:val="20"/>
          <w:color w:val="auto"/>
        </w:rPr>
      </w:pPr>
    </w:p>
    <w:p>
      <w:pPr>
        <w:jc w:val="both"/>
        <w:ind w:firstLine="292"/>
        <w:spacing w:after="0" w:line="261" w:lineRule="auto"/>
        <w:rPr>
          <w:sz w:val="20"/>
          <w:szCs w:val="20"/>
          <w:color w:val="auto"/>
        </w:rPr>
      </w:pPr>
      <w:r>
        <w:rPr>
          <w:rFonts w:ascii="Arial" w:cs="Arial" w:eastAsia="Arial" w:hAnsi="Arial"/>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included elsewhere in this Annual Report for the fiscal year ended January 30, 2021. 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87"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i w:val="1"/>
          <w:iCs w:val="1"/>
          <w:color w:val="auto"/>
        </w:rPr>
        <w:t>All statements in this Annual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25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2020 across our seamless omnichannel platform and highly productive stores, resulting in net sales of $5.7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Emerging, rapidly growing and profitable omnichannel strategy that leverages our strong buy-online-pickup-in-store program ("BOPIS") and shipping fulfillment capabilities.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(or "MSAs").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Originally founded in 1938 as a family business in Texas, we have grown to 259 stores across 16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35%, 25%, 22% and 18% of our 2020 net sales, respectively) through both leading national brands and a portfolio of 19 owned brands, which go well beyond traditional sporting goods and apparel offerings.</w:t>
      </w:r>
    </w:p>
    <w:p>
      <w:pPr>
        <w:spacing w:after="0" w:line="21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22,000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We are continually assessing the number of locations available that could accommodate our preferred size of stores in markets we would consider and we expect to open eight to 10 new stores per year, starting in 2022, which is similar to our growth rates from 2018 to 2019.</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both"/>
        <w:ind w:firstLine="324"/>
        <w:spacing w:after="0" w:line="259" w:lineRule="auto"/>
        <w:rPr>
          <w:sz w:val="20"/>
          <w:szCs w:val="20"/>
          <w:color w:val="auto"/>
        </w:rPr>
      </w:pPr>
      <w:r>
        <w:rPr>
          <w:rFonts w:ascii="Arial" w:cs="Arial" w:eastAsia="Arial" w:hAnsi="Arial"/>
          <w:sz w:val="18"/>
          <w:szCs w:val="18"/>
          <w:color w:val="auto"/>
        </w:rPr>
        <w:t>We are active members of the communities in which we operate. We have a strong and growing presence in four of the top five, and six of the top 10, fastest-growing MSAs, in the United States, including Dallas, Houston, 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1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 Nearly 20% of our 2020 sales were from our owned brands, such as Magellan Outdoors and BCG, which offer a distinct offering to our customers and approximately 56% of our customers purchased an owned brand item from us in 2020. Our merchandising creates a balanced sales mix throughout the year with no single season accounting for more than 28% of our annual sales.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stores deliver industry-leading unit sales and profitability, including 2020 net sales per store of $22.0 million, average total sales per square foot of $311, and average EBITDA per store of $2.3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21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emerging, profitable e-commerce platform that leverages our strong BOPIS and shipping fulfillment capabilities has achieved year-over-year sales growth of 138% and 8% during 2020 and 2019, respectively. Our e-commerce sales represented 10% and 5% of our merchandise sales in 2020 and 2019, respectively. We are deepening our customer relationships, further integrating our e-commerce platform with our stores and driving operating efficiencies by developing our omnichannel capabilities. Our BOPIS program, launched in 2019,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 links to video demonstrations on how to best select, use and get the most out of our products. Our website is introducing new customers to the Academy brand, with approximately 39% of our e-commerce sales during 2020 coming from new households.</w:t>
      </w:r>
    </w:p>
    <w:p>
      <w:pPr>
        <w:spacing w:after="0" w:line="20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 w:name="page8"/>
    <w:bookmarkEnd w:id="7"/>
    <w:p>
      <w:pPr>
        <w:jc w:val="both"/>
        <w:ind w:firstLine="324"/>
        <w:spacing w:after="0" w:line="272" w:lineRule="auto"/>
        <w:rPr>
          <w:sz w:val="20"/>
          <w:szCs w:val="20"/>
          <w:color w:val="auto"/>
        </w:rPr>
      </w:pPr>
      <w:r>
        <w:rPr>
          <w:rFonts w:ascii="Arial" w:cs="Arial" w:eastAsia="Arial" w:hAnsi="Arial"/>
          <w:sz w:val="17"/>
          <w:szCs w:val="17"/>
          <w:color w:val="auto"/>
        </w:rPr>
        <w:t>We finished the fiscal year ended January 30, 2021 with approximately $5.7 billion in sales, $308.8 million of net income and $607.0 million in Adjusted EBITDA. Although comparable sales were negative for fiscal years 2017, 2018 and 2019, we have seen six consecutive quarters of positive comparable sales and Adjusted EBITDA growth as of the 2020 fourth quarter. We earned net income of $308.8 million, $120.0 million and $21.4 million and Pro Forma Adjusted Net Income of $311.7 million, $75.9 million and $41.3 million in 2020, 2019 and 2018, respectively. See “Part II — Item 7. Management's Discussion and Analysis of Financial Condition and Results of Operations — Non-GAAP Measures”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25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made significant progress on several key performance improvement initiatives that drove positive comparable sales and Adjusted EBITDA growth in the last six consecutive quarters ended January 30, 2021, and created a foundation for our future growth. These key initiatives include:</w:t>
      </w:r>
    </w:p>
    <w:p>
      <w:pPr>
        <w:spacing w:after="0" w:line="70" w:lineRule="exact"/>
        <w:rPr>
          <w:sz w:val="20"/>
          <w:szCs w:val="20"/>
          <w:color w:val="auto"/>
        </w:rPr>
      </w:pPr>
    </w:p>
    <w:p>
      <w:pPr>
        <w:jc w:val="both"/>
        <w:ind w:left="660" w:hanging="328"/>
        <w:spacing w:after="0" w:line="25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Strengthened leadership team </w:t>
      </w:r>
      <w:r>
        <w:rPr>
          <w:rFonts w:ascii="Arial" w:cs="Arial" w:eastAsia="Arial" w:hAnsi="Arial"/>
          <w:sz w:val="18"/>
          <w:szCs w:val="18"/>
          <w:color w:val="auto"/>
        </w:rPr>
        <w:t>– Our leadership team comprises nine highly experienced and proven individuals, seven of whom joined Academy</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2017, led by our Chief Executive Officer and including our Chief Financial Officer, Chief Merchandising Officer, EVP of Retail Operations, SVP of Logistics and Supply Chain,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138"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in our omnichannel capabilities from 2017 through 2019, we launched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new omnichannel initiatives in 2019, including our BOPIS program, ship-to-store program and new website design, content and functionality. While still early in our omnichannel strategy, we have built a profitable omnichannel business that is poised for continued growth and improvement of capabilities.</w:t>
      </w:r>
    </w:p>
    <w:p>
      <w:pPr>
        <w:spacing w:after="0" w:line="132"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 inventory offerings. For example, a</w:t>
      </w:r>
      <w:r>
        <w:rPr>
          <w:rFonts w:ascii="Arial" w:cs="Arial" w:eastAsia="Arial" w:hAnsi="Arial"/>
          <w:sz w:val="18"/>
          <w:szCs w:val="18"/>
          <w:i w:val="1"/>
          <w:iCs w:val="1"/>
          <w:color w:val="auto"/>
        </w:rPr>
        <w:t xml:space="preserve"> </w:t>
      </w:r>
      <w:r>
        <w:rPr>
          <w:rFonts w:ascii="Arial" w:cs="Arial" w:eastAsia="Arial" w:hAnsi="Arial"/>
          <w:sz w:val="18"/>
          <w:szCs w:val="18"/>
          <w:color w:val="auto"/>
        </w:rPr>
        <w:t>crawfish boiler sells well in Louisiana, but not in North Carolina, and our fishing assortment sells better in stores with closer proximity to fishing venues. This initiative resulted in an improved customer shopping experience and increased sales.</w:t>
      </w:r>
    </w:p>
    <w:p>
      <w:pPr>
        <w:spacing w:after="0" w:line="129" w:lineRule="exact"/>
        <w:rPr>
          <w:rFonts w:ascii="Arial" w:cs="Arial" w:eastAsia="Arial" w:hAnsi="Arial"/>
          <w:sz w:val="18"/>
          <w:szCs w:val="18"/>
          <w:i w:val="1"/>
          <w:iCs w:val="1"/>
          <w:color w:val="auto"/>
        </w:rPr>
      </w:pPr>
    </w:p>
    <w:p>
      <w:pPr>
        <w:jc w:val="both"/>
        <w:ind w:left="660" w:right="2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and continuing into 2020, we improved and focused our assortments in priority product categories, such as team sports,</w:t>
      </w:r>
      <w:r>
        <w:rPr>
          <w:rFonts w:ascii="Arial" w:cs="Arial" w:eastAsia="Arial" w:hAnsi="Arial"/>
          <w:sz w:val="18"/>
          <w:szCs w:val="18"/>
          <w:i w:val="1"/>
          <w:iCs w:val="1"/>
          <w:color w:val="auto"/>
        </w:rPr>
        <w:t xml:space="preserve"> </w:t>
      </w:r>
      <w:r>
        <w:rPr>
          <w:rFonts w:ascii="Arial" w:cs="Arial" w:eastAsia="Arial" w:hAnsi="Arial"/>
          <w:sz w:val="18"/>
          <w:szCs w:val="18"/>
          <w:color w:val="auto"/>
        </w:rPr>
        <w:t>fishing and outdoors, while exiting certain other product categories, such as luggage, electronics and toys, that were less profitable or unprofitable, slower moving, and not core to our sporting goods and outdoor offering.</w:t>
      </w:r>
    </w:p>
    <w:p>
      <w:pPr>
        <w:spacing w:after="0" w:line="129"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Enhance store optimization </w:t>
      </w:r>
      <w:r>
        <w:rPr>
          <w:rFonts w:ascii="Arial" w:cs="Arial" w:eastAsia="Arial" w:hAnsi="Arial"/>
          <w:sz w:val="18"/>
          <w:szCs w:val="18"/>
          <w:color w:val="auto"/>
        </w:rPr>
        <w:t>– We leverage technology to enable our store team members to better manage, prioritize and reduce tasks to give them</w:t>
      </w:r>
      <w:r>
        <w:rPr>
          <w:rFonts w:ascii="Arial" w:cs="Arial" w:eastAsia="Arial" w:hAnsi="Arial"/>
          <w:sz w:val="18"/>
          <w:szCs w:val="18"/>
          <w:i w:val="1"/>
          <w:iCs w:val="1"/>
          <w:color w:val="auto"/>
        </w:rPr>
        <w:t xml:space="preserve"> </w:t>
      </w:r>
      <w:r>
        <w:rPr>
          <w:rFonts w:ascii="Arial" w:cs="Arial" w:eastAsia="Arial" w:hAnsi="Arial"/>
          <w:sz w:val="18"/>
          <w:szCs w:val="18"/>
          <w:color w:val="auto"/>
        </w:rPr>
        <w:t>more time to engage in customer service, thereby increasing our productivity and sales conversion.</w:t>
      </w:r>
    </w:p>
    <w:p>
      <w:pPr>
        <w:spacing w:after="0" w:line="116"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Digital marketing program </w:t>
      </w:r>
      <w:r>
        <w:rPr>
          <w:rFonts w:ascii="Arial" w:cs="Arial" w:eastAsia="Arial" w:hAnsi="Arial"/>
          <w:sz w:val="18"/>
          <w:szCs w:val="18"/>
          <w:color w:val="auto"/>
        </w:rPr>
        <w:t>– During the last two years, we shifted our primary marketing focus from print to digital marketing. Our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also supports our stores with digital marketing and our BOPIS program. Each of these initiatives has given us a closer connection with our customers.</w:t>
      </w:r>
    </w:p>
    <w:p>
      <w:pPr>
        <w:spacing w:after="0" w:line="129" w:lineRule="exact"/>
        <w:rPr>
          <w:rFonts w:ascii="Arial" w:cs="Arial" w:eastAsia="Arial" w:hAnsi="Arial"/>
          <w:sz w:val="18"/>
          <w:szCs w:val="18"/>
          <w:i w:val="1"/>
          <w:iCs w:val="1"/>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 constituted approximately 4.5% of 2020 net</w:t>
      </w:r>
      <w:r>
        <w:rPr>
          <w:rFonts w:ascii="Arial" w:cs="Arial" w:eastAsia="Arial" w:hAnsi="Arial"/>
          <w:sz w:val="18"/>
          <w:szCs w:val="18"/>
          <w:i w:val="1"/>
          <w:iCs w:val="1"/>
          <w:color w:val="auto"/>
        </w:rPr>
        <w:t xml:space="preserve"> </w:t>
      </w:r>
      <w:r>
        <w:rPr>
          <w:rFonts w:ascii="Arial" w:cs="Arial" w:eastAsia="Arial" w:hAnsi="Arial"/>
          <w:sz w:val="18"/>
          <w:szCs w:val="18"/>
          <w:color w:val="auto"/>
        </w:rPr>
        <w:t>sales. Academy Credit Card represents a significant opportunity to build customer loyalty, as our Academy Credit Card customers both spend more per trip and visit our stores more often.</w:t>
      </w:r>
    </w:p>
    <w:p>
      <w:pPr>
        <w:spacing w:after="0" w:line="129"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Programmatic inventory management </w:t>
      </w:r>
      <w:r>
        <w:rPr>
          <w:rFonts w:ascii="Arial" w:cs="Arial" w:eastAsia="Arial" w:hAnsi="Arial"/>
          <w:sz w:val="18"/>
          <w:szCs w:val="18"/>
          <w:color w:val="auto"/>
        </w:rPr>
        <w:t>– We implemented a new disciplined price markdown strategy that has improved our margins and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2.84x in 2019 to 3.89x in 2020.</w:t>
      </w:r>
    </w:p>
    <w:p>
      <w:pPr>
        <w:spacing w:after="0" w:line="132" w:lineRule="exact"/>
        <w:rPr>
          <w:rFonts w:ascii="Arial" w:cs="Arial" w:eastAsia="Arial" w:hAnsi="Arial"/>
          <w:sz w:val="18"/>
          <w:szCs w:val="18"/>
          <w:i w:val="1"/>
          <w:iCs w:val="1"/>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Develop small box format </w:t>
      </w:r>
      <w:r>
        <w:rPr>
          <w:rFonts w:ascii="Arial" w:cs="Arial" w:eastAsia="Arial" w:hAnsi="Arial"/>
          <w:sz w:val="18"/>
          <w:szCs w:val="18"/>
          <w:color w:val="auto"/>
        </w:rPr>
        <w:t>– We opened our first small format store (approximately 40,000 square feet) in Dallas, Texas in 2019. We believe this</w:t>
      </w:r>
      <w:r>
        <w:rPr>
          <w:rFonts w:ascii="Arial" w:cs="Arial" w:eastAsia="Arial" w:hAnsi="Arial"/>
          <w:sz w:val="18"/>
          <w:szCs w:val="18"/>
          <w:i w:val="1"/>
          <w:iCs w:val="1"/>
          <w:color w:val="auto"/>
        </w:rPr>
        <w:t xml:space="preserve"> </w:t>
      </w:r>
      <w:r>
        <w:rPr>
          <w:rFonts w:ascii="Arial" w:cs="Arial" w:eastAsia="Arial" w:hAnsi="Arial"/>
          <w:sz w:val="18"/>
          <w:szCs w:val="18"/>
          <w:color w:val="auto"/>
        </w:rPr>
        <w:t>new smaller format store allows us to open new stores in urban and less dense areas. During 2020, this smaller format store experienced approximately 28% higher sales per square foot and 37% higher inventory turns than the average of all Academy stores, the latter of which had $311 sales per square foot and 3.89x inventory turns. We evaluate performance inclusive of store sales, as well as BOPIS sales and other fulfilled sales from the location.</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 w:name="page9"/>
    <w:bookmarkEnd w:id="8"/>
    <w:p>
      <w:pPr>
        <w:jc w:val="both"/>
        <w:ind w:firstLine="324"/>
        <w:spacing w:after="0" w:line="287" w:lineRule="auto"/>
        <w:rPr>
          <w:sz w:val="20"/>
          <w:szCs w:val="20"/>
          <w:color w:val="auto"/>
        </w:rPr>
      </w:pPr>
      <w:r>
        <w:rPr>
          <w:rFonts w:ascii="Arial" w:cs="Arial" w:eastAsia="Arial" w:hAnsi="Arial"/>
          <w:sz w:val="16"/>
          <w:szCs w:val="16"/>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49%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fitness, running and team sports, which saw participation increases of 9%, 4%, 3% and 2%, respectively, from 2015 to 2019.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 future growth and success in this environment. It is difficult to ascertain with precision what portion of our increased comparable sales during 2020 is attributable to the increase in e-commerce sales due to the COVID-19 pandemic as compared to the impact of the business improvements described above.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5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retail business is highly competitive based on many variables including price, product assortment, customer service, omnichannel experience and store locations.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Mass general merchants </w:t>
      </w:r>
      <w:r>
        <w:rPr>
          <w:rFonts w:ascii="Arial" w:cs="Arial" w:eastAsia="Arial" w:hAnsi="Arial"/>
          <w:sz w:val="18"/>
          <w:szCs w:val="18"/>
          <w:color w:val="auto"/>
        </w:rPr>
        <w:t>(examples: Walmart, Kohl’s and Target) generally range in size from 50,000 to over 200,000 square feet and are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shopping centers, free-standing sites or regional malls. Sporting goods merchandise and apparel and outdoor recreation products may represent a small portion of the total merchandise in these stores.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Large format sporting goods stores </w:t>
      </w:r>
      <w:r>
        <w:rPr>
          <w:rFonts w:ascii="Arial" w:cs="Arial" w:eastAsia="Arial" w:hAnsi="Arial"/>
          <w:sz w:val="18"/>
          <w:szCs w:val="18"/>
          <w:color w:val="auto"/>
        </w:rPr>
        <w:t>(examples: Dick’s Sporting Goods and Scheels) generally range in size from 20,000 to over 100,000 square</w:t>
      </w:r>
      <w:r>
        <w:rPr>
          <w:rFonts w:ascii="Arial" w:cs="Arial" w:eastAsia="Arial" w:hAnsi="Arial"/>
          <w:sz w:val="18"/>
          <w:szCs w:val="18"/>
          <w:i w:val="1"/>
          <w:iCs w:val="1"/>
          <w:color w:val="auto"/>
        </w:rPr>
        <w:t xml:space="preserve"> </w:t>
      </w:r>
      <w:r>
        <w:rPr>
          <w:rFonts w:ascii="Arial" w:cs="Arial" w:eastAsia="Arial" w:hAnsi="Arial"/>
          <w:sz w:val="18"/>
          <w:szCs w:val="18"/>
          <w:color w:val="auto"/>
        </w:rPr>
        <w:t>feet and offer a broad selection of sporting goods and outdoor recreation merchandise.</w:t>
      </w:r>
    </w:p>
    <w:p>
      <w:pPr>
        <w:spacing w:after="0" w:line="116" w:lineRule="exact"/>
        <w:rPr>
          <w:rFonts w:ascii="Arial" w:cs="Arial" w:eastAsia="Arial" w:hAnsi="Arial"/>
          <w:sz w:val="18"/>
          <w:szCs w:val="18"/>
          <w:color w:val="auto"/>
        </w:rPr>
      </w:pPr>
    </w:p>
    <w:p>
      <w:pPr>
        <w:jc w:val="both"/>
        <w:ind w:left="660" w:right="2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Traditional sporting goods stores </w:t>
      </w:r>
      <w:r>
        <w:rPr>
          <w:rFonts w:ascii="Arial" w:cs="Arial" w:eastAsia="Arial" w:hAnsi="Arial"/>
          <w:sz w:val="16"/>
          <w:szCs w:val="16"/>
          <w:color w:val="auto"/>
        </w:rPr>
        <w:t>(examples: Hibbett Sports and Big 5 Sporting Goods) generally range in size from 5,000 to 20,000 square feet</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frequently located in regional malls and shopping centers and typically carry a varied assortment of primarily sporting goods merchandise.</w:t>
      </w:r>
    </w:p>
    <w:p>
      <w:pPr>
        <w:spacing w:after="0" w:line="6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Specialty outdoor retailers </w:t>
      </w:r>
      <w:r>
        <w:rPr>
          <w:rFonts w:ascii="Arial" w:cs="Arial" w:eastAsia="Arial" w:hAnsi="Arial"/>
          <w:sz w:val="18"/>
          <w:szCs w:val="18"/>
          <w:color w:val="auto"/>
        </w:rPr>
        <w:t>(examples: Bass Pro Shop/Cabela’s and Sportsman’s Warehouse) generally range in size from 7,500 to over 100,000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typically focus on specific categories such as outdoor recreation.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Specialty footwear retailers </w:t>
      </w:r>
      <w:r>
        <w:rPr>
          <w:rFonts w:ascii="Arial" w:cs="Arial" w:eastAsia="Arial" w:hAnsi="Arial"/>
          <w:sz w:val="18"/>
          <w:szCs w:val="18"/>
          <w:color w:val="auto"/>
        </w:rPr>
        <w:t>(examples: Foot Locker, Boot Barn and The Finish Line) generally range in size from 2,000 to 20,000 square feet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focus on specific categories such as athletic footwear.</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Catalogue &amp; Internet retailers </w:t>
      </w:r>
      <w:r>
        <w:rPr>
          <w:rFonts w:ascii="Arial" w:cs="Arial" w:eastAsia="Arial" w:hAnsi="Arial"/>
          <w:sz w:val="18"/>
          <w:szCs w:val="18"/>
          <w:color w:val="auto"/>
        </w:rPr>
        <w:t>(examples: Amazon and eBay) do not typically operate brick and mortar stores and primarily rely on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goods. Sporting goods merchandise and apparel and outdoor recreation products may represent a small portion of the total merchandise on their websites.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9" w:name="page10"/>
    <w:bookmarkEnd w:id="9"/>
    <w:p>
      <w:pPr>
        <w:jc w:val="both"/>
        <w:ind w:firstLine="324"/>
        <w:spacing w:after="0" w:line="268"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fitness, running and team sports, which saw participation increases of 9%, 4%, 3% and 2%, respectively, from 2015 to 2019. According to Allied Market Research, sales growth from 2019 through 2027 in categories we participate, such as outdoor, team sports, apparel and footwear, is expected to grow approximately 6% per annum. The rising popularity in loyalty to premium brands, and importance of experience for customers also serve as constructive tailwinds to our business.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believe we are well positioned to capture an increasing portion of the wallets of important growing demographics, such as female and Hispanic customers. Female customers constitute a large and growing portion of our business (48% of our customers in 2020), with our targeted and diverse merchandise that consciously supports women’s active interests. In addition, mothers who shop with us are not only buying for themselves, but for their family as well. We believe our footprint and localized offerings also position us well to serve the significant growth of the Hispanic population (16% of our customers in 2020, up from 15% in 2019 and 14% in 2018), the nation’s fastest-growing demographic. Currently, we have stores in four of the top eight fastest growing Hispanic MSAs in the United States, including Houston, Dallas, Orlando, and San Antonio.</w:t>
      </w:r>
    </w:p>
    <w:p>
      <w:pPr>
        <w:spacing w:after="0" w:line="20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the second largest full-line sporting goods and outdoor recreation retailer in the United States, with 2020 net sales of $5.7 billion. We believe our stores are well positioned geographically, with a strong and growing presence in six of the top 10 fastest-growing MSAs, including Dallas, Houston, Atlanta, Austin, Charlotte and San Antonio. As of January 30, 2021, 29% of our stores are in four of the top five fastest-growing MSAs. This deep penetration of our established markets results in high customer awareness of, and loyalty to, the Academy name and frequent visits to our conveniently located stores.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jc w:val="both"/>
        <w:ind w:firstLine="324"/>
        <w:spacing w:after="0" w:line="270" w:lineRule="auto"/>
        <w:rPr>
          <w:sz w:val="20"/>
          <w:szCs w:val="20"/>
          <w:color w:val="auto"/>
        </w:rPr>
      </w:pPr>
      <w:r>
        <w:rPr>
          <w:rFonts w:ascii="Arial" w:cs="Arial" w:eastAsia="Arial" w:hAnsi="Arial"/>
          <w:sz w:val="17"/>
          <w:szCs w:val="17"/>
          <w:color w:val="auto"/>
        </w:rPr>
        <w:t>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2020 merchandise sales was comprised of national brand products, with the remainder coming from exclusive products in our portfolio of 19 owned brands. We have minimal product overlap with direct-to-consumer brands and competitors. No single brand we carry accounted for more than 10% of our 2020 sales.</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owned brand portfolio consists of 19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9.1% and 4.0% in 2020, respectively. Additionally, our owned brands generate strong brand equity and drive significant customer loyalty, as several of our exclusive products, such as the Academy-logo folding chair and folding wagon, are top-selling items. Approximately 56% of our customers purchased an owned brand item from us in 2020. Whether it is seeing a row of Academy-branded chairs at a softball game, or individuals wearing Magellan Outdoors shirts around town, our owned brands are worn and used throughout our footprint.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1" w:name="page12"/>
    <w:bookmarkEnd w:id="11"/>
    <w:p>
      <w:pPr>
        <w:jc w:val="both"/>
        <w:ind w:firstLine="324"/>
        <w:spacing w:after="0" w:line="269" w:lineRule="auto"/>
        <w:rPr>
          <w:sz w:val="20"/>
          <w:szCs w:val="20"/>
          <w:color w:val="auto"/>
        </w:rPr>
      </w:pPr>
      <w:r>
        <w:rPr>
          <w:rFonts w:ascii="Arial" w:cs="Arial" w:eastAsia="Arial" w:hAnsi="Arial"/>
          <w:sz w:val="17"/>
          <w:szCs w:val="17"/>
          <w:color w:val="auto"/>
        </w:rPr>
        <w:t>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Enthusiasts– passionate local experts who are specially recruited and trained for category-specific positions. Our Enthusiasts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Enthusiasts to share experiences and obtain further advice and assistance.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endeavor to offer products for customers of all ages, incomes and aspirations across sporting and outdoor recreation activities, seasons and experience levels. As such, we have a balanced, year-round business and a large customer base. In 2020, we estimate we served 30 million unique customers and we completed approximately 80 million transactions, resulting in strong household penetration in our core markets.</w:t>
      </w:r>
    </w:p>
    <w:p>
      <w:pPr>
        <w:spacing w:after="0" w:line="19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customers love shopping at Academy. Our average customer visits our stores anywhere from two to three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During 2020, we estimate we have gained approximately five million new customers.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over 20 years of retail experience. Seven out of the nine members of our senior management team, including our Chairman, President and Chief Executive Officer, Ken C. Hicks, were hired after early 2017 to lead the development and execution of our strategic growth and initiatives in merchandising, e-commerce and omnichannel, stores, information technology and finance. Together, our senior management has delivered strong results, with six consecutive quarters of positive comparable sales as of the fiscal year ended January 30, 2021, Adjusted EBITDA growth to $607.0 million in 2020, or 88% growth, compared to 2019, and Adjusted Free Cash Flow growth to $978.5 million in 2020 from $196.9 million in 2019.</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consistently demonstrated steady revenue growth, expanded profit margins and disciplined capital expenditures. We generated $5.7 billion in net sales, $308.8 million in net income and $607.0 million in Adjusted EBITDA in 2020. In 2020, we also generated $1,011.6 million of net cash provided by operating activities and $978.5 million in Adjusted Free Cash Flow, while limiting net capital expenditures to $41.3 million. We have reduced our net leverage ratio to 0.7x as of end of 2020 compared to 4.1x and 5.2x as of the end of 2019 and 2018, respectively.</w:t>
      </w:r>
    </w:p>
    <w:p>
      <w:pPr>
        <w:spacing w:after="0" w:line="19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222 mature stores (stores opened longer than four years) were profitable on a four-wall basis during the fiscal year ended January 30, 2021 and our new stores have average payback periods of four to five years.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focused on the following four growth drivers: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e-commerce sales represented 10.4% and 5.1% of our merchandise sales for 2020 and 2019, respectively. E-commerce sales compared to the same quarter in the prior year increased 406% in the first quarter of 2020, 210% in the second quarter of 2020, 96% in the third quarter of 2020 and 61% in the fourth quarter of 2020. Our goal is to increase our omnichannel penetration quickly and significantly. To meet this goal, since 2011, we have invested $230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9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2020, our omnichannel customers spent 50% more than our store-only customers and 316% more than our online only customers. Since we launched our BOPIS program in 2019, we have seen significant e-commerce penetration that generates higher average order value and incremental in-store purchases. BOPIS orders accounted for 51% of all e-commerce sales during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2020 third quarter, which will continue to give our customers more options on how to shop Academy.</w:t>
      </w:r>
    </w:p>
    <w:p>
      <w:pPr>
        <w:spacing w:after="0" w:line="20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fiscal year 2020, we reached approximately 6.3 million unique households in 47 states through ship-to-home orders made through our website. In 2020, 14%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we have a significant opportunity to continue to expand our customer base. Better understanding our customers’ buying trends allows us to better target and cater to our customers. Our robust customer database has 40 million unique customers, and we continue to grow this through increased penetration of e-commerce sales and through the success of our Academy Credit Card program.</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40 million customers in our database, there is ample opportunity to increase our communication directly with our customers via one-on-one marketing. We are also leveraging the information from our approximately 80 million annual transactions in 2020 to make more informed, localized decisions on promotion, marketing and inventory.</w:t>
      </w:r>
    </w:p>
    <w:p>
      <w:pPr>
        <w:spacing w:after="0" w:line="21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4.5% of our net sales in 2020. We believe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20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Much of our margin expansion from 2019 to 2020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2.84x in 2019 to 3.89x in 2020, and has helped us to identify and exit certain product categories, such as luggage and toys.</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9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January 30, 2021, we had 222 mature stores, and all but one were profitable on a four-wall basis. We expect to open eight to 10 new stores per year starting in 2022, which is similar to our growth rates from 2018 to 2019.</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In-fill market opportunity</w:t>
      </w:r>
    </w:p>
    <w:p>
      <w:pPr>
        <w:spacing w:after="0" w:line="252" w:lineRule="exact"/>
        <w:rPr>
          <w:sz w:val="20"/>
          <w:szCs w:val="20"/>
          <w:color w:val="auto"/>
        </w:rPr>
      </w:pPr>
    </w:p>
    <w:p>
      <w:pPr>
        <w:jc w:val="both"/>
        <w:ind w:left="660" w:firstLine="324"/>
        <w:spacing w:after="0" w:line="259"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Adjacent market opportunity</w:t>
      </w:r>
    </w:p>
    <w:p>
      <w:pPr>
        <w:spacing w:after="0" w:line="252" w:lineRule="exact"/>
        <w:rPr>
          <w:sz w:val="20"/>
          <w:szCs w:val="20"/>
          <w:color w:val="auto"/>
        </w:rPr>
      </w:pPr>
    </w:p>
    <w:p>
      <w:pPr>
        <w:jc w:val="both"/>
        <w:ind w:left="660" w:firstLine="324"/>
        <w:spacing w:after="0" w:line="263"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Greenfield opportunity</w:t>
      </w:r>
    </w:p>
    <w:p>
      <w:pPr>
        <w:spacing w:after="0" w:line="252" w:lineRule="exact"/>
        <w:rPr>
          <w:sz w:val="20"/>
          <w:szCs w:val="20"/>
          <w:color w:val="auto"/>
        </w:rPr>
      </w:pPr>
    </w:p>
    <w:p>
      <w:pPr>
        <w:jc w:val="both"/>
        <w:ind w:left="660" w:firstLine="324"/>
        <w:spacing w:after="0" w:line="286" w:lineRule="auto"/>
        <w:rPr>
          <w:sz w:val="20"/>
          <w:szCs w:val="20"/>
          <w:color w:val="auto"/>
        </w:rPr>
      </w:pPr>
      <w:r>
        <w:rPr>
          <w:rFonts w:ascii="Arial" w:cs="Arial" w:eastAsia="Arial" w:hAnsi="Arial"/>
          <w:sz w:val="17"/>
          <w:szCs w:val="17"/>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growth opportunity</w:t>
      </w:r>
    </w:p>
    <w:p>
      <w:pPr>
        <w:spacing w:after="0" w:line="252" w:lineRule="exact"/>
        <w:rPr>
          <w:sz w:val="20"/>
          <w:szCs w:val="20"/>
          <w:color w:val="auto"/>
        </w:rPr>
      </w:pPr>
    </w:p>
    <w:p>
      <w:pPr>
        <w:jc w:val="both"/>
        <w:ind w:left="660" w:firstLine="324"/>
        <w:spacing w:after="0" w:line="263" w:lineRule="auto"/>
        <w:rPr>
          <w:sz w:val="20"/>
          <w:szCs w:val="20"/>
          <w:color w:val="auto"/>
        </w:rPr>
      </w:pPr>
      <w:r>
        <w:rPr>
          <w:rFonts w:ascii="Arial" w:cs="Arial" w:eastAsia="Arial" w:hAnsi="Arial"/>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20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5" w:name="page16"/>
    <w:bookmarkEnd w:id="15"/>
    <w:p>
      <w:pPr>
        <w:jc w:val="both"/>
        <w:ind w:firstLine="324"/>
        <w:spacing w:after="0" w:line="263" w:lineRule="auto"/>
        <w:rPr>
          <w:sz w:val="20"/>
          <w:szCs w:val="20"/>
          <w:color w:val="auto"/>
        </w:rPr>
      </w:pPr>
      <w:r>
        <w:rPr>
          <w:rFonts w:ascii="Arial" w:cs="Arial" w:eastAsia="Arial" w:hAnsi="Arial"/>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Merchandising</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2020, we purchased merchandise from approximately 1,200 vendors. For 2020, 2019 and 2018 no vendor represented more than 12%, 14%, and 13% of our total purchases, respectively.</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carry a wide variety of national brand products such as Nike, Carhartt, adidas, Columbia Sportswear, North Face, Winchester, Brooks, Rawlings, Remington, Skechers, Under Armour and many more.</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30, 2021, we generally organized our merchandise in four divisions made up of eleven categories as follows: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Division</w:t>
            </w:r>
          </w:p>
        </w:tc>
        <w:tc>
          <w:tcPr>
            <w:tcW w:w="22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xml:space="preserve">Category </w:t>
            </w:r>
            <w:r>
              <w:rPr>
                <w:rFonts w:ascii="Arial" w:cs="Arial" w:eastAsia="Arial" w:hAnsi="Arial"/>
                <w:sz w:val="23"/>
                <w:szCs w:val="23"/>
                <w:b w:val="1"/>
                <w:bCs w:val="1"/>
                <w:color w:val="auto"/>
                <w:vertAlign w:val="superscript"/>
              </w:rPr>
              <w:t>(1)</w:t>
            </w:r>
          </w:p>
        </w:tc>
        <w:tc>
          <w:tcPr>
            <w:tcW w:w="78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 xml:space="preserve">Primary product types </w:t>
            </w:r>
            <w:r>
              <w:rPr>
                <w:rFonts w:ascii="Arial" w:cs="Arial" w:eastAsia="Arial" w:hAnsi="Arial"/>
                <w:sz w:val="23"/>
                <w:szCs w:val="23"/>
                <w:b w:val="1"/>
                <w:bCs w:val="1"/>
                <w:color w:val="auto"/>
                <w:vertAlign w:val="superscript"/>
              </w:rPr>
              <w:t>(1)</w:t>
            </w:r>
          </w:p>
        </w:tc>
      </w:tr>
      <w:tr>
        <w:trPr>
          <w:trHeight w:val="34"/>
        </w:trPr>
        <w:tc>
          <w:tcPr>
            <w:tcW w:w="11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880" w:type="dxa"/>
            <w:vAlign w:val="bottom"/>
          </w:tcPr>
          <w:p>
            <w:pPr>
              <w:spacing w:after="0"/>
              <w:rPr>
                <w:sz w:val="2"/>
                <w:szCs w:val="2"/>
                <w:color w:val="auto"/>
              </w:rPr>
            </w:pPr>
          </w:p>
        </w:tc>
      </w:tr>
      <w:tr>
        <w:trPr>
          <w:trHeight w:val="229"/>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Outdoors</w:t>
            </w: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Camping</w:t>
            </w:r>
          </w:p>
        </w:tc>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Coolers and drinkware, camping accessories, camping equipment, sunglasses, backpacks and sports bags</w:t>
            </w:r>
          </w:p>
        </w:tc>
      </w:tr>
      <w:tr>
        <w:trPr>
          <w:trHeight w:val="230"/>
        </w:trPr>
        <w:tc>
          <w:tcPr>
            <w:tcW w:w="1100" w:type="dxa"/>
            <w:vAlign w:val="bottom"/>
          </w:tcPr>
          <w:p>
            <w:pPr>
              <w:spacing w:after="0"/>
              <w:rPr>
                <w:sz w:val="19"/>
                <w:szCs w:val="19"/>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Fishing</w:t>
            </w:r>
          </w:p>
        </w:tc>
        <w:tc>
          <w:tcPr>
            <w:tcW w:w="7880" w:type="dxa"/>
            <w:vAlign w:val="bottom"/>
          </w:tcPr>
          <w:p>
            <w:pPr>
              <w:ind w:left="220"/>
              <w:spacing w:after="0"/>
              <w:rPr>
                <w:sz w:val="20"/>
                <w:szCs w:val="20"/>
                <w:color w:val="auto"/>
              </w:rPr>
            </w:pPr>
            <w:r>
              <w:rPr>
                <w:rFonts w:ascii="Arial" w:cs="Arial" w:eastAsia="Arial" w:hAnsi="Arial"/>
                <w:sz w:val="18"/>
                <w:szCs w:val="18"/>
                <w:color w:val="auto"/>
              </w:rPr>
              <w:t>Marine equipment and fishing rods, reels, baits and equipment</w:t>
            </w:r>
          </w:p>
        </w:tc>
      </w:tr>
      <w:tr>
        <w:trPr>
          <w:trHeight w:val="176"/>
        </w:trPr>
        <w:tc>
          <w:tcPr>
            <w:tcW w:w="1100" w:type="dxa"/>
            <w:vAlign w:val="bottom"/>
            <w:shd w:val="clear" w:color="auto" w:fill="CCEEFF"/>
          </w:tcPr>
          <w:p>
            <w:pPr>
              <w:spacing w:after="0"/>
              <w:rPr>
                <w:sz w:val="15"/>
                <w:szCs w:val="15"/>
                <w:color w:val="auto"/>
              </w:rPr>
            </w:pPr>
          </w:p>
        </w:tc>
        <w:tc>
          <w:tcPr>
            <w:tcW w:w="22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Shooting sports</w:t>
            </w:r>
          </w:p>
        </w:tc>
        <w:tc>
          <w:tcPr>
            <w:tcW w:w="7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89"/>
              </w:rPr>
              <w:t>Firearms, ammunition, archery and archery equipment, camouflage apparel, waders, shooting accessories,</w:t>
            </w:r>
          </w:p>
        </w:tc>
      </w:tr>
      <w:tr>
        <w:trPr>
          <w:trHeight w:val="229"/>
        </w:trPr>
        <w:tc>
          <w:tcPr>
            <w:tcW w:w="110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optics, airguns and hunting equipment</w:t>
            </w:r>
          </w:p>
        </w:tc>
      </w:tr>
      <w:tr>
        <w:trPr>
          <w:trHeight w:val="54"/>
        </w:trPr>
        <w:tc>
          <w:tcPr>
            <w:tcW w:w="1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880" w:type="dxa"/>
            <w:vAlign w:val="bottom"/>
          </w:tcPr>
          <w:p>
            <w:pPr>
              <w:spacing w:after="0"/>
              <w:rPr>
                <w:sz w:val="4"/>
                <w:szCs w:val="4"/>
                <w:color w:val="auto"/>
              </w:rPr>
            </w:pPr>
          </w:p>
        </w:tc>
      </w:tr>
      <w:tr>
        <w:trPr>
          <w:trHeight w:val="175"/>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Sports and</w:t>
            </w:r>
          </w:p>
        </w:tc>
        <w:tc>
          <w:tcPr>
            <w:tcW w:w="22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Team sports/fitness</w:t>
            </w:r>
          </w:p>
        </w:tc>
        <w:tc>
          <w:tcPr>
            <w:tcW w:w="7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0"/>
              </w:rPr>
              <w:t>Baseball, football, basketball, soccer, golf, racket sports, volleyball, fitness equipment, fitness accessories</w:t>
            </w:r>
          </w:p>
        </w:tc>
      </w:tr>
      <w:tr>
        <w:trPr>
          <w:trHeight w:val="230"/>
        </w:trPr>
        <w:tc>
          <w:tcPr>
            <w:tcW w:w="1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Recreation</w:t>
            </w:r>
          </w:p>
        </w:tc>
        <w:tc>
          <w:tcPr>
            <w:tcW w:w="2220" w:type="dxa"/>
            <w:vAlign w:val="bottom"/>
            <w:shd w:val="clear" w:color="auto" w:fill="CCEEFF"/>
          </w:tcPr>
          <w:p>
            <w:pPr>
              <w:spacing w:after="0"/>
              <w:rPr>
                <w:sz w:val="19"/>
                <w:szCs w:val="19"/>
                <w:color w:val="auto"/>
              </w:rPr>
            </w:pPr>
          </w:p>
        </w:tc>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nutrition</w:t>
            </w:r>
          </w:p>
        </w:tc>
      </w:tr>
      <w:tr>
        <w:trPr>
          <w:trHeight w:val="175"/>
        </w:trPr>
        <w:tc>
          <w:tcPr>
            <w:tcW w:w="1100" w:type="dxa"/>
            <w:vAlign w:val="bottom"/>
          </w:tcPr>
          <w:p>
            <w:pPr>
              <w:spacing w:after="0"/>
              <w:rPr>
                <w:sz w:val="15"/>
                <w:szCs w:val="15"/>
                <w:color w:val="auto"/>
              </w:rPr>
            </w:pPr>
          </w:p>
        </w:tc>
        <w:tc>
          <w:tcPr>
            <w:tcW w:w="2220" w:type="dxa"/>
            <w:vAlign w:val="bottom"/>
          </w:tcPr>
          <w:p>
            <w:pPr>
              <w:ind w:left="320"/>
              <w:spacing w:after="0" w:line="176" w:lineRule="exact"/>
              <w:rPr>
                <w:sz w:val="20"/>
                <w:szCs w:val="20"/>
                <w:color w:val="auto"/>
              </w:rPr>
            </w:pPr>
            <w:r>
              <w:rPr>
                <w:rFonts w:ascii="Arial" w:cs="Arial" w:eastAsia="Arial" w:hAnsi="Arial"/>
                <w:sz w:val="18"/>
                <w:szCs w:val="18"/>
                <w:color w:val="auto"/>
              </w:rPr>
              <w:t>Recreation</w:t>
            </w:r>
          </w:p>
        </w:tc>
        <w:tc>
          <w:tcPr>
            <w:tcW w:w="7880" w:type="dxa"/>
            <w:vAlign w:val="bottom"/>
          </w:tcPr>
          <w:p>
            <w:pPr>
              <w:ind w:left="220"/>
              <w:spacing w:after="0" w:line="176" w:lineRule="exact"/>
              <w:rPr>
                <w:sz w:val="20"/>
                <w:szCs w:val="20"/>
                <w:color w:val="auto"/>
              </w:rPr>
            </w:pPr>
            <w:r>
              <w:rPr>
                <w:rFonts w:ascii="Arial" w:cs="Arial" w:eastAsia="Arial" w:hAnsi="Arial"/>
                <w:sz w:val="18"/>
                <w:szCs w:val="18"/>
                <w:color w:val="auto"/>
                <w:w w:val="98"/>
              </w:rPr>
              <w:t>Patio equipment, outdoor cooking, wheeled goods (bicycles, skateboards and other ride-on toys),</w:t>
            </w:r>
          </w:p>
        </w:tc>
      </w:tr>
      <w:tr>
        <w:trPr>
          <w:trHeight w:val="175"/>
        </w:trPr>
        <w:tc>
          <w:tcPr>
            <w:tcW w:w="1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80" w:type="dxa"/>
            <w:vAlign w:val="bottom"/>
          </w:tcPr>
          <w:p>
            <w:pPr>
              <w:ind w:left="220"/>
              <w:spacing w:after="0" w:line="176" w:lineRule="exact"/>
              <w:rPr>
                <w:sz w:val="20"/>
                <w:szCs w:val="20"/>
                <w:color w:val="auto"/>
              </w:rPr>
            </w:pPr>
            <w:r>
              <w:rPr>
                <w:rFonts w:ascii="Arial" w:cs="Arial" w:eastAsia="Arial" w:hAnsi="Arial"/>
                <w:sz w:val="18"/>
                <w:szCs w:val="18"/>
                <w:color w:val="auto"/>
                <w:w w:val="90"/>
              </w:rPr>
              <w:t>trampolines, play sets, watersports, pet equipment, electronics and watches, and front-end (consumables,</w:t>
            </w:r>
          </w:p>
        </w:tc>
      </w:tr>
      <w:tr>
        <w:trPr>
          <w:trHeight w:val="230"/>
        </w:trPr>
        <w:tc>
          <w:tcPr>
            <w:tcW w:w="1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7880" w:type="dxa"/>
            <w:vAlign w:val="bottom"/>
          </w:tcPr>
          <w:p>
            <w:pPr>
              <w:ind w:left="220"/>
              <w:spacing w:after="0"/>
              <w:rPr>
                <w:sz w:val="20"/>
                <w:szCs w:val="20"/>
                <w:color w:val="auto"/>
              </w:rPr>
            </w:pPr>
            <w:r>
              <w:rPr>
                <w:rFonts w:ascii="Arial" w:cs="Arial" w:eastAsia="Arial" w:hAnsi="Arial"/>
                <w:sz w:val="18"/>
                <w:szCs w:val="18"/>
                <w:color w:val="auto"/>
              </w:rPr>
              <w:t>batteries, etc.)</w:t>
            </w:r>
          </w:p>
        </w:tc>
      </w:tr>
      <w:tr>
        <w:trPr>
          <w:trHeight w:val="53"/>
        </w:trPr>
        <w:tc>
          <w:tcPr>
            <w:tcW w:w="1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880" w:type="dxa"/>
            <w:vAlign w:val="bottom"/>
          </w:tcPr>
          <w:p>
            <w:pPr>
              <w:spacing w:after="0"/>
              <w:rPr>
                <w:sz w:val="4"/>
                <w:szCs w:val="4"/>
                <w:color w:val="auto"/>
              </w:rPr>
            </w:pPr>
          </w:p>
        </w:tc>
      </w:tr>
      <w:tr>
        <w:trPr>
          <w:trHeight w:val="175"/>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Apparel</w:t>
            </w:r>
          </w:p>
        </w:tc>
        <w:tc>
          <w:tcPr>
            <w:tcW w:w="22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Outdoor and seasonal</w:t>
            </w:r>
          </w:p>
        </w:tc>
        <w:tc>
          <w:tcPr>
            <w:tcW w:w="7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Outdoor apparel, seasonal apparel, denim, work apparel, graphic t-shirts and accessories</w:t>
            </w:r>
          </w:p>
        </w:tc>
      </w:tr>
      <w:tr>
        <w:trPr>
          <w:trHeight w:val="230"/>
        </w:trPr>
        <w:tc>
          <w:tcPr>
            <w:tcW w:w="1100" w:type="dxa"/>
            <w:vAlign w:val="bottom"/>
            <w:shd w:val="clear" w:color="auto" w:fill="CCEEFF"/>
          </w:tcPr>
          <w:p>
            <w:pPr>
              <w:spacing w:after="0"/>
              <w:rPr>
                <w:sz w:val="19"/>
                <w:szCs w:val="19"/>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apparel</w:t>
            </w:r>
          </w:p>
        </w:tc>
        <w:tc>
          <w:tcPr>
            <w:tcW w:w="7880" w:type="dxa"/>
            <w:vAlign w:val="bottom"/>
            <w:shd w:val="clear" w:color="auto" w:fill="CCEEFF"/>
          </w:tcPr>
          <w:p>
            <w:pPr>
              <w:spacing w:after="0"/>
              <w:rPr>
                <w:sz w:val="19"/>
                <w:szCs w:val="19"/>
                <w:color w:val="auto"/>
              </w:rPr>
            </w:pPr>
          </w:p>
        </w:tc>
      </w:tr>
      <w:tr>
        <w:trPr>
          <w:trHeight w:val="229"/>
        </w:trPr>
        <w:tc>
          <w:tcPr>
            <w:tcW w:w="1100" w:type="dxa"/>
            <w:vAlign w:val="bottom"/>
          </w:tcPr>
          <w:p>
            <w:pPr>
              <w:spacing w:after="0"/>
              <w:rPr>
                <w:sz w:val="19"/>
                <w:szCs w:val="19"/>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Youth apparel</w:t>
            </w:r>
          </w:p>
        </w:tc>
        <w:tc>
          <w:tcPr>
            <w:tcW w:w="7880" w:type="dxa"/>
            <w:vAlign w:val="bottom"/>
          </w:tcPr>
          <w:p>
            <w:pPr>
              <w:ind w:left="220"/>
              <w:spacing w:after="0"/>
              <w:rPr>
                <w:sz w:val="20"/>
                <w:szCs w:val="20"/>
                <w:color w:val="auto"/>
              </w:rPr>
            </w:pPr>
            <w:r>
              <w:rPr>
                <w:rFonts w:ascii="Arial" w:cs="Arial" w:eastAsia="Arial" w:hAnsi="Arial"/>
                <w:sz w:val="18"/>
                <w:szCs w:val="18"/>
                <w:color w:val="auto"/>
              </w:rPr>
              <w:t>Boys and girls outdoor and athletic apparel</w:t>
            </w:r>
          </w:p>
        </w:tc>
      </w:tr>
      <w:tr>
        <w:trPr>
          <w:trHeight w:val="230"/>
        </w:trPr>
        <w:tc>
          <w:tcPr>
            <w:tcW w:w="1100" w:type="dxa"/>
            <w:vAlign w:val="bottom"/>
            <w:shd w:val="clear" w:color="auto" w:fill="CCEEFF"/>
          </w:tcPr>
          <w:p>
            <w:pPr>
              <w:spacing w:after="0"/>
              <w:rPr>
                <w:sz w:val="19"/>
                <w:szCs w:val="19"/>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Athletic apparel</w:t>
            </w:r>
          </w:p>
        </w:tc>
        <w:tc>
          <w:tcPr>
            <w:tcW w:w="7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Sporting apparel, apparel for fitness and exercise and other accessories</w:t>
            </w:r>
          </w:p>
        </w:tc>
      </w:tr>
      <w:tr>
        <w:trPr>
          <w:trHeight w:val="230"/>
        </w:trPr>
        <w:tc>
          <w:tcPr>
            <w:tcW w:w="110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Licensed apparel</w:t>
            </w:r>
          </w:p>
        </w:tc>
        <w:tc>
          <w:tcPr>
            <w:tcW w:w="7880" w:type="dxa"/>
            <w:vAlign w:val="bottom"/>
          </w:tcPr>
          <w:p>
            <w:pPr>
              <w:ind w:left="220"/>
              <w:spacing w:after="0"/>
              <w:rPr>
                <w:sz w:val="20"/>
                <w:szCs w:val="20"/>
                <w:color w:val="auto"/>
              </w:rPr>
            </w:pPr>
            <w:r>
              <w:rPr>
                <w:rFonts w:ascii="Arial" w:cs="Arial" w:eastAsia="Arial" w:hAnsi="Arial"/>
                <w:sz w:val="18"/>
                <w:szCs w:val="18"/>
                <w:color w:val="auto"/>
              </w:rPr>
              <w:t>Professional and collegiate team licensed apparel and accessories</w:t>
            </w:r>
          </w:p>
        </w:tc>
      </w:tr>
      <w:tr>
        <w:trPr>
          <w:trHeight w:val="53"/>
        </w:trPr>
        <w:tc>
          <w:tcPr>
            <w:tcW w:w="11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880" w:type="dxa"/>
            <w:vAlign w:val="bottom"/>
          </w:tcPr>
          <w:p>
            <w:pPr>
              <w:spacing w:after="0"/>
              <w:rPr>
                <w:sz w:val="4"/>
                <w:szCs w:val="4"/>
                <w:color w:val="auto"/>
              </w:rPr>
            </w:pPr>
          </w:p>
        </w:tc>
      </w:tr>
      <w:tr>
        <w:trPr>
          <w:trHeight w:val="176"/>
        </w:trPr>
        <w:tc>
          <w:tcPr>
            <w:tcW w:w="1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Footwear</w:t>
            </w:r>
          </w:p>
        </w:tc>
        <w:tc>
          <w:tcPr>
            <w:tcW w:w="222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w w:val="99"/>
              </w:rPr>
              <w:t>Work, casual and youth</w:t>
            </w:r>
          </w:p>
        </w:tc>
        <w:tc>
          <w:tcPr>
            <w:tcW w:w="78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Casual shoes and slippers, work and western boots, youth footwear, socks and hunting footwear</w:t>
            </w:r>
          </w:p>
        </w:tc>
      </w:tr>
      <w:tr>
        <w:trPr>
          <w:trHeight w:val="229"/>
        </w:trPr>
        <w:tc>
          <w:tcPr>
            <w:tcW w:w="1100" w:type="dxa"/>
            <w:vAlign w:val="bottom"/>
            <w:shd w:val="clear" w:color="auto" w:fill="CCEEFF"/>
          </w:tcPr>
          <w:p>
            <w:pPr>
              <w:spacing w:after="0"/>
              <w:rPr>
                <w:sz w:val="19"/>
                <w:szCs w:val="19"/>
                <w:color w:val="auto"/>
              </w:rPr>
            </w:pPr>
          </w:p>
        </w:tc>
        <w:tc>
          <w:tcPr>
            <w:tcW w:w="2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footwear</w:t>
            </w:r>
          </w:p>
        </w:tc>
        <w:tc>
          <w:tcPr>
            <w:tcW w:w="7880" w:type="dxa"/>
            <w:vAlign w:val="bottom"/>
            <w:shd w:val="clear" w:color="auto" w:fill="CCEEFF"/>
          </w:tcPr>
          <w:p>
            <w:pPr>
              <w:spacing w:after="0"/>
              <w:rPr>
                <w:sz w:val="19"/>
                <w:szCs w:val="19"/>
                <w:color w:val="auto"/>
              </w:rPr>
            </w:pPr>
          </w:p>
        </w:tc>
      </w:tr>
      <w:tr>
        <w:trPr>
          <w:trHeight w:val="175"/>
        </w:trPr>
        <w:tc>
          <w:tcPr>
            <w:tcW w:w="1100" w:type="dxa"/>
            <w:vAlign w:val="bottom"/>
          </w:tcPr>
          <w:p>
            <w:pPr>
              <w:spacing w:after="0"/>
              <w:rPr>
                <w:sz w:val="15"/>
                <w:szCs w:val="15"/>
                <w:color w:val="auto"/>
              </w:rPr>
            </w:pPr>
          </w:p>
        </w:tc>
        <w:tc>
          <w:tcPr>
            <w:tcW w:w="2220" w:type="dxa"/>
            <w:vAlign w:val="bottom"/>
          </w:tcPr>
          <w:p>
            <w:pPr>
              <w:ind w:left="320"/>
              <w:spacing w:after="0" w:line="176" w:lineRule="exact"/>
              <w:rPr>
                <w:sz w:val="20"/>
                <w:szCs w:val="20"/>
                <w:color w:val="auto"/>
              </w:rPr>
            </w:pPr>
            <w:r>
              <w:rPr>
                <w:rFonts w:ascii="Arial" w:cs="Arial" w:eastAsia="Arial" w:hAnsi="Arial"/>
                <w:sz w:val="18"/>
                <w:szCs w:val="18"/>
                <w:color w:val="auto"/>
              </w:rPr>
              <w:t>Athletic/team sports</w:t>
            </w:r>
          </w:p>
        </w:tc>
        <w:tc>
          <w:tcPr>
            <w:tcW w:w="7880" w:type="dxa"/>
            <w:vAlign w:val="bottom"/>
          </w:tcPr>
          <w:p>
            <w:pPr>
              <w:ind w:left="220"/>
              <w:spacing w:after="0" w:line="176" w:lineRule="exact"/>
              <w:rPr>
                <w:sz w:val="20"/>
                <w:szCs w:val="20"/>
                <w:color w:val="auto"/>
              </w:rPr>
            </w:pPr>
            <w:r>
              <w:rPr>
                <w:rFonts w:ascii="Arial" w:cs="Arial" w:eastAsia="Arial" w:hAnsi="Arial"/>
                <w:sz w:val="18"/>
                <w:szCs w:val="18"/>
                <w:color w:val="auto"/>
              </w:rPr>
              <w:t>Running shoes, athletic shoes, sport specific shoes and training shoes</w:t>
            </w:r>
          </w:p>
        </w:tc>
      </w:tr>
      <w:tr>
        <w:trPr>
          <w:trHeight w:val="230"/>
        </w:trPr>
        <w:tc>
          <w:tcPr>
            <w:tcW w:w="1100" w:type="dxa"/>
            <w:vAlign w:val="bottom"/>
          </w:tcPr>
          <w:p>
            <w:pPr>
              <w:spacing w:after="0"/>
              <w:rPr>
                <w:sz w:val="20"/>
                <w:szCs w:val="20"/>
                <w:color w:val="auto"/>
              </w:rPr>
            </w:pPr>
          </w:p>
        </w:tc>
        <w:tc>
          <w:tcPr>
            <w:tcW w:w="2220" w:type="dxa"/>
            <w:vAlign w:val="bottom"/>
          </w:tcPr>
          <w:p>
            <w:pPr>
              <w:ind w:left="320"/>
              <w:spacing w:after="0"/>
              <w:rPr>
                <w:sz w:val="20"/>
                <w:szCs w:val="20"/>
                <w:color w:val="auto"/>
              </w:rPr>
            </w:pPr>
            <w:r>
              <w:rPr>
                <w:rFonts w:ascii="Arial" w:cs="Arial" w:eastAsia="Arial" w:hAnsi="Arial"/>
                <w:sz w:val="18"/>
                <w:szCs w:val="18"/>
                <w:color w:val="auto"/>
              </w:rPr>
              <w:t>footwear</w:t>
            </w:r>
          </w:p>
        </w:tc>
        <w:tc>
          <w:tcPr>
            <w:tcW w:w="7880" w:type="dxa"/>
            <w:vAlign w:val="bottom"/>
          </w:tcPr>
          <w:p>
            <w:pPr>
              <w:spacing w:after="0"/>
              <w:rPr>
                <w:sz w:val="20"/>
                <w:szCs w:val="20"/>
                <w:color w:val="auto"/>
              </w:rPr>
            </w:pPr>
          </w:p>
        </w:tc>
      </w:tr>
    </w:tbl>
    <w:p>
      <w:pPr>
        <w:spacing w:after="0" w:line="93" w:lineRule="exact"/>
        <w:rPr>
          <w:sz w:val="20"/>
          <w:szCs w:val="20"/>
          <w:color w:val="auto"/>
        </w:rPr>
      </w:pPr>
    </w:p>
    <w:p>
      <w:pPr>
        <w:jc w:val="both"/>
        <w:ind w:left="180" w:hanging="172"/>
        <w:spacing w:after="0" w:line="234" w:lineRule="auto"/>
        <w:tabs>
          <w:tab w:leader="none" w:pos="207" w:val="left"/>
        </w:tabs>
        <w:numPr>
          <w:ilvl w:val="0"/>
          <w:numId w:val="8"/>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reclassified amongst categories and divisions during 2020 as compared to prior years in order to better align with our current merchandising strategy and view of the business. Changes in management's merchandise strategy and viewpoints could result in future reclassifications.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ind w:left="340"/>
        <w:spacing w:after="0"/>
        <w:rPr>
          <w:sz w:val="20"/>
          <w:szCs w:val="20"/>
          <w:color w:val="auto"/>
        </w:rPr>
      </w:pPr>
      <w:r>
        <w:rPr>
          <w:rFonts w:ascii="Arial" w:cs="Arial" w:eastAsia="Arial" w:hAnsi="Arial"/>
          <w:sz w:val="17"/>
          <w:szCs w:val="17"/>
          <w:color w:val="auto"/>
        </w:rPr>
        <w:t>The following table sets forth the approximate amount of sales by merchandise divisions for the periods presented (amounts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5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1, 2020</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2019</w:t>
            </w:r>
          </w:p>
        </w:tc>
      </w:tr>
      <w:tr>
        <w:trPr>
          <w:trHeight w:val="210"/>
        </w:trPr>
        <w:tc>
          <w:tcPr>
            <w:tcW w:w="57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23"/>
                <w:szCs w:val="23"/>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5700" w:type="dxa"/>
            <w:vAlign w:val="bottom"/>
          </w:tcPr>
          <w:p>
            <w:pPr>
              <w:ind w:left="260"/>
              <w:spacing w:after="0"/>
              <w:rPr>
                <w:sz w:val="20"/>
                <w:szCs w:val="20"/>
                <w:color w:val="auto"/>
              </w:rPr>
            </w:pPr>
            <w:r>
              <w:rPr>
                <w:rFonts w:ascii="Arial" w:cs="Arial" w:eastAsia="Arial" w:hAnsi="Arial"/>
                <w:sz w:val="18"/>
                <w:szCs w:val="18"/>
                <w:color w:val="auto"/>
              </w:rPr>
              <w:t>Outdoors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1,968,514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1,455,080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1,473,403</w:t>
            </w:r>
          </w:p>
        </w:tc>
      </w:tr>
      <w:tr>
        <w:trPr>
          <w:trHeight w:val="230"/>
        </w:trPr>
        <w:tc>
          <w:tcPr>
            <w:tcW w:w="5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Sports and recreation</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1,258,913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1,017,670</w:t>
            </w:r>
          </w:p>
        </w:tc>
      </w:tr>
      <w:tr>
        <w:trPr>
          <w:trHeight w:val="229"/>
        </w:trPr>
        <w:tc>
          <w:tcPr>
            <w:tcW w:w="5700" w:type="dxa"/>
            <w:vAlign w:val="bottom"/>
          </w:tcPr>
          <w:p>
            <w:pPr>
              <w:ind w:left="240"/>
              <w:spacing w:after="0"/>
              <w:rPr>
                <w:sz w:val="20"/>
                <w:szCs w:val="20"/>
                <w:color w:val="auto"/>
              </w:rPr>
            </w:pPr>
            <w:r>
              <w:rPr>
                <w:rFonts w:ascii="Arial" w:cs="Arial" w:eastAsia="Arial" w:hAnsi="Arial"/>
                <w:sz w:val="18"/>
                <w:szCs w:val="18"/>
                <w:color w:val="auto"/>
              </w:rPr>
              <w:t>Apparel</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1,387,963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1,357,320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1,274,330</w:t>
            </w:r>
          </w:p>
        </w:tc>
      </w:tr>
      <w:tr>
        <w:trPr>
          <w:trHeight w:val="229"/>
        </w:trPr>
        <w:tc>
          <w:tcPr>
            <w:tcW w:w="5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Footwear</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1,044,502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997,692</w:t>
            </w:r>
          </w:p>
        </w:tc>
      </w:tr>
      <w:tr>
        <w:trPr>
          <w:trHeight w:val="223"/>
        </w:trPr>
        <w:tc>
          <w:tcPr>
            <w:tcW w:w="5700" w:type="dxa"/>
            <w:vAlign w:val="bottom"/>
          </w:tcPr>
          <w:p>
            <w:pPr>
              <w:ind w:left="50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5,659,892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4,809,714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4,763,095</w:t>
            </w:r>
          </w:p>
        </w:tc>
      </w:tr>
      <w:tr>
        <w:trPr>
          <w:trHeight w:val="229"/>
        </w:trPr>
        <w:tc>
          <w:tcPr>
            <w:tcW w:w="5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r>
      <w:tr>
        <w:trPr>
          <w:trHeight w:val="223"/>
        </w:trPr>
        <w:tc>
          <w:tcPr>
            <w:tcW w:w="5700" w:type="dxa"/>
            <w:vAlign w:val="bottom"/>
          </w:tcPr>
          <w:p>
            <w:pPr>
              <w:ind w:left="48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5,689,233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4,829,897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4,783,893</w:t>
            </w:r>
          </w:p>
        </w:tc>
      </w:tr>
      <w:tr>
        <w:trPr>
          <w:trHeight w:val="20"/>
        </w:trPr>
        <w:tc>
          <w:tcPr>
            <w:tcW w:w="5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180" w:hanging="172"/>
        <w:spacing w:after="0" w:line="238" w:lineRule="auto"/>
        <w:tabs>
          <w:tab w:leader="none" w:pos="25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for 2020, 2019 and 2018 for comparability purposes. This reclassification is in divisional presentation only and did not impact the overall net sales balances previously disclosed (see Note 2 to the consolidated financial statements).</w:t>
      </w:r>
    </w:p>
    <w:p>
      <w:pPr>
        <w:ind w:left="180" w:hanging="172"/>
        <w:spacing w:after="0" w:line="214"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E-commerce sales consist of 10.4%, 5.1% and 4.9% of merchandise sales for 2020, 2019 and 2018, respectively.</w:t>
      </w:r>
    </w:p>
    <w:p>
      <w:pPr>
        <w:spacing w:after="0" w:line="2" w:lineRule="exact"/>
        <w:rPr>
          <w:rFonts w:ascii="Arial" w:cs="Arial" w:eastAsia="Arial" w:hAnsi="Arial"/>
          <w:sz w:val="21"/>
          <w:szCs w:val="21"/>
          <w:color w:val="auto"/>
          <w:vertAlign w:val="superscript"/>
        </w:rPr>
      </w:pPr>
    </w:p>
    <w:p>
      <w:pPr>
        <w:ind w:left="180" w:hanging="172"/>
        <w:spacing w:after="0" w:line="219" w:lineRule="auto"/>
        <w:tabs>
          <w:tab w:leader="none" w:pos="207"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ind w:left="340"/>
        <w:spacing w:after="0"/>
        <w:rPr>
          <w:sz w:val="20"/>
          <w:szCs w:val="20"/>
          <w:color w:val="auto"/>
        </w:rPr>
      </w:pPr>
      <w:r>
        <w:rPr>
          <w:rFonts w:ascii="Arial" w:cs="Arial" w:eastAsia="Arial" w:hAnsi="Arial"/>
          <w:sz w:val="18"/>
          <w:szCs w:val="18"/>
          <w:color w:val="auto"/>
        </w:rPr>
        <w:t>As of January 30, 2021, the number of stores that we operated by state was as follows:</w:t>
      </w:r>
    </w:p>
    <w:p>
      <w:pPr>
        <w:spacing w:after="0" w:line="289"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4160" w:type="dxa"/>
            <w:vAlign w:val="bottom"/>
            <w:gridSpan w:val="2"/>
          </w:tcPr>
          <w:p>
            <w:pPr>
              <w:ind w:left="1840"/>
              <w:spacing w:after="0"/>
              <w:rPr>
                <w:sz w:val="20"/>
                <w:szCs w:val="20"/>
                <w:color w:val="auto"/>
              </w:rPr>
            </w:pPr>
            <w:r>
              <w:rPr>
                <w:rFonts w:ascii="Arial" w:cs="Arial" w:eastAsia="Arial" w:hAnsi="Arial"/>
                <w:sz w:val="18"/>
                <w:szCs w:val="18"/>
                <w:b w:val="1"/>
                <w:bCs w:val="1"/>
                <w:color w:val="auto"/>
              </w:rPr>
              <w:t>State</w:t>
            </w: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 of Stores</w:t>
            </w:r>
          </w:p>
        </w:tc>
      </w:tr>
      <w:tr>
        <w:trPr>
          <w:trHeight w:val="223"/>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Louisiana</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Alabama</w:t>
            </w: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Tennessee</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South Carolina</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Mississippi</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Kansas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Kentucky</w:t>
            </w: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Indiana</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Illinois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(we sponsored National Night Out in 2020, however, due to COVID-19 precautions, no events were held), sponsoring over 1,500 local sports teams, hosting donation events for first responders and sponsoring events for the NCAA Southeastern Conference.</w:t>
      </w:r>
    </w:p>
    <w:p>
      <w:pPr>
        <w:spacing w:after="0" w:line="21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utilize data obtained from our CRM tools, which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We also utilize customer demographic data that we capture to know when our customers buy from us and what items they purchase. With 40 million customers in our database, there is ample opportunity to increase our communication directly with our customers via one-on-one marketing.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jc w:val="both"/>
        <w:ind w:firstLine="324"/>
        <w:spacing w:after="0" w:line="277" w:lineRule="auto"/>
        <w:rPr>
          <w:sz w:val="20"/>
          <w:szCs w:val="20"/>
          <w:color w:val="auto"/>
        </w:rPr>
      </w:pPr>
      <w:r>
        <w:rPr>
          <w:rFonts w:ascii="Arial" w:cs="Arial" w:eastAsia="Arial" w:hAnsi="Arial"/>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mission is to provide “Fun for All” and a critical component to our success is our people. As of January 30, 2021, we employed over 22,000 team members. Of those team members, approximately 50% were full-time and 50% were part-time. Our employment levels fluctuate over the course of the year mainly due to the seasonality of our business. None of our team members are covered by collective bargaining agreements.</w:t>
      </w:r>
    </w:p>
    <w:p>
      <w:pPr>
        <w:spacing w:after="0" w:line="1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Core Values and Culture. </w:t>
      </w:r>
      <w:r>
        <w:rPr>
          <w:rFonts w:ascii="Arial" w:cs="Arial" w:eastAsia="Arial" w:hAnsi="Arial"/>
          <w:sz w:val="18"/>
          <w:szCs w:val="18"/>
          <w:color w:val="auto"/>
        </w:rPr>
        <w:t>Our core values establish a strong foundation for our culture and represent the key expectations we have of our team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These include the following:</w:t>
      </w:r>
    </w:p>
    <w:p>
      <w:pPr>
        <w:spacing w:after="0" w:line="76"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Customer focus and service</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Excellence in all we do</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Responsible leadership</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Initiative with urgency</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Students of the business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Integrity always</w:t>
      </w:r>
    </w:p>
    <w:p>
      <w:pPr>
        <w:spacing w:after="0" w:line="4" w:lineRule="exact"/>
        <w:rPr>
          <w:rFonts w:ascii="Arial" w:cs="Arial" w:eastAsia="Arial" w:hAnsi="Arial"/>
          <w:sz w:val="20"/>
          <w:szCs w:val="20"/>
          <w:color w:val="auto"/>
        </w:rPr>
      </w:pPr>
    </w:p>
    <w:p>
      <w:pPr>
        <w:ind w:left="640" w:hanging="308"/>
        <w:spacing w:after="0" w:line="235" w:lineRule="auto"/>
        <w:tabs>
          <w:tab w:leader="none" w:pos="640" w:val="left"/>
        </w:tabs>
        <w:numPr>
          <w:ilvl w:val="0"/>
          <w:numId w:val="10"/>
        </w:numPr>
        <w:rPr>
          <w:rFonts w:ascii="Arial" w:cs="Arial" w:eastAsia="Arial" w:hAnsi="Arial"/>
          <w:sz w:val="20"/>
          <w:szCs w:val="20"/>
          <w:color w:val="auto"/>
        </w:rPr>
      </w:pPr>
      <w:r>
        <w:rPr>
          <w:rFonts w:ascii="Arial" w:cs="Arial" w:eastAsia="Arial" w:hAnsi="Arial"/>
          <w:sz w:val="18"/>
          <w:szCs w:val="18"/>
          <w:color w:val="auto"/>
        </w:rPr>
        <w:t>Positive impact on our communities</w:t>
      </w:r>
    </w:p>
    <w:p>
      <w:pPr>
        <w:spacing w:after="0" w:line="200" w:lineRule="exact"/>
        <w:rPr>
          <w:sz w:val="20"/>
          <w:szCs w:val="20"/>
          <w:color w:val="auto"/>
        </w:rPr>
      </w:pP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Diversity, inclusion and belonging. </w:t>
      </w:r>
      <w:r>
        <w:rPr>
          <w:rFonts w:ascii="Arial" w:cs="Arial" w:eastAsia="Arial" w:hAnsi="Arial"/>
          <w:sz w:val="17"/>
          <w:szCs w:val="17"/>
          <w:color w:val="auto"/>
        </w:rPr>
        <w:t>At Academy, we believe the diversity of our team members, customers, and all others with whom we interact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enhance the quality of our work environment and our customers’ shopping experience. Academy encourages team members to work together and to value the strengths each team member brings to the team. Our strategy begins with attracting, recruiting, developing, and retaining team members with backgrounds that are representative of our diverse communities because it makes our communities stronger. We require all team members to complete unintentional bias training to help eliminate biases from hiring, promotions, job assignments, evaluations and customer service.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2020, we established our Diversity, Inclusion and Belonging Committee, and they led the organization in the creation of the following formal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Diversity, Inclusion and Belonging Statement to further demonstrate our commitment:</w:t>
      </w:r>
    </w:p>
    <w:p>
      <w:pPr>
        <w:spacing w:after="0" w:line="15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At Academy Sports + Outdoors, we promote a culture of diversity, inclusion and belonging, which should be reflected in the actions and behavior of our team members. Diversity is inviting all players to join the team. Inclusion and belonging is when everyone gets to play the game. Every player is key, and we are only successful when everyone has an equal opportunity to play and win.</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Talent Management. </w:t>
      </w:r>
      <w:r>
        <w:rPr>
          <w:rFonts w:ascii="Arial" w:cs="Arial" w:eastAsia="Arial" w:hAnsi="Arial"/>
          <w:sz w:val="17"/>
          <w:szCs w:val="17"/>
          <w:color w:val="auto"/>
        </w:rPr>
        <w:t>The best way to serve our customers is to invest in top talent, be open to innovation, and have the vision to succeed.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focused on creating a winning team by recruiting and retaining great people, promoting teamwork, and fostering an enjoyable and rewarding work environment. We also strive to provide all team members with opportunities for personal growth, cross functional training and job opportunities, and career advancement. We offer a mix of instructor-led, online and blended courses in key areas: Career Development and Leadership Development. Our wide variety of courses ranges from job specific (i.e., functional) to compliance, as well as broad based leadership training. We also engage in regular and ongoing feedback, annual performance reviews and annual talent calibration conversations. Succession planning is conducted on an annual basis to identify suitable internal candidates for key positions within the Company.</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Workplace, Health and Safety. </w:t>
      </w:r>
      <w:r>
        <w:rPr>
          <w:rFonts w:ascii="Arial" w:cs="Arial" w:eastAsia="Arial" w:hAnsi="Arial"/>
          <w:sz w:val="18"/>
          <w:szCs w:val="18"/>
          <w:color w:val="auto"/>
        </w:rPr>
        <w:t>The health and safety of our customers, team members, and communities is our top priority. Throughout our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centers, and corporate headquarters, we employ policies, procedures and training to ensure safe work environments.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team member handbook outlines baseline safety expectations, but we also empower our team members with knowledge and skills from various safety training courses during the onboarding process and on an ongoing basis through our learning engagement system with topics such as incident reporting, evacuation, active shooter response, hazardous materials, ergonomics, heat safety, electrical safety, industrial truck and pallet jack safety, confined space entry and parking lot and garage safety. We continue to focus on developing and driving our Safety-First culture through awareness, training, and actions to reduce the frequency and severity of safety incidents.</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stores have remained open during the COVID-19 pandemic as a result of our essential product offerings and enhanced safety measures. To provide for the safety of our customers, team members, and communities, we have taken many actions in our stores based on the needs, risks, and regulations present in each community and facility. Measures we have taken include cleaning stores professionally on a regular basis, equipping stores with hand sanitizer stations and signage illustrating how to socially distance within the store, wearing face coverings, limiting the number of customers admitted at one time, monitoring and sanitizing fitting rooms and sampled clothing, and installing protective shields at cash registers and other countertops. We have also provided free masks and hand sanitizer and may take team members’ temperatures when they report to work. We have taken similar actions to mitigate the spread of COVID-19 in our distribution centers and corporate office. We continue to monitor the rapidly evolving situation and expect to continue to adapt our operations to address federal, state, and local requirements as well as to implement standards or processes that we determine to be in the best interest of our customers, team members, and communities.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Governmental Regulations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9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laws related to advertising, marketing, pricing and selling our products, including but not limited to firearms, ammunition, and related accessories;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website design and content regulations;</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Foreign Corrupt Practices Act, or FCPA, the U.K. Bribery Act, or UKBA, and other anti-corruption laws;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3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sell firearms, ammunition, and related accessories. Firearms represented less than 8% of our net sales in 2020.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website address is www.academy.com. We use our website as a channel of distribution for company information. We will make available free of charge on the Investor Relations section of our website our Annual Report on Form 10-K, Quarterly Reports on Form 10-Q, Current Reports on Form 8-K and all amendments to those reports as soon as reasonably practicable after such material is electronically filed with or furnished to the SEC pursuant to Section 13(a) or 15(d) of the Exchange Act. We will also make available through our website other reports filed with or furnished to the SEC under the Exchange Act, including our proxy statements and reports filed by officers and directors under Section 16(a) of the Exchange Act, as well as our Ethics and Code of Conduct Policy. Financial and other material information regarding the Company is routinely posted on our website and is readily accessible. We do not intend for information contained on our website to be part of this Annual Report on Form 10-K.</w:t>
      </w: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i w:val="1"/>
          <w:iCs w:val="1"/>
          <w:color w:val="auto"/>
        </w:rPr>
        <w:t>Investing in our securities involves a high degree of risk. In addition to the other information contained in this report, you should consider the following risk factors before investing in our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general conditions that affect U.S. consumer discretionary spending in our markets include:</w:t>
      </w:r>
    </w:p>
    <w:p>
      <w:pPr>
        <w:spacing w:after="0" w:line="63" w:lineRule="exact"/>
        <w:rPr>
          <w:sz w:val="20"/>
          <w:szCs w:val="20"/>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health of the economy;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market volatility;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wages, jobs and unemployment trends;</w:t>
      </w:r>
    </w:p>
    <w:p>
      <w:pPr>
        <w:spacing w:after="0" w:line="49" w:lineRule="exact"/>
        <w:rPr>
          <w:rFonts w:ascii="Arial" w:cs="Arial" w:eastAsia="Arial" w:hAnsi="Arial"/>
          <w:sz w:val="18"/>
          <w:szCs w:val="18"/>
          <w:color w:val="auto"/>
        </w:rPr>
      </w:pPr>
    </w:p>
    <w:p>
      <w:pPr>
        <w:ind w:left="1300" w:hanging="320"/>
        <w:spacing w:after="0" w:line="232" w:lineRule="auto"/>
        <w:tabs>
          <w:tab w:leader="none" w:pos="1295" w:val="left"/>
        </w:tabs>
        <w:numPr>
          <w:ilvl w:val="0"/>
          <w:numId w:val="12"/>
        </w:numPr>
        <w:rPr>
          <w:rFonts w:ascii="Arial" w:cs="Arial" w:eastAsia="Arial" w:hAnsi="Arial"/>
          <w:sz w:val="22"/>
          <w:szCs w:val="22"/>
          <w:color w:val="auto"/>
        </w:rPr>
      </w:pPr>
      <w:r>
        <w:rPr>
          <w:rFonts w:ascii="Arial" w:cs="Arial" w:eastAsia="Arial" w:hAnsi="Arial"/>
          <w:sz w:val="18"/>
          <w:szCs w:val="18"/>
          <w:color w:val="auto"/>
        </w:rPr>
        <w:t>public health pandemics (including, the coronavirus disease ("COVID-19")) on our customers, team members, vendors/suppliers and other stakeholders;</w:t>
      </w:r>
    </w:p>
    <w:p>
      <w:pPr>
        <w:spacing w:after="0" w:line="41" w:lineRule="exact"/>
        <w:rPr>
          <w:rFonts w:ascii="Arial" w:cs="Arial" w:eastAsia="Arial" w:hAnsi="Arial"/>
          <w:sz w:val="22"/>
          <w:szCs w:val="22"/>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housing market, including real estate prices and mortgage rates;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credit availability;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gasoline and fuel prices;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rates and inflation;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rates and tax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immigration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and customs duties/tariffs and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 of natural or man-made disasters;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legislation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international unrest, trade disputes, labor shortages, and other disruptions to the supply chain;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to raw material and commodity prices;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national and international security and safety concerns.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Increasing volatility in financial markets may cause some of the aforementioned conditions to change with even greater degree of frequency and magnitude. In addition, COVID-19 has had, and may continue to have, far-reaching adverse impacts on aspects of our operations, directly and indirectly, including our team members, consumer behavior, inventory, distribution and logistics, our suppliers and the market overall. The ongoing pandemic could adversely affect the economies and financial markets of many countries, including the United States, resulting in an economic downturn that could affect demand for our 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jc w:val="both"/>
        <w:ind w:firstLine="324"/>
        <w:spacing w:after="0" w:line="286" w:lineRule="auto"/>
        <w:rPr>
          <w:sz w:val="20"/>
          <w:szCs w:val="20"/>
          <w:color w:val="auto"/>
        </w:rPr>
      </w:pPr>
      <w:r>
        <w:rPr>
          <w:rFonts w:ascii="Arial" w:cs="Arial" w:eastAsia="Arial" w:hAnsi="Arial"/>
          <w:sz w:val="16"/>
          <w:szCs w:val="16"/>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88"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1" w:lineRule="exact"/>
        <w:rPr>
          <w:sz w:val="20"/>
          <w:szCs w:val="20"/>
          <w:color w:val="auto"/>
        </w:rPr>
      </w:pPr>
    </w:p>
    <w:p>
      <w:pPr>
        <w:ind w:left="1300" w:hanging="320"/>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shifts in behavior away from team sports and outdoor activities in favor of media (including social media) and electronics-driven leisure activities;</w:t>
      </w:r>
    </w:p>
    <w:p>
      <w:pPr>
        <w:spacing w:after="0" w:line="8"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state, local and federal government budget cuts on facilities and activities, such as school athletic budgets, parks, ball fields, recreational sports leagues, hunting and fishing services, etc.;</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legal and regulatory changes in federal and state hunting and fishing seasons, bag limits and firearm and ammunition restrictions;</w:t>
      </w:r>
    </w:p>
    <w:p>
      <w:pPr>
        <w:spacing w:after="0" w:line="74" w:lineRule="exact"/>
        <w:rPr>
          <w:rFonts w:ascii="Arial" w:cs="Arial" w:eastAsia="Arial" w:hAnsi="Arial"/>
          <w:sz w:val="17"/>
          <w:szCs w:val="17"/>
          <w:color w:val="auto"/>
        </w:rPr>
      </w:pPr>
    </w:p>
    <w:p>
      <w:pPr>
        <w:ind w:left="1300" w:right="20" w:hanging="320"/>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8"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escalating costs of sporting and outdoor activities due to adverse changes in economic conditions, including rising fuel prices, rising participation fees and rising sporting license fees; and</w:t>
      </w:r>
    </w:p>
    <w:p>
      <w:pPr>
        <w:spacing w:after="0" w:line="8"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ind w:firstLine="324"/>
        <w:spacing w:after="0" w:line="257" w:lineRule="auto"/>
        <w:rPr>
          <w:sz w:val="20"/>
          <w:szCs w:val="20"/>
          <w:color w:val="auto"/>
        </w:rPr>
      </w:pPr>
      <w:r>
        <w:rPr>
          <w:rFonts w:ascii="Arial" w:cs="Arial" w:eastAsia="Arial" w:hAnsi="Arial"/>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their brand name merchandise, we may not be able to meet the demand of our customers for their brand names.</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COVID-19 may adversely affect our business and financial results.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customers, team members, facilities, partners, suppliers or distributors, decreases demand for our products, creates delays and inefficiencies in our supply chain, causes shortages of popular merchandise we sell,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continued duration and severity of the pandemic, as well as the rollout and effectiveness of the COVID-19 vaccines, which are uncertain and cannot be predicted.</w:t>
      </w:r>
    </w:p>
    <w:p>
      <w:pPr>
        <w:spacing w:after="0" w:line="19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 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have adversely impacted our business and results. For example, during the first quarter 2020, we closed our corporate headquarters, temporarily furloughed a significant portion of our corporate team members, and most of our active corporate team members worked from home due to local shutdown orders. We began partially reopening our corporate headquarters during May 2020 to a limited number of team members and the remainder of our corporate team members returned to our corporate headquarters on June 8, 2020, in accordance with local guidelines. Any need to take these actions again in the future may negatively impact productivity and cause other disruptions to our business.</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information technology systems and cybersecurity could also be adversely affected due to any significant increase in remote working of our corporate team members due to any quarantines or future closing of our corporate headquarters and in online orders due to a significant increase in online transactions. The operations of our stores, distribution centers, and corporate headquarters could be further restricted, if we deem it necessary or if recommended or mandated by authorities and these measures could have an adverse impact on our sales and profits.</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ind w:firstLine="324"/>
        <w:spacing w:after="0" w:line="269" w:lineRule="auto"/>
        <w:rPr>
          <w:sz w:val="20"/>
          <w:szCs w:val="20"/>
          <w:color w:val="auto"/>
        </w:rPr>
      </w:pPr>
      <w:r>
        <w:rPr>
          <w:rFonts w:ascii="Arial" w:cs="Arial" w:eastAsia="Arial" w:hAnsi="Arial"/>
          <w:sz w:val="17"/>
          <w:szCs w:val="17"/>
          <w:color w:val="auto"/>
        </w:rPr>
        <w:t>As a result of the COVID-19 pandemic, we may have fewer resources to operate our business and we could also see deterioration in macroeconomic factors that typically affect us. In addition, consumer or team member fears about becoming ill with the disease may continue, which will adversely affect traffic to our stores or supply of labor.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COVID-19 pandemic also has the potential to significantly impact our supply chain if the vendors or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 and in some cases due to extreme demand for certain popular or necessary goods or raw materials.</w:t>
      </w:r>
    </w:p>
    <w:p>
      <w:pPr>
        <w:spacing w:after="0" w:line="2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significant amount of our merchandise is produced in China, and the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 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20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are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i w:val="1"/>
          <w:iCs w:val="1"/>
          <w:color w:val="auto"/>
        </w:rPr>
        <w:t>Intense competition in the sporting goods and outdoor recreation retail industries could limit our growth and reduce our profitability.</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22"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specialty footwear retailers;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catalogue and internet retailers.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(including ransomware attacks),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 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personnel from performing their primary operational duties, any of which could adversely affect our reputation, business, results of operations and financial condition.</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7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6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General trade tensions between the United States and China began escalating in 2018, with multiple rounds of U.S. tariffs on Chinese goods taking effect. The Trump administration, over the past few years,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from China. These tariffs have had an adverse effect on our business, financial condition and results of operations. In response, we have sought alternative suppliers or vendors, raised prices, and made changes to our operations. The continuation of this situation could have further adverse effects on our sales and profitability, results of operations and financial condition. As of our report date, no significant modifications have been enacted relative to the escalated tariffs which impact our business.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8"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website design and content regulations;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sell firearms, ammunition, and related accessories. Firearms represented less than 8% of our net sales in 2020.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Another significant risk relating to our operations is compliance with the FCPA, the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7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spacing w:after="0" w:line="342" w:lineRule="auto"/>
        <w:rPr>
          <w:sz w:val="20"/>
          <w:szCs w:val="20"/>
          <w:color w:val="auto"/>
        </w:rPr>
      </w:pPr>
      <w:r>
        <w:rPr>
          <w:rFonts w:ascii="Arial" w:cs="Arial" w:eastAsia="Arial" w:hAnsi="Arial"/>
          <w:sz w:val="16"/>
          <w:szCs w:val="16"/>
          <w:color w:val="auto"/>
        </w:rPr>
        <w:t>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62" w:lineRule="exact"/>
        <w:rPr>
          <w:sz w:val="20"/>
          <w:szCs w:val="20"/>
          <w:color w:val="auto"/>
        </w:rPr>
      </w:pPr>
    </w:p>
    <w:p>
      <w:pPr>
        <w:ind w:firstLine="324"/>
        <w:spacing w:after="0" w:line="298" w:lineRule="auto"/>
        <w:rPr>
          <w:sz w:val="20"/>
          <w:szCs w:val="20"/>
          <w:color w:val="auto"/>
        </w:rPr>
      </w:pPr>
      <w:r>
        <w:rPr>
          <w:rFonts w:ascii="Arial" w:cs="Arial" w:eastAsia="Arial" w:hAnsi="Arial"/>
          <w:sz w:val="17"/>
          <w:szCs w:val="17"/>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1" w:lineRule="exact"/>
        <w:rPr>
          <w:sz w:val="20"/>
          <w:szCs w:val="20"/>
          <w:color w:val="auto"/>
        </w:rPr>
      </w:pPr>
    </w:p>
    <w:p>
      <w:pPr>
        <w:jc w:val="both"/>
        <w:ind w:left="1300" w:hanging="320"/>
        <w:spacing w:after="0" w:line="259"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24"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design, purchase, manufacture, import, distribution and sale of our owned brand products;</w:t>
      </w:r>
    </w:p>
    <w:p>
      <w:pPr>
        <w:spacing w:after="0" w:line="63"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21"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municipalities or other organizations attempting to recover costs from firearm manufacturers and retailers, relating to the use of firearms and ammunition;</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operations of a fleet of trucks for distribution purposes, including transportation of hazardous materials by such fleet;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procurement and ownership, leasing or operation of property for retail stores, distribution centers and other corporate needs;</w:t>
      </w:r>
    </w:p>
    <w:p>
      <w:pPr>
        <w:spacing w:after="0" w:line="74" w:lineRule="exact"/>
        <w:rPr>
          <w:rFonts w:ascii="Arial" w:cs="Arial" w:eastAsia="Arial" w:hAnsi="Arial"/>
          <w:sz w:val="17"/>
          <w:szCs w:val="17"/>
          <w:color w:val="auto"/>
        </w:rPr>
      </w:pPr>
    </w:p>
    <w:p>
      <w:pPr>
        <w:ind w:left="1300" w:hanging="320"/>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alleged infringement upon intellectual property rights to merchandise we sell or technology or services we use, including information technology, marketing and advertising services;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global sourcing, including international, customs and trade issues;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real estate issues, including construction, leasing, zoning and environmental issues;</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commercial disputes, including contractual and business disputes with vendors, landlords, or competitors;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tort, personal injury and property damage claims related to our stores, e-commerce, distribution centers or corporate headquarters; and</w:t>
      </w:r>
    </w:p>
    <w:p>
      <w:pPr>
        <w:spacing w:after="0" w:line="86" w:lineRule="exact"/>
        <w:rPr>
          <w:rFonts w:ascii="Arial" w:cs="Arial" w:eastAsia="Arial" w:hAnsi="Arial"/>
          <w:sz w:val="16"/>
          <w:szCs w:val="16"/>
          <w:color w:val="auto"/>
        </w:rPr>
      </w:pPr>
    </w:p>
    <w:p>
      <w:pPr>
        <w:jc w:val="both"/>
        <w:ind w:left="1300" w:hanging="320"/>
        <w:spacing w:after="0" w:line="311" w:lineRule="auto"/>
        <w:tabs>
          <w:tab w:leader="none" w:pos="12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are, and may in the future also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operations and financial condition. Even if a claim is unsuccessful or is not fully pursued, the negative publicity surrounding any such assertions could adversely affect our reputation.</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insurance coverage with third-party insurers. However, not every risk or liability is or can be protected by insurance, and, for those risks we insure, the limits of coverage we purchase or that are reasonably obtainable in the market may not be sufficient to cover all actual losses or liabilities incurred. Liability insurance coverage is expensive and there is a risk that commercially available liability insurance will not continue to be available to us at a reasonable cost, if at all. If we or other industry participants sustain significant losses or make significant insurance claims, our ability to obtain future insurance coverage at commercially reasonable rates could be materially adversely affected. An inability to obtain liability insurance, significant increases in the cost of insurance we obtain, or losses in excess of our liability insurance coverage could have a material adverse effect on us.</w:t>
      </w:r>
    </w:p>
    <w:p>
      <w:pPr>
        <w:spacing w:after="0" w:line="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insurance we carry, including the aforementioned insurance coverage, reflects deductibles, self-insured retentions, limits of liability and similar provisions that we believe are prudent based on our operations. 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7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carry or maintain such insurance coverage or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all claims and lawsuits, however, there is a risk that liabilities, fines and losses may not be covered by insurance or indemnity or may exceed insurance or indemnity coverage.</w:t>
      </w:r>
    </w:p>
    <w:p>
      <w:pPr>
        <w:spacing w:after="0" w:line="19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ind w:right="20" w:firstLine="324"/>
        <w:spacing w:after="0" w:line="277" w:lineRule="auto"/>
        <w:rPr>
          <w:sz w:val="20"/>
          <w:szCs w:val="20"/>
          <w:color w:val="auto"/>
        </w:rPr>
      </w:pPr>
      <w:r>
        <w:rPr>
          <w:rFonts w:ascii="Arial" w:cs="Arial" w:eastAsia="Arial" w:hAnsi="Arial"/>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Updating our existing information technology systems subjects us to numerous risks, including:</w:t>
      </w:r>
    </w:p>
    <w:p>
      <w:pPr>
        <w:spacing w:after="0" w:line="63"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information;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disruption of normal operations;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accounting or other operating procedures;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or general computer controls;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maintaining accuracy of historical data;</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allocation and dedication of key business resources to the updating of existing systems;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ability to attract and retain adequate experienced technical resources and third-party contractors for the updating of existing systems;</w:t>
      </w:r>
    </w:p>
    <w:p>
      <w:pPr>
        <w:spacing w:after="0" w:line="86" w:lineRule="exact"/>
        <w:rPr>
          <w:rFonts w:ascii="Arial" w:cs="Arial" w:eastAsia="Arial" w:hAnsi="Arial"/>
          <w:sz w:val="16"/>
          <w:szCs w:val="16"/>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unknown impact on remaining systems;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adequacy of training and change management to address critical changes in business processes and job functions;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updated information technology system ultimately does not meet the needs of the business.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From time to time, we may undertake initiatives involving numerous information technology systems, including our merchandise management, warehouse management, point of sale, e-commerce, data security, credit card fraud detection, financial reporting, and labor management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approximately 1,200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depend on approximately 1,200 suppliers to supply us in a timely and efficient manner with the merchandise we sell. Our significant dependence on these suppliers exposes us to various risks that could have a material adverse effect on our business and results of operations. In 2020, purchases from our largest vendor represented approximately 12%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or other governments in response to the recent COVID-19 coronavirus outbreak), we may experience merchandise out-of-stocks, delivery delays or increased delivery costs, or otherwise be unable to obtain the same merchandise from other suppliers in a timely and efficient manner and on acceptable terms, or at all, which could materially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i w:val="1"/>
          <w:iCs w:val="1"/>
          <w:color w:val="auto"/>
        </w:rPr>
        <w:t>Harm to our reputation could adversely impact our ability to attract and retain customers, team members, vendors and/or other partners.</w:t>
      </w:r>
    </w:p>
    <w:p>
      <w:pPr>
        <w:spacing w:after="0" w:line="1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or enforce our own policies, our policies related to the sale of firearms, ammunition and accessories, our policies relating to the COVID-19 pandemic,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part of our long-term strategy, we look for opportunities to cost-effectively enhance the capabilities of our business services. In some cases, 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While we believe we conduct appropriate due diligence before entering into agreements with these third-parties, if we fail to properly manage these vendors or if they fail to meet, or are prevented from meeting, our performance standards and expectations, then our reputation, sales, and results of operations could be adversely affected. Any significant interruption in the operations of these service providers, over which we have no control, could also have an adverse effect on our business. In addition, we could face increased costs associated with finding replacement service vendors or hiring new team members to provide these business services and solutions in-house.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firstLine="324"/>
        <w:spacing w:after="0" w:line="275" w:lineRule="auto"/>
        <w:rPr>
          <w:sz w:val="20"/>
          <w:szCs w:val="20"/>
          <w:color w:val="auto"/>
        </w:rPr>
      </w:pPr>
      <w:r>
        <w:rPr>
          <w:rFonts w:ascii="Arial" w:cs="Arial" w:eastAsia="Arial" w:hAnsi="Arial"/>
          <w:sz w:val="17"/>
          <w:szCs w:val="17"/>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6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 in large part, upon our ability to open new stores in a timely manner and to operate them profitably. In 2020, we stopped our store openings and have maintained a cautionary approach toward store expansion in the current retail environment, and we may not open another new store until 2022.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e-commerce activities expose us to various risks that could have a material adverse impact on our overall results of operations.</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15" w:lineRule="exact"/>
        <w:rPr>
          <w:sz w:val="20"/>
          <w:szCs w:val="20"/>
          <w:color w:val="auto"/>
        </w:rPr>
      </w:pPr>
    </w:p>
    <w:p>
      <w:pPr>
        <w:ind w:left="1300" w:hanging="32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expansion of our sales across the United States, thereby, subjecting us to the regulatory and other requirements of the 50 states;</w:t>
      </w:r>
    </w:p>
    <w:p>
      <w:pPr>
        <w:spacing w:after="0" w:line="74" w:lineRule="exact"/>
        <w:rPr>
          <w:rFonts w:ascii="Arial" w:cs="Arial" w:eastAsia="Arial" w:hAnsi="Arial"/>
          <w:sz w:val="17"/>
          <w:szCs w:val="17"/>
          <w:color w:val="auto"/>
        </w:rPr>
      </w:pPr>
    </w:p>
    <w:p>
      <w:pPr>
        <w:ind w:left="1300" w:hanging="320"/>
        <w:spacing w:after="0" w:line="277" w:lineRule="auto"/>
        <w:tabs>
          <w:tab w:leader="none" w:pos="129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keep pace with rapid technological change and maintain investments necessary for our e-commerce operation;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compliance issues related to the online sale of merchandise;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intellectual property litigation related to the enforcement of patent rights;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privacy and personal data security;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 against credit card and gift card fraud;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fulfillment, inventory control and shipping issues for e-commerce transactions;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issues, including state sales tax collection for e-commerce transactions;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hiring, retention and training of personnel qualified to conduct our e-commerce operation;</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1300" w:hanging="32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ability to procure adequate computer hardware and software and technology services and solutions from third-party providers; and</w:t>
      </w:r>
    </w:p>
    <w:p>
      <w:pPr>
        <w:spacing w:after="0" w:line="74" w:lineRule="exact"/>
        <w:rPr>
          <w:rFonts w:ascii="Arial" w:cs="Arial" w:eastAsia="Arial" w:hAnsi="Arial"/>
          <w:sz w:val="17"/>
          <w:szCs w:val="17"/>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reduction in visits to, diversion and/or cannibalization of sales from, existing retail stores.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 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national brand merchandise, we offer customers owned brand merchandise that is primarily sold exclusively by Academy. The sale of owned brand merchandise subjects us to certain risks, including:</w:t>
      </w:r>
    </w:p>
    <w:p>
      <w:pPr>
        <w:spacing w:after="0" w:line="8" w:lineRule="exact"/>
        <w:rPr>
          <w:sz w:val="20"/>
          <w:szCs w:val="20"/>
          <w:color w:val="auto"/>
        </w:rPr>
      </w:pPr>
    </w:p>
    <w:p>
      <w:pPr>
        <w:ind w:left="1300" w:right="2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and profitably conduct sourcing and manufacturing activities internally or with third-party agents, manufacturers and distributors;</w:t>
      </w:r>
    </w:p>
    <w:p>
      <w:pPr>
        <w:spacing w:after="0" w:line="8"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mandatory or voluntary product recalls;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and lawsuits resulting from injuries associated with the use of our owned brand merchandise;</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protect our intellectual property or other proprietary rights (e.g., defending against counterfeit, knock-offs, grey-market, infringing or otherwise unauthorized goods);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successfully navigate and avoid claims related to the intellectual property or other proprietary rights of third parties;</w:t>
      </w:r>
    </w:p>
    <w:p>
      <w:pPr>
        <w:spacing w:after="0" w:line="74" w:lineRule="exact"/>
        <w:rPr>
          <w:rFonts w:ascii="Arial" w:cs="Arial" w:eastAsia="Arial" w:hAnsi="Arial"/>
          <w:sz w:val="17"/>
          <w:szCs w:val="17"/>
          <w:color w:val="auto"/>
        </w:rPr>
      </w:pPr>
    </w:p>
    <w:p>
      <w:pPr>
        <w:ind w:left="1300" w:hanging="320"/>
        <w:spacing w:after="0" w:line="316" w:lineRule="auto"/>
        <w:tabs>
          <w:tab w:leader="none" w:pos="1295"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1" w:lineRule="exact"/>
        <w:rPr>
          <w:rFonts w:ascii="Arial" w:cs="Arial" w:eastAsia="Arial" w:hAnsi="Arial"/>
          <w:sz w:val="16"/>
          <w:szCs w:val="16"/>
          <w:color w:val="auto"/>
        </w:rPr>
      </w:pPr>
    </w:p>
    <w:p>
      <w:pPr>
        <w:jc w:val="both"/>
        <w:ind w:left="1300" w:hanging="320"/>
        <w:spacing w:after="0" w:line="263"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21"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failure to adequately address some or all of these risks could have a material adverse effect on our business, results of operations and financial condition.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operate three distribution centers located in Katy, Texas, Twiggs County, Georgia, and Cookeville, Tennessee, to manage the receipt, storage, sorting, packing and distribution of our merchandise to the appropriate stores or to the customer directly. We depend in large part on the orderly operation of our receiving and distribution process, which depends, in turn, on adherence to shipping schedules, proper functioning of our information technology and inventory control systems and overall effective management of our distribution centers. As a result of damage to, or prolonged interruption of, operations or inventory at any of these facilities, or with respect to third-party transportation providers, due to a work stoppage, labor shortage, operations significantly below historical efficiency levels, supply chain disruption, inclement weather, natural or man-made disasters, system failures, slowdowns or strikes, acts of terror or other unforeseen events in the areas or regions of these facilities could impair our ability to adequately stock our stores, process returns of products to vendors and ship product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4" w:name="page35"/>
    <w:bookmarkEnd w:id="34"/>
    <w:p>
      <w:pPr>
        <w:jc w:val="both"/>
        <w:ind w:firstLine="324"/>
        <w:spacing w:after="0" w:line="308" w:lineRule="auto"/>
        <w:rPr>
          <w:sz w:val="20"/>
          <w:szCs w:val="20"/>
          <w:color w:val="auto"/>
        </w:rPr>
      </w:pPr>
      <w:r>
        <w:rPr>
          <w:rFonts w:ascii="Arial" w:cs="Arial" w:eastAsia="Arial" w:hAnsi="Arial"/>
          <w:sz w:val="17"/>
          <w:szCs w:val="17"/>
          <w:color w:val="auto"/>
        </w:rPr>
        <w:t>Although we maintain business interruption and property insurance for these facilities, there can be no assurance that our insurance coverage will be sufficient, or that insurance proceeds will be timely paid to us, if our distribution centers are shut down or interrupted for any unplanned reason.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and comparable sales may fluctuate due to seasonality and other factors outside of our control.</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quarterly results of operations and comparable sales have historically fluctuated, and may continue to fluctuate, as a result of factors outside our control, including:</w:t>
      </w:r>
    </w:p>
    <w:p>
      <w:pPr>
        <w:spacing w:after="0" w:line="8"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unseasonal or extreme weather conditions, natural or man-made disasters (such as snow storms, hurricanes, tornadoes, floods, pandemics, and civil disturbances);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catastrophic or tragic events (such as tragedies involving firearms or public health pandemics) in or affecting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demand for the products that we offer in our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new product introduction;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lockouts or strikes involving professional sports teams;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retirement of sports superstars used in marketing various products;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sports scandals, including those involving leagues, associations, teams or athletes with ties to us or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the closure of existing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or failure of college and professional sports teams in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existing or entry of new competitors into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consolidation of competitors in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shift in consumer tastes and fashion trends;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calendar shifts or holiday or seasonal periods;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income tax refunds to customers;</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and regulations, politics or consumer advocacy affecting our business, including sentiment relating to the sale of firearms and ammunition;</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cancellations of tax-free holidays in certain states;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promotions or other actions taken by us or our existing or possible new competitors;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other tenants or landlords or surrounding geographic circumstances in the shopping centers in which we are located.</w:t>
      </w:r>
    </w:p>
    <w:p>
      <w:pPr>
        <w:spacing w:after="0" w:line="1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jc w:val="both"/>
        <w:spacing w:after="0" w:line="311" w:lineRule="auto"/>
        <w:rPr>
          <w:sz w:val="20"/>
          <w:szCs w:val="20"/>
          <w:color w:val="auto"/>
        </w:rPr>
      </w:pPr>
      <w:r>
        <w:rPr>
          <w:rFonts w:ascii="Arial" w:cs="Arial" w:eastAsia="Arial" w:hAnsi="Arial"/>
          <w:sz w:val="16"/>
          <w:szCs w:val="16"/>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such as the civil unrest that occurred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that 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essential to our success and our competitive position due to their name recognition with customers.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dependent on our ability to meet our labor needs.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The success of our business depends significantly on our ability to hire and retain quality team members, including store managers,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Recent or potential future legislative initiatives may seek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level of customer service, skilled distribution center team members or other qualified personnel, our business could be materially adversely affected.</w:t>
      </w:r>
    </w:p>
    <w:p>
      <w:pPr>
        <w:spacing w:after="0" w:line="1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stores are located primarily in the southern United States which could subject us to regional risks.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 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5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in order to support our existing business and future initiatives and may not be able to retain or replace these team members recruit additional qualified personnel or effectively manage succession.</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future success may be adversely impacted if we are not able to attract, retain and develop talent and future leaders, including our senior executives and team members. Our senior executive team closely supervises all major aspects of our business, including the design and development of our strategy, and procurement of merchandise; operation of our information technology platforms, supply chain, and store network; development and retention of critical talent; and financial planning, reporting and compliance. Our senior executive team has substantial experience and expertise in our retail business, and serves an integral role in the growth and support of our various initiatives. If we were to lose the leadership of senior executives or other key team members, our business could be adversely affected. In addition, if significant unexpected turnover occurs at the team member level, the loss of the services of these individuals, or any resulting negative perceptions of our business, could damage our reputation and our business. Competition for such qualified talent is intense, and we cannot be sure we will be able to find suitable successors promptly, or at all, or to successfully integrate any successors, or that we will be able to attract, retain, and develop a sufficient number of qualified individuals in future periods.</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pursue strategic acquisitions, which could have an adverse impact on our business, as could assimilation of companies following acquisition.</w:t>
      </w:r>
    </w:p>
    <w:p>
      <w:pPr>
        <w:spacing w:after="0" w:line="1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and advertising programs.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30, 2021, we had approximately $400.0 million outstanding under the Term Loan and $400.0 million outstanding under the Notes, all of which is secured. As of January 30, 2021, we had no borrowings outstanding under the ABL Facility, an available borrowing capacity under the ABL Facility of approximately $718.8 million (which is subject to customary borrowing conditions, including a borrowing base), and outstanding letters of credit of $25.4 million, $20.1 million of which were issued under the ABL Facility.</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38" w:name="page39"/>
    <w:bookmarkEnd w:id="38"/>
    <w:p>
      <w:pPr>
        <w:jc w:val="both"/>
        <w:ind w:firstLine="324"/>
        <w:spacing w:after="0" w:line="257" w:lineRule="auto"/>
        <w:rPr>
          <w:sz w:val="20"/>
          <w:szCs w:val="20"/>
          <w:color w:val="auto"/>
        </w:rPr>
      </w:pPr>
      <w:r>
        <w:rPr>
          <w:rFonts w:ascii="Arial" w:cs="Arial" w:eastAsia="Arial" w:hAnsi="Arial"/>
          <w:sz w:val="18"/>
          <w:szCs w:val="18"/>
          <w:color w:val="auto"/>
        </w:rPr>
        <w:t>Our overall level of indebtedness requires that we dedicate a substantial portion of our cash flows to debt service payments. The Term Loan requires quarterly principal and cash interest payments through September 30, 2027. The ABL Facility matures on November 6, 2025, subject to a springing maturity clause which is triggered 91 days before the November 6, 2027 maturity of the Term Loan should it not be paid off or extended at least 91 days beyond the November 6, 2025 maturity date of the ABL Facility. The Notes require semi-annual payments of interest (in arrears) and matures on November 15, 2027.</w:t>
      </w:r>
    </w:p>
    <w:p>
      <w:pPr>
        <w:spacing w:after="0" w:line="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substantial indebtedness reduces the funds that would otherwise be available for operations, future business opportunities and payments of our debt obligations and limits our ability to:</w:t>
      </w:r>
    </w:p>
    <w:p>
      <w:pPr>
        <w:spacing w:after="0" w:line="62" w:lineRule="exact"/>
        <w:rPr>
          <w:sz w:val="20"/>
          <w:szCs w:val="20"/>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additional financing, if necessary, for working capital and operations, or such financing may not be available on favorable terms;</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react to changes or withstand a future downturn in our business, the industry or the economy in general;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meet store growth, distribution center expansion, e-commerce growth, budget targets and forecasts of future results;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react to competitive pressures or compete with competitors with less debt.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5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Despite our high level of indebtedness, we may be able to incur significant additional indebtedness in the future, including off-balance sheet financings, trade credit, contractual obligations and general and commercial liabilities. Although the credit agreements governing the Term Loan and the ABL Facility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January 30, 2021, we had no borrowings outstanding under the ABL Facility, and an available borrowing capacity under the ABL Facility of approximately $718.8 million (which is subject to customary borrowing conditions, including a borrowing base). We may be able to increase the commitments under the ABL Facility by $250.0 million, subject to certain conditions. We may also be able to increase the capacity under the Term Loan by up to the greater of (x) $480.0 million and (y) 100% of the Consolidated EBITDA (as defined in the Term Loan),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00" w:lineRule="exact"/>
        <w:rPr>
          <w:sz w:val="20"/>
          <w:szCs w:val="20"/>
          <w:color w:val="auto"/>
        </w:rPr>
      </w:pPr>
    </w:p>
    <w:p>
      <w:pPr>
        <w:spacing w:after="0" w:line="3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and the ABL Facility and the indenture governing the Notes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agreements governing the Term Loan and the ABL Facility and the indenture governing the Notes contain restrictive covenants that impose significant operating and financial restrictions on us and may limit our ability to engage in acts that may be in our best interest, including restrictions on our ability to:</w:t>
      </w:r>
    </w:p>
    <w:p>
      <w:pPr>
        <w:spacing w:after="0" w:line="76" w:lineRule="exact"/>
        <w:rPr>
          <w:sz w:val="20"/>
          <w:szCs w:val="20"/>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loans, investments and other restricted payments;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at certain times, the ABL Facility requires maintenance of a certain minimum adjusted fixed charge coverage ratio. Our ability to comply with the covenants and restrictions contained in our credit agreements and indenture may be affected by events beyond our control. If market or other economic conditions deteriorate, our ability to comply with these covenants and restrictions may be impaired.</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 to obtain, sufficient funds to repay such indebtedness in full. In addition, an event of default under the credit agreement governing our ABL Facility would permit the lenders under our ABL Facility to terminate all commitments to extend further credit under that facility. Furthermore, if we were unable to repay the amounts due and payable under secured indebtedness, the lenders/holders of such indebtedness could proceed against the collateral granted to them to secure that indebtedness, and we could be forced into bankruptcy or liquidation.</w:t>
      </w: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Borrowings under the Term Loan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the rules of the SEC and, as a result, qualify for, and rely on, exemptions from certain corporate governance requirements. You do not have the same protections afforded to stockholders of other companies that are subject to such requirements.</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Investment entities owned by investment funds and other entities affiliated with Kohlberg Kravis Roberts &amp; Co. L.P. (“KKR”), or the KKR Stockholders, collectively beneficially own approximately 54.5% of the voting power of common stock (see Note 1 to the financial statements included within this Annual Report). As a result, we are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80"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director nominees be selected, or recommended for our board of directors’ selection by a nominating/governance committee comprised solely of independent directors; and</w:t>
      </w:r>
    </w:p>
    <w:p>
      <w:pPr>
        <w:spacing w:after="0" w:line="62"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compensation of our executive officers be determined, or recommended to our board of directors for determination, by a compensation committee comprised solely of independent directors.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we utilize these exemptions, we do not have a majority of independent directors, our compensation committee and nominating and governance committee do not consist entirely of independent directors. Accordingly, you do not have the same protections afforded to stockholders of companies that are subject to all of the corporate governance requirements of Nasdaq.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KKR Stockholders control us and their interests may conflict with yours in the future.</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KKR Stockholders collectively own approximately 54.5% of the voting power of our common stock (see Note 1 to the financial statements included within this Annual Report). KKR Stockholders are able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are able to strongly influence or effectively control our decisions and, so long as KKR Stockholders and their affiliates collectively own at least 5% of all outstanding shares of our stock entitled to vote generally in the election of directors, KKR Stockholders are able to appoint individuals to our board of directors under our stockholders agreement. See “Certain Relationships and Related Party Transactions—Stockholders Agreement.” The interests of KKR Stockholders may not coincide with the interests of other holders of our common stock.</w:t>
      </w:r>
    </w:p>
    <w:p>
      <w:pPr>
        <w:spacing w:after="0" w:line="6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ordinary course of their business activities, KKR Stockholders and their affiliates may engage in activities where their interests conflict with our interests or those of our stockholders. Our amended and restated certificate of incorporation provides that any of KKR Stockholders, any of their affiliates or any director who is not employed by us (including any non-employee director who serves as one of our officers in both his or her director and officer capacities) or his or her affiliates do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KKR Stockholders and their affiliates are able to determine the outcome of all matters requiring stockholder approval and are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incur additional costs and associated with the requirements of being a public company, and our management is required to devote substantial time to compliance, adding complexity to running our business.</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 public company, we incur significant legal, regulatory, finance, accounting, investor relations, insurance, and other expenses that we did not incur as a private company, including costs associated with public company governance and reporting requirements and costs of recruiting and retaining non-executive directors. We also incur costs associated with the Sarbanes-Oxley Act, and the Dodd-Frank Wall Street Reform and Consumer Protection Act, or the Dodd-Frank Act, and related rules implemented by the SEC, and costs in connection with continued listing on Nasdaq. The expenses incurred by public companies generally for reporting and corporate governance purposes have been increasing. Our efforts to comply with these rules and regulations increase our legal and financial compliance costs and to make some activities more time-consuming and/or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95"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w:t>
      </w:r>
    </w:p>
    <w:p>
      <w:pPr>
        <w:spacing w:after="0" w:line="3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ended January 29, 2022.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6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8" w:lineRule="exact"/>
        <w:rPr>
          <w:sz w:val="20"/>
          <w:szCs w:val="20"/>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63"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74" w:lineRule="exact"/>
        <w:rPr>
          <w:rFonts w:ascii="Arial" w:cs="Arial" w:eastAsia="Arial" w:hAnsi="Arial"/>
          <w:sz w:val="17"/>
          <w:szCs w:val="17"/>
          <w:color w:val="auto"/>
        </w:rPr>
      </w:pPr>
    </w:p>
    <w:p>
      <w:pPr>
        <w:ind w:left="114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63"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6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00" w:lineRule="exact"/>
        <w:rPr>
          <w:sz w:val="20"/>
          <w:szCs w:val="20"/>
          <w:color w:val="auto"/>
        </w:rPr>
      </w:pP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i w:val="1"/>
          <w:iCs w:val="1"/>
          <w:color w:val="auto"/>
        </w:rPr>
        <w:t>You may be diluted by the future issuance of additional common stock in connection with our incentive plans, acquisitions or otherwise.</w:t>
      </w:r>
    </w:p>
    <w:p>
      <w:pPr>
        <w:spacing w:after="0" w:line="2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approximately 209 million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New Academy Holding Company, LLC 2011 Unit Incentive Plan, or 2011 Equity Plan, our 2020 Omnibus Incentive Plan, or 2020 Equity Plan, and our new 2020 Employee Stock Purchase Plan, or ESPP. See “Executive Compensation—Equity Compensation Plans.”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or indentures, and other indebtedness we may incur, and such other factors as our board of directors may deem relevant. As a result, you may not receive any return on an investment in our common stock unless you sell our common stock for a price greater than your purchase price.</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ind w:firstLine="324"/>
        <w:spacing w:after="0" w:line="279" w:lineRule="auto"/>
        <w:rPr>
          <w:sz w:val="20"/>
          <w:szCs w:val="20"/>
          <w:color w:val="auto"/>
        </w:rPr>
      </w:pPr>
      <w:r>
        <w:rPr>
          <w:rFonts w:ascii="Arial" w:cs="Arial" w:eastAsia="Arial" w:hAnsi="Arial"/>
          <w:sz w:val="17"/>
          <w:szCs w:val="17"/>
          <w:color w:val="auto"/>
        </w:rPr>
        <w:t>As of January 30, 2021, we had 91,114,475 shares of our common stock outstanding. Of the outstanding shares, the 31,232,495 shares sold in the IPO and in the secondary offering we completed in January 2021 (the “Secondary Offering”) are freely tradable without restriction or further registration under the Securities Act of 1933, as amended, or the Securities Act, except for any shares held by our affiliates, as that term is defined under Rule 144 of the Securities Act, or Rule 144, including our directors, executive officers and other affiliates (including affiliates of the Sponsors).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59,042,759 shares of common stock held by affiliates of the KKR Stockholders, MSI 2011 LLC, and certain of our directors and executive officers as of January 30, 2021, representing approximately 64.8% of the total outstanding shares of our common stock as of January 30, 2021, are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connection with our IPO and the Secondary Offering, we, our directors and executive officers and holders of substantially all of our outstanding common stock prior to the IPO signed lock-up agreements with the underwriters that, subject to certain exceptions, restrict the disposition of, or hedging with respect to, the shares of our common stock or securities convertible into or exchangeable for shares of common stock, each held by them for 90 days (or in the case of the executive officers other than our chief executive officer and our chief financial officer, 60 days) following January 25, 2021, except with the prior written consent of Credit Suisse Securities (USA) LLC and J.P. Morgan Securities LLC.</w:t>
      </w:r>
    </w:p>
    <w:p>
      <w:pPr>
        <w:spacing w:after="0" w:line="1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pursuant to a registration rights agreement, the KKR Stockholders, MSI 2011 LLC, and MG Family Limited Partnership each have the right, subject to certain conditions, to require us to register the sale of their shares of our common stock under the Securities Act. By exercising its registration rights and selling a large number of shares, the KKR Stockholders, MSI 2011 LLC, and MG Family Limited Partnership could cause the prevailing market price of our common stock to decline. Certain of our other stockholders have “piggyback” registration rights with respect to future registered offerings of our common stock. The shares covered by registration rights represent approximately 65% of our total common stock outstanding as of January 30, 2021. Registration of any of these outstanding shares of common stock would result in such shares becoming freely tradable without compliance with Rule 144 upon effectiveness of the registration statement.</w:t>
      </w:r>
    </w:p>
    <w:p>
      <w:pPr>
        <w:spacing w:after="0" w:line="12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color w:val="auto"/>
        </w:rPr>
        <w:t>14,629,862 shares of our common stock subject to our outstanding options or subject to issuance under our 2011 Equity Plan, our 2020 Equity Plan and the ESPP have been registered with a registration statement on Form S-8 and will be available for sale in the open market, subject to limitations in the</w:t>
      </w:r>
    </w:p>
    <w:p>
      <w:pPr>
        <w:jc w:val="both"/>
        <w:spacing w:after="0" w:line="259" w:lineRule="auto"/>
        <w:rPr>
          <w:sz w:val="20"/>
          <w:szCs w:val="20"/>
          <w:color w:val="auto"/>
        </w:rPr>
      </w:pPr>
      <w:r>
        <w:rPr>
          <w:rFonts w:ascii="Arial" w:cs="Arial" w:eastAsia="Arial" w:hAnsi="Arial"/>
          <w:sz w:val="18"/>
          <w:szCs w:val="18"/>
          <w:color w:val="auto"/>
        </w:rPr>
        <w:t>management stockholder’s agreements. The initial registration statement on Form S-8 covered 15,983,311 shares of our common stock. As of January 30, 2021, there were stock options outstanding to purchase a total of 9,231,403 shares of our common stock and 1,387,707 shares of our common stock subject to restricted stock units. In addition, as of January 30, 2021, 4,940,723 shares of our common stock were reserved for future issuance under our incentive plans.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provide for, among other things:</w:t>
      </w:r>
    </w:p>
    <w:p>
      <w:pPr>
        <w:spacing w:after="0" w:line="63" w:lineRule="exact"/>
        <w:rPr>
          <w:sz w:val="20"/>
          <w:szCs w:val="20"/>
          <w:color w:val="auto"/>
        </w:rPr>
      </w:pPr>
    </w:p>
    <w:p>
      <w:pPr>
        <w:ind w:left="1140" w:hanging="322"/>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 without stockholder approval;</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63" w:lineRule="exact"/>
        <w:rPr>
          <w:rFonts w:ascii="Arial" w:cs="Arial" w:eastAsia="Arial" w:hAnsi="Arial"/>
          <w:sz w:val="18"/>
          <w:szCs w:val="18"/>
          <w:color w:val="auto"/>
        </w:rPr>
      </w:pPr>
    </w:p>
    <w:p>
      <w:pPr>
        <w:jc w:val="both"/>
        <w:ind w:left="1140" w:hanging="322"/>
        <w:spacing w:after="0" w:line="263"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 2/3%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21" w:lineRule="exact"/>
        <w:rPr>
          <w:rFonts w:ascii="Arial" w:cs="Arial" w:eastAsia="Arial" w:hAnsi="Arial"/>
          <w:sz w:val="18"/>
          <w:szCs w:val="18"/>
          <w:color w:val="auto"/>
        </w:rPr>
      </w:pPr>
    </w:p>
    <w:p>
      <w:pPr>
        <w:jc w:val="both"/>
        <w:ind w:left="1140" w:right="20" w:hanging="322"/>
        <w:spacing w:after="0" w:line="263"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color w:val="auto"/>
        </w:rPr>
        <w:t>with the federal securities laws and the rules and regulations thereunder, and our stockholders are not be deemed to have waived our compliance with these laws, rules and regulations.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We are headquartered at 1800 North Mason Road, Katy, Texas, 77449. The following table sets forth the location, use and size of our corporate and distribution center facilities as of January 30, 2021:</w:t>
      </w:r>
    </w:p>
    <w:tbl>
      <w:tblPr>
        <w:tblLayout w:type="fixed"/>
        <w:tblInd w:w="0" w:type="dxa"/>
        <w:tblCellMar>
          <w:top w:w="0" w:type="dxa"/>
          <w:left w:w="0" w:type="dxa"/>
          <w:bottom w:w="0" w:type="dxa"/>
          <w:right w:w="0" w:type="dxa"/>
        </w:tblCellMar>
      </w:tblPr>
      <w:tr>
        <w:trPr>
          <w:trHeight w:val="181"/>
        </w:trPr>
        <w:tc>
          <w:tcPr>
            <w:tcW w:w="2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w:t>
            </w:r>
          </w:p>
        </w:tc>
        <w:tc>
          <w:tcPr>
            <w:tcW w:w="4660" w:type="dxa"/>
            <w:vAlign w:val="bottom"/>
            <w:vMerge w:val="restart"/>
          </w:tcPr>
          <w:p>
            <w:pPr>
              <w:ind w:left="1200"/>
              <w:spacing w:after="0"/>
              <w:rPr>
                <w:sz w:val="20"/>
                <w:szCs w:val="20"/>
                <w:color w:val="auto"/>
              </w:rPr>
            </w:pPr>
            <w:r>
              <w:rPr>
                <w:rFonts w:ascii="Arial" w:cs="Arial" w:eastAsia="Arial" w:hAnsi="Arial"/>
                <w:sz w:val="18"/>
                <w:szCs w:val="18"/>
                <w:b w:val="1"/>
                <w:bCs w:val="1"/>
                <w:color w:val="auto"/>
              </w:rPr>
              <w:t>Use</w:t>
            </w:r>
          </w:p>
        </w:tc>
        <w:tc>
          <w:tcPr>
            <w:tcW w:w="326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rPr>
              <w:t>Approximate Square</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960" w:type="dxa"/>
            <w:vAlign w:val="bottom"/>
            <w:tcBorders>
              <w:bottom w:val="single" w:sz="8" w:color="auto"/>
            </w:tcBorders>
            <w:vMerge w:val="continue"/>
          </w:tcPr>
          <w:p>
            <w:pPr>
              <w:spacing w:after="0"/>
              <w:rPr>
                <w:sz w:val="19"/>
                <w:szCs w:val="19"/>
                <w:color w:val="auto"/>
              </w:rPr>
            </w:pPr>
          </w:p>
        </w:tc>
        <w:tc>
          <w:tcPr>
            <w:tcW w:w="4660" w:type="dxa"/>
            <w:vAlign w:val="bottom"/>
            <w:tcBorders>
              <w:bottom w:val="single" w:sz="8" w:color="auto"/>
            </w:tcBorders>
            <w:vMerge w:val="continue"/>
          </w:tcPr>
          <w:p>
            <w:pPr>
              <w:spacing w:after="0"/>
              <w:rPr>
                <w:sz w:val="19"/>
                <w:szCs w:val="19"/>
                <w:color w:val="auto"/>
              </w:rPr>
            </w:pPr>
          </w:p>
        </w:tc>
        <w:tc>
          <w:tcPr>
            <w:tcW w:w="3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Footage</w:t>
            </w:r>
          </w:p>
        </w:tc>
        <w:tc>
          <w:tcPr>
            <w:tcW w:w="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Katy, Texas</w:t>
            </w:r>
          </w:p>
        </w:tc>
        <w:tc>
          <w:tcPr>
            <w:tcW w:w="4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Corporate Office Building 1</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360" w:type="dxa"/>
            <w:vAlign w:val="bottom"/>
            <w:shd w:val="clear" w:color="auto" w:fill="CCEEFF"/>
          </w:tcPr>
          <w:p>
            <w:pPr>
              <w:jc w:val="right"/>
              <w:ind w:right="117"/>
              <w:spacing w:after="0" w:line="141"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Katy, Texas</w:t>
            </w:r>
          </w:p>
        </w:tc>
        <w:tc>
          <w:tcPr>
            <w:tcW w:w="4660" w:type="dxa"/>
            <w:vAlign w:val="bottom"/>
          </w:tcPr>
          <w:p>
            <w:pPr>
              <w:ind w:left="1200"/>
              <w:spacing w:after="0"/>
              <w:rPr>
                <w:sz w:val="20"/>
                <w:szCs w:val="20"/>
                <w:color w:val="auto"/>
              </w:rPr>
            </w:pPr>
            <w:r>
              <w:rPr>
                <w:rFonts w:ascii="Arial" w:cs="Arial" w:eastAsia="Arial" w:hAnsi="Arial"/>
                <w:sz w:val="18"/>
                <w:szCs w:val="18"/>
                <w:color w:val="auto"/>
              </w:rPr>
              <w:t>Corporate Office Building 2</w:t>
            </w:r>
          </w:p>
        </w:tc>
        <w:tc>
          <w:tcPr>
            <w:tcW w:w="3260" w:type="dxa"/>
            <w:vAlign w:val="bottom"/>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tcPr>
          <w:p>
            <w:pPr>
              <w:jc w:val="right"/>
              <w:ind w:right="11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Katy, Texas</w:t>
            </w:r>
          </w:p>
        </w:tc>
        <w:tc>
          <w:tcPr>
            <w:tcW w:w="4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Bulk Warehouse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Katy, Texas</w:t>
            </w:r>
          </w:p>
        </w:tc>
        <w:tc>
          <w:tcPr>
            <w:tcW w:w="4660" w:type="dxa"/>
            <w:vAlign w:val="bottom"/>
          </w:tcPr>
          <w:p>
            <w:pPr>
              <w:ind w:left="1200"/>
              <w:spacing w:after="0"/>
              <w:rPr>
                <w:sz w:val="20"/>
                <w:szCs w:val="20"/>
                <w:color w:val="auto"/>
              </w:rPr>
            </w:pPr>
            <w:r>
              <w:rPr>
                <w:rFonts w:ascii="Arial" w:cs="Arial" w:eastAsia="Arial" w:hAnsi="Arial"/>
                <w:sz w:val="18"/>
                <w:szCs w:val="18"/>
                <w:color w:val="auto"/>
              </w:rPr>
              <w:t>Distribution Center</w:t>
            </w:r>
          </w:p>
        </w:tc>
        <w:tc>
          <w:tcPr>
            <w:tcW w:w="3260" w:type="dxa"/>
            <w:vAlign w:val="bottom"/>
          </w:tcPr>
          <w:p>
            <w:pPr>
              <w:jc w:val="right"/>
              <w:spacing w:after="0"/>
              <w:rPr>
                <w:sz w:val="20"/>
                <w:szCs w:val="20"/>
                <w:color w:val="auto"/>
              </w:rPr>
            </w:pPr>
            <w:r>
              <w:rPr>
                <w:rFonts w:ascii="Arial" w:cs="Arial" w:eastAsia="Arial" w:hAnsi="Arial"/>
                <w:sz w:val="18"/>
                <w:szCs w:val="18"/>
                <w:color w:val="auto"/>
              </w:rPr>
              <w:t>1,400,000</w:t>
            </w:r>
          </w:p>
        </w:tc>
        <w:tc>
          <w:tcPr>
            <w:tcW w:w="360" w:type="dxa"/>
            <w:vAlign w:val="bottom"/>
          </w:tcPr>
          <w:p>
            <w:pPr>
              <w:jc w:val="right"/>
              <w:ind w:right="11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Twiggs County, Georgia</w:t>
            </w:r>
          </w:p>
        </w:tc>
        <w:tc>
          <w:tcPr>
            <w:tcW w:w="4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Distribution Center</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Cookeville, Tennessee</w:t>
            </w:r>
          </w:p>
        </w:tc>
        <w:tc>
          <w:tcPr>
            <w:tcW w:w="4660" w:type="dxa"/>
            <w:vAlign w:val="bottom"/>
          </w:tcPr>
          <w:p>
            <w:pPr>
              <w:ind w:left="1200"/>
              <w:spacing w:after="0"/>
              <w:rPr>
                <w:sz w:val="20"/>
                <w:szCs w:val="20"/>
                <w:color w:val="auto"/>
              </w:rPr>
            </w:pPr>
            <w:r>
              <w:rPr>
                <w:rFonts w:ascii="Arial" w:cs="Arial" w:eastAsia="Arial" w:hAnsi="Arial"/>
                <w:sz w:val="18"/>
                <w:szCs w:val="18"/>
                <w:color w:val="auto"/>
              </w:rPr>
              <w:t>Distribution Center</w:t>
            </w:r>
          </w:p>
        </w:tc>
        <w:tc>
          <w:tcPr>
            <w:tcW w:w="3260" w:type="dxa"/>
            <w:vAlign w:val="bottom"/>
          </w:tcPr>
          <w:p>
            <w:pPr>
              <w:jc w:val="right"/>
              <w:spacing w:after="0"/>
              <w:rPr>
                <w:sz w:val="20"/>
                <w:szCs w:val="20"/>
                <w:color w:val="auto"/>
              </w:rPr>
            </w:pPr>
            <w:r>
              <w:rPr>
                <w:rFonts w:ascii="Arial" w:cs="Arial" w:eastAsia="Arial" w:hAnsi="Arial"/>
                <w:sz w:val="18"/>
                <w:szCs w:val="18"/>
                <w:color w:val="auto"/>
              </w:rPr>
              <w:t>1,600,000</w:t>
            </w:r>
          </w:p>
        </w:tc>
        <w:tc>
          <w:tcPr>
            <w:tcW w:w="360" w:type="dxa"/>
            <w:vAlign w:val="bottom"/>
          </w:tcPr>
          <w:p>
            <w:pPr>
              <w:jc w:val="right"/>
              <w:ind w:right="1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Kowloon, Hong Kong</w:t>
            </w:r>
          </w:p>
        </w:tc>
        <w:tc>
          <w:tcPr>
            <w:tcW w:w="4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Global Sourcing Office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2007.</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2015.</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2016.</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2007. Five year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2012. Five year lease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2016. Three year lease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Two year lease entered in 2020.</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lease all of our stores. Our initial store lease terms are typically 15 to 20 years with various renewal options and lease escalation structures. We believe that all of our leases are entered into at then-prevailing market lease rates. As of January 30, 2021, our total leased store square footage was approximately 18.3 million square feet.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w:t>
      </w:r>
    </w:p>
    <w:p>
      <w:pPr>
        <w:spacing w:after="0" w:line="8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 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The Supreme Court of Texas heard oral arguments relating to our motions for summary judgment to dismiss certain of the cases in October 2020,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Academy's common stock began trading on the Nasdaq Global Select Market, or Nasdaq, under the symbol "ASO" on October 2, 2020. Prior to that date, there was no public market for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 The graph below presents the Company’s cumulative total stockholder returns relative to the performance of the Nasdaq US Benchmark Retail Index and the Russell 3000 Index for our fiscal year 2020, commencing October 2, 2020 (the Company’s initial day of trading). All values assume a $100 initial investment at the opening price of the Company’s common stock on the Nasdaq and data for the Nasdaq US Benchmark Retail Index and the Russell 3000 Index assumes all dividends were reinvested on the date paid. The points on the graph represent fiscal month-end values based on the last trading day of each fiscal month.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5829300" cy="32486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fiscal year ended January 30, 2021, we did not purchase any of our equity securities that are registered under Section 12(b) of the Exchange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30, 2021, there were 38 holders of record of ASO, Inc.'s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governing the Notes and other indebtedness we may incur, and such other factors as our board of directors may deem relevant.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Not applicable. Our historical financial statements can be found on the SEC website (www.sec.gov), as well as our Investor Relations site (investors.academy.com).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consolidated financial statements and related notes included elsewhere in this Annual Report for the fiscal year ended January 30, 2021 (this "Annual Report").</w:t>
      </w:r>
    </w:p>
    <w:p>
      <w:pPr>
        <w:spacing w:after="0" w:line="38" w:lineRule="exact"/>
        <w:rPr>
          <w:sz w:val="20"/>
          <w:szCs w:val="20"/>
          <w:color w:val="auto"/>
        </w:rPr>
      </w:pPr>
    </w:p>
    <w:p>
      <w:pPr>
        <w:jc w:val="both"/>
        <w:ind w:firstLine="292"/>
        <w:spacing w:after="0" w:line="257" w:lineRule="auto"/>
        <w:rPr>
          <w:sz w:val="20"/>
          <w:szCs w:val="20"/>
          <w:color w:val="auto"/>
        </w:rPr>
      </w:pPr>
      <w:r>
        <w:rPr>
          <w:rFonts w:ascii="Arial" w:cs="Arial" w:eastAsia="Arial" w:hAnsi="Arial"/>
          <w:sz w:val="18"/>
          <w:szCs w:val="18"/>
          <w:i w:val="1"/>
          <w:iCs w:val="1"/>
          <w:color w:val="auto"/>
        </w:rPr>
        <w:t>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80" w:lineRule="exact"/>
        <w:rPr>
          <w:sz w:val="20"/>
          <w:szCs w:val="20"/>
          <w:color w:val="auto"/>
        </w:rPr>
      </w:pPr>
    </w:p>
    <w:p>
      <w:pPr>
        <w:jc w:val="both"/>
        <w:ind w:right="20" w:firstLine="292"/>
        <w:spacing w:after="0" w:line="308" w:lineRule="auto"/>
        <w:rPr>
          <w:sz w:val="20"/>
          <w:szCs w:val="20"/>
          <w:color w:val="auto"/>
        </w:rPr>
      </w:pPr>
      <w:r>
        <w:rPr>
          <w:rFonts w:ascii="Arial" w:cs="Arial" w:eastAsia="Arial" w:hAnsi="Arial"/>
          <w:sz w:val="17"/>
          <w:szCs w:val="17"/>
          <w:i w:val="1"/>
          <w:iCs w:val="1"/>
          <w:color w:val="auto"/>
        </w:rPr>
        <w:t>Any reference in this Annual Report to "year" or any year in particular refers to our fiscal year, which represents the fifty-two or fifty-three week period ending on the Saturday closest to January 31. Unless otherwise specified, all comparisons or changes regarding 2020 are made to 2019.</w:t>
      </w:r>
    </w:p>
    <w:p>
      <w:pPr>
        <w:spacing w:after="0" w:line="38"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i w:val="1"/>
          <w:iCs w:val="1"/>
          <w:color w:val="auto"/>
        </w:rPr>
        <w:t>All statements in this Annual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Our fiscal year represents the 52- or 53- week period ending on the Saturday closest to January 31. All references in this discussion and analysis to "2020", "2019" and "2018" or like terms relate to our fiscal years as follows:</w:t>
      </w:r>
    </w:p>
    <w:tbl>
      <w:tblPr>
        <w:tblLayout w:type="fixed"/>
        <w:tblInd w:w="0" w:type="dxa"/>
        <w:tblCellMar>
          <w:top w:w="0" w:type="dxa"/>
          <w:left w:w="0" w:type="dxa"/>
          <w:bottom w:w="0" w:type="dxa"/>
          <w:right w:w="0" w:type="dxa"/>
        </w:tblCellMar>
      </w:tblPr>
      <w:tr>
        <w:trPr>
          <w:trHeight w:val="181"/>
        </w:trPr>
        <w:tc>
          <w:tcPr>
            <w:tcW w:w="1660" w:type="dxa"/>
            <w:vAlign w:val="bottom"/>
            <w:gridSpan w:val="2"/>
          </w:tcPr>
          <w:p>
            <w:pPr>
              <w:jc w:val="center"/>
              <w:ind w:right="180"/>
              <w:spacing w:after="0" w:line="182" w:lineRule="exact"/>
              <w:rPr>
                <w:sz w:val="20"/>
                <w:szCs w:val="20"/>
                <w:color w:val="auto"/>
              </w:rPr>
            </w:pPr>
            <w:r>
              <w:rPr>
                <w:rFonts w:ascii="Arial" w:cs="Arial" w:eastAsia="Arial" w:hAnsi="Arial"/>
                <w:sz w:val="18"/>
                <w:szCs w:val="18"/>
                <w:b w:val="1"/>
                <w:bCs w:val="1"/>
                <w:color w:val="auto"/>
                <w:w w:val="86"/>
              </w:rPr>
              <w:t>Fiscal</w:t>
            </w:r>
          </w:p>
        </w:tc>
        <w:tc>
          <w:tcPr>
            <w:tcW w:w="810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Weeks</w:t>
            </w:r>
          </w:p>
        </w:tc>
        <w:tc>
          <w:tcPr>
            <w:tcW w:w="0" w:type="dxa"/>
            <w:vAlign w:val="bottom"/>
          </w:tcPr>
          <w:p>
            <w:pPr>
              <w:spacing w:after="0"/>
              <w:rPr>
                <w:sz w:val="1"/>
                <w:szCs w:val="1"/>
                <w:color w:val="auto"/>
              </w:rPr>
            </w:pPr>
          </w:p>
        </w:tc>
      </w:tr>
      <w:tr>
        <w:trPr>
          <w:trHeight w:val="230"/>
        </w:trPr>
        <w:tc>
          <w:tcPr>
            <w:tcW w:w="16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Year</w:t>
            </w:r>
          </w:p>
        </w:tc>
        <w:tc>
          <w:tcPr>
            <w:tcW w:w="8100" w:type="dxa"/>
            <w:vAlign w:val="bottom"/>
            <w:gridSpan w:val="2"/>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tcBorders>
              <w:top w:val="single" w:sz="8" w:color="CCEEFF"/>
            </w:tcBorders>
            <w:shd w:val="clear" w:color="auto" w:fill="CCEEFF"/>
          </w:tcPr>
          <w:p>
            <w:pPr>
              <w:spacing w:after="0"/>
              <w:rPr>
                <w:sz w:val="19"/>
                <w:szCs w:val="19"/>
                <w:color w:val="auto"/>
              </w:rPr>
            </w:pPr>
          </w:p>
        </w:tc>
        <w:tc>
          <w:tcPr>
            <w:tcW w:w="7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30, 2021</w:t>
            </w:r>
          </w:p>
        </w:tc>
        <w:tc>
          <w:tcPr>
            <w:tcW w:w="2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30"/>
        </w:trPr>
        <w:tc>
          <w:tcPr>
            <w:tcW w:w="14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9"/>
                <w:szCs w:val="19"/>
                <w:color w:val="auto"/>
              </w:rPr>
            </w:pPr>
          </w:p>
        </w:tc>
        <w:tc>
          <w:tcPr>
            <w:tcW w:w="81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February 1,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29"/>
        </w:trPr>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February 2, 2019</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one of the leading full-line sporting goods and outdoor recreation retailers in the United States.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1" w:name="page52"/>
    <w:bookmarkEnd w:id="51"/>
    <w:p>
      <w:pPr>
        <w:jc w:val="both"/>
        <w:ind w:firstLine="324"/>
        <w:spacing w:after="0" w:line="272" w:lineRule="auto"/>
        <w:rPr>
          <w:sz w:val="20"/>
          <w:szCs w:val="20"/>
          <w:color w:val="auto"/>
        </w:rPr>
      </w:pPr>
      <w:r>
        <w:rPr>
          <w:rFonts w:ascii="Arial" w:cs="Arial" w:eastAsia="Arial" w:hAnsi="Arial"/>
          <w:sz w:val="17"/>
          <w:szCs w:val="17"/>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19 owned brands.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January 30, 2021, we operated 259 stores that range in size from approximately 40,000 to 130,000 gross square feet, with an average size of approximately 70,000 gross square feet, throughout 16 contiguous states. Our stores are supported by over 22,000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buy-online-pickup-in-store ("BOPIS") program, which we launched in 2019.</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store activity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Fiscal Year Ended</w:t>
            </w:r>
          </w:p>
        </w:tc>
        <w:tc>
          <w:tcPr>
            <w:tcW w:w="1960" w:type="dxa"/>
            <w:vAlign w:val="bottom"/>
            <w:tcBorders>
              <w:bottom w:val="single" w:sz="8" w:color="auto"/>
            </w:tcBorders>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2080" w:type="dxa"/>
            <w:vAlign w:val="bottom"/>
            <w:gridSpan w:val="2"/>
          </w:tcPr>
          <w:p>
            <w:pPr>
              <w:ind w:left="320"/>
              <w:spacing w:after="0"/>
              <w:rPr>
                <w:sz w:val="20"/>
                <w:szCs w:val="20"/>
                <w:color w:val="auto"/>
              </w:rPr>
            </w:pPr>
            <w:r>
              <w:rPr>
                <w:rFonts w:ascii="Arial" w:cs="Arial" w:eastAsia="Arial" w:hAnsi="Arial"/>
                <w:sz w:val="18"/>
                <w:szCs w:val="18"/>
                <w:b w:val="1"/>
                <w:bCs w:val="1"/>
                <w:color w:val="auto"/>
              </w:rPr>
              <w:t>January 30, 2021</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February 1, 2020</w:t>
            </w:r>
          </w:p>
        </w:tc>
        <w:tc>
          <w:tcPr>
            <w:tcW w:w="1960" w:type="dxa"/>
            <w:vAlign w:val="bottom"/>
          </w:tcPr>
          <w:p>
            <w:pPr>
              <w:jc w:val="right"/>
              <w:ind w:right="230"/>
              <w:spacing w:after="0"/>
              <w:rPr>
                <w:sz w:val="20"/>
                <w:szCs w:val="20"/>
                <w:color w:val="auto"/>
              </w:rPr>
            </w:pPr>
            <w:r>
              <w:rPr>
                <w:rFonts w:ascii="Arial" w:cs="Arial" w:eastAsia="Arial" w:hAnsi="Arial"/>
                <w:sz w:val="18"/>
                <w:szCs w:val="18"/>
                <w:b w:val="1"/>
                <w:bCs w:val="1"/>
                <w:color w:val="auto"/>
              </w:rPr>
              <w:t>February 2, 2019</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stores</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30"/>
        </w:trPr>
        <w:tc>
          <w:tcPr>
            <w:tcW w:w="4880" w:type="dxa"/>
            <w:vAlign w:val="bottom"/>
          </w:tcPr>
          <w:p>
            <w:pPr>
              <w:ind w:left="20"/>
              <w:spacing w:after="0"/>
              <w:rPr>
                <w:sz w:val="20"/>
                <w:szCs w:val="20"/>
                <w:color w:val="auto"/>
              </w:rPr>
            </w:pPr>
            <w:r>
              <w:rPr>
                <w:rFonts w:ascii="Arial" w:cs="Arial" w:eastAsia="Arial" w:hAnsi="Arial"/>
                <w:sz w:val="18"/>
                <w:szCs w:val="18"/>
                <w:color w:val="auto"/>
              </w:rPr>
              <w:t>Q1 new stores</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Q2 new stores</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Q3 new stores</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Q4 new stores</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Closed</w:t>
            </w:r>
          </w:p>
        </w:tc>
        <w:tc>
          <w:tcPr>
            <w:tcW w:w="2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stores</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Relocated stores</w:t>
            </w:r>
          </w:p>
        </w:tc>
        <w:tc>
          <w:tcPr>
            <w:tcW w:w="2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Trends and Other Factors Affecting Our Business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All of our sales are generated within the United States, making our results of operations highly dependent on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the section of this Annual Report entitled "Impact of COVID-19 on Our Business."</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Consumer Preferences and Demands. </w:t>
      </w:r>
      <w:r>
        <w:rPr>
          <w:rFonts w:ascii="Arial" w:cs="Arial" w:eastAsia="Arial" w:hAnsi="Arial"/>
          <w:sz w:val="16"/>
          <w:szCs w:val="16"/>
          <w:color w:val="auto"/>
        </w:rPr>
        <w:t>The level of success we achieve is dependent on, among other factors, how accurately and timely we predict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inventory excesses or shortages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2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2" w:name="page53"/>
    <w:bookmarkEnd w:id="52"/>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Strategic Inventory Management. </w:t>
      </w:r>
      <w:r>
        <w:rPr>
          <w:rFonts w:ascii="Arial" w:cs="Arial" w:eastAsia="Arial" w:hAnsi="Arial"/>
          <w:sz w:val="16"/>
          <w:szCs w:val="16"/>
          <w:color w:val="auto"/>
        </w:rPr>
        <w:t>We must maintain sufficient inventory levels of merchandise that our customers desire to successfully operate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our average inventory turns from 2.84x in 2019 to 3.89x in 2020.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2020, although we received significant levels of inventory to support our sales, on a net basis, we experienced significant inventory reductions from high sell-through during the period. Despite increased inventory receipts, we experienced challenges in maintaining certain merchandise, resulting from the COVID-19 pandemic, manufacturing supply limitations, and transportation capacity issues, the latter of which resulted in higher than normal transportation costs. We expect to use cash to replenish such inventory during 2021, which we expect will impact our net cash provided by operating activities for the coming year.</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Value Strategy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offer a broad assortment of products at competitive prices that offer extraordinary value. Our in-store experience includes 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2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E-commerce. </w:t>
      </w:r>
      <w:r>
        <w:rPr>
          <w:rFonts w:ascii="Arial" w:cs="Arial" w:eastAsia="Arial" w:hAnsi="Arial"/>
          <w:sz w:val="16"/>
          <w:szCs w:val="16"/>
          <w:color w:val="auto"/>
        </w:rPr>
        <w:t>We expect that the expansion and enhancement of our omnichannel capabilities will be a key driver of growth in our net sales and gross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We continue to invest in initiatives that will increase traffic to our e-commerce website and drive increased online sales conversion. Our improved website also supports our stores with digital marketing and our BOPIS and ship-to-store programs. Our website also allows us to reach customers outside of our current store footprint and introduces new customers to the Academy brand.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2020. During 2020, stores facilitated approximately 95% of our total sales, including ship-from-store, BOPIS and in-store retail sales. It is, however, difficult to ascertain with precision what portion of our increased e-commerce sales during 2020 was attributable to the COVID-19 pandemic as compared to such recent enhancements. We expect to continue to invest in expanding and enhancing our omnichannel capabilities, including BOPIS, ship-from-store and ship-to-store, will continue to require significant investments by us.</w:t>
      </w:r>
    </w:p>
    <w:p>
      <w:pPr>
        <w:spacing w:after="0" w:line="1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Competition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U.S. sporting goods and outdoor recreation retail industries are highly competitive and fragmented. We compete with specialty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3" w:name="page54"/>
    <w:bookmarkEnd w:id="53"/>
    <w:p>
      <w:pPr>
        <w:jc w:val="both"/>
        <w:ind w:firstLine="324"/>
        <w:spacing w:after="0" w:line="285" w:lineRule="auto"/>
        <w:rPr>
          <w:sz w:val="20"/>
          <w:szCs w:val="20"/>
          <w:color w:val="auto"/>
        </w:rPr>
      </w:pPr>
      <w:r>
        <w:rPr>
          <w:rFonts w:ascii="Arial" w:cs="Arial" w:eastAsia="Arial" w:hAnsi="Arial"/>
          <w:sz w:val="16"/>
          <w:szCs w:val="16"/>
          <w:b w:val="1"/>
          <w:bCs w:val="1"/>
          <w:i w:val="1"/>
          <w:iCs w:val="1"/>
          <w:color w:val="auto"/>
        </w:rPr>
        <w:t xml:space="preserve">Sourcing and Supply Chain Management. </w:t>
      </w:r>
      <w:r>
        <w:rPr>
          <w:rFonts w:ascii="Arial" w:cs="Arial" w:eastAsia="Arial" w:hAnsi="Arial"/>
          <w:sz w:val="16"/>
          <w:szCs w:val="16"/>
          <w:color w:val="auto"/>
        </w:rPr>
        <w:t>For our business to be successful, our suppliers must provide us with quality products in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 of labor and raw materials on our suppliers, as well as the impact of the COVID-19 pandemic.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New Store Openings. </w:t>
      </w:r>
      <w:r>
        <w:rPr>
          <w:rFonts w:ascii="Arial" w:cs="Arial" w:eastAsia="Arial" w:hAnsi="Arial"/>
          <w:sz w:val="16"/>
          <w:szCs w:val="16"/>
          <w:color w:val="auto"/>
        </w:rPr>
        <w:t>We expect that new stores will be a key driver of growth in our net sales and gross margin in the future. Our results of operations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2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Interim Results and Seasonality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business is subject to seasonal fluctuations. A significant portion of our net sales and profits is driven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9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b w:val="1"/>
          <w:bCs w:val="1"/>
          <w:i w:val="1"/>
          <w:iCs w:val="1"/>
          <w:color w:val="auto"/>
        </w:rPr>
        <w:t>53rd Week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operate on the retail industry’s 4-5-4 calendar. The 4-5-4 calendar is a guide for retailers that ensures sales comparability between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dividing the year into months based on a 4 weeks – 5 weeks – 4 weeks format. Every five to six years a week is added to the 4-5-4 fiscal calendar. This anomaly most recently occurred in 2017, which consisted of 53 weeks, whereas 2018, 2019 and 2020 each consisted of 52 weeks.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outbreak of COVID-19, which has been declared a global pandemic by the World Health Organization,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The scope and nature of these impacts continue to evolve on a daily basis, including a potential resurgence in COVID-19 cases in 2021.</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(and in some cases, requiring customers to wear) face coverings, limiting the number of customers admitted at one time, and having protective shields installed at cash registers and other countertops. We have incurred increased costs related to</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4" w:name="page55"/>
    <w:bookmarkEnd w:id="54"/>
    <w:p>
      <w:pPr>
        <w:jc w:val="both"/>
        <w:spacing w:after="0" w:line="268" w:lineRule="auto"/>
        <w:rPr>
          <w:sz w:val="20"/>
          <w:szCs w:val="20"/>
          <w:color w:val="auto"/>
        </w:rPr>
      </w:pPr>
      <w:r>
        <w:rPr>
          <w:rFonts w:ascii="Arial" w:cs="Arial" w:eastAsia="Arial" w:hAnsi="Arial"/>
          <w:sz w:val="17"/>
          <w:szCs w:val="17"/>
          <w:color w:val="auto"/>
        </w:rPr>
        <w:t>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(as defined below) in March 2020 as a precautionary measure to ensure financial flexibility and maximize liquidity. We shortened the operating hours of our stores and fully closed six stores at some point during the thirteen weeks ended May 2, 2020, only one of which was closed for more than a week. We also reduced, deferred or cancelled planned capital expenditures, primarily related to store remodels, have worked with our business partners to modify vendor and landlord payments and terms, and reduced near term marketing. Our temporary furlough period ended by June 8, 2020 for all of our store, distribution center and corporate team members, and on June 25, 2020, we completed repaying the $500 million draw on the 2018 ABL Facility. All three of our distribution centers remained open during 2020, all of our 259 stores have been fully operational since May 20, 2020, and our corporate office has been fully open since June 8, 2020.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impact of the pandemic and actions taken in response to it had varying effects on our results of operations, as further discussed below, and our business has been especially unpredictable during 2020. However, as an essential retailer, we have been able to serve our customers as their needs evolved during the pandemic. In early March 2020, we saw the acceleration of sales in specific categories, such as outdoor cooking, 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the first quarter 2020 we experienced decreased sales of certain of our offerings, primarily for apparel and footwear, and had to from time to time cancel certain of our purchase orders for these products. Despite the initial challenges in 2020 with sales declines in our footwear and apparel merchandise divisions, these categories ultimately experienced positive comparable sales growth for the year. The outdoors and sports and recreation divisions had consistent positive store sales growth throughout the year and ultimately experienced significant positive comparable sales growth in 2020.</w:t>
      </w:r>
    </w:p>
    <w:p>
      <w:pPr>
        <w:spacing w:after="0" w:line="206"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also saw a significant increase in customers purchasing our products through omnichannel platforms, specifically as customers increasingly take advantage of our curbside pickup service, which we launched during the first quarter 2020. We launched our ship-to-store capabilities in third quarter 2020, which gives our customers more options on how to shop Academy.</w:t>
      </w:r>
    </w:p>
    <w:p>
      <w:pPr>
        <w:spacing w:after="0" w:line="1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the development and distribution of vaccines to mitigate the risk of COVID-19, actions by government authorities to contain the outbreak or treat its impact, and changes in consumer behavior resulting from the outbreak and such government actions. We continue to monitor the evolving situation as there remain many uncertainties regarding the pandemic and its resurgence, including the anticipated duration. See the section of this Annual Report entitled "Risk Factors—Risks Related to Our Business—The impact of COVID-19 may adversely affect our business and financial results."</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b w:val="1"/>
          <w:bCs w:val="1"/>
          <w:i w:val="1"/>
          <w:iCs w:val="1"/>
          <w:color w:val="auto"/>
        </w:rPr>
        <w:t xml:space="preserve">Comparable Sales. </w:t>
      </w:r>
      <w:r>
        <w:rPr>
          <w:rFonts w:ascii="Arial" w:cs="Arial" w:eastAsia="Arial" w:hAnsi="Arial"/>
          <w:sz w:val="16"/>
          <w:szCs w:val="16"/>
          <w:color w:val="auto"/>
        </w:rPr>
        <w:t>We define comparable sales as the percentage of period-over-period net sales increase or decrease, in the aggregate, for stores open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thirteen full fiscal months, as well as for all e-commerce sales. There may be variations in the way in which some of our competitors and other retailers calculate comparable sales. As a result, data in this Annual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1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Adjusted EBITDA, Adjusted Net Income, Pro Forma Adjusted Net Income, Pro Forma Adjusted Earnings per Share and Adjusted Free Cash Flow. </w:t>
      </w:r>
      <w:r>
        <w:rPr>
          <w:rFonts w:ascii="Arial" w:cs="Arial" w:eastAsia="Arial" w:hAnsi="Arial"/>
          <w:sz w:val="18"/>
          <w:szCs w:val="18"/>
          <w:color w:val="auto"/>
        </w:rPr>
        <w:t>Management uses Adjusted EBITDA, Adjusted Net Income, Pro Forma Adjusted Net Income, Pro Forma Adjusted Earnings per Share and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Free Cash Flow, which are non-GAAP financial measures to supplement GAAP measures of performance in the evaluation of the effectiveness of our business strategies, to make budgeting decisions, and to compare our performance against that of other peer companies using similar measures. See "Non-GAAP Financial Measures" below.</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E-commerce Penetration. </w:t>
      </w:r>
      <w:r>
        <w:rPr>
          <w:rFonts w:ascii="Arial" w:cs="Arial" w:eastAsia="Arial" w:hAnsi="Arial"/>
          <w:sz w:val="18"/>
          <w:szCs w:val="18"/>
          <w:color w:val="auto"/>
        </w:rPr>
        <w:t>E-commerce penetration is defined as total e-commerce merchandise sales (which includes BOPIS) divided by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merchandise sales.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profitability is primarily influenced by fluctuations in net sales, gross margin and our ability to leverage selling, general and administrative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Net Sales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sales are derived from in-store and e-commerce merchandise sales, net of sales tax and an allowance for merchandise returns.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is our net sales less cost of goods sold. Our cost of goods sold includes the direct cost of merchandise and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warehousing and distribution. These costs consist primarily of payroll and benefits, occupancy costs and freight and are generally variable in nature relative to our sales volume.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6" w:name="page57"/>
    <w:bookmarkEnd w:id="56"/>
    <w:p>
      <w:pPr>
        <w:jc w:val="both"/>
        <w:ind w:firstLine="324"/>
        <w:spacing w:after="0" w:line="29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("SG&amp;A") expenses include store and corporate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We expect that our SG&amp;A expenses will increase in future periods due to our continuing growth and in part to additional legal, accounting, insurance and other expenses we expect to incur as a result of being a public company.</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Prior to October 1, 2020, New Academy Holding Company, LLC, our prior ultimate parent company, was treated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 through entity for U.S. federal income tax purposes and thus no federal income tax expense was recorded in our consolidated statements of income for periods prior to October 1, 2020. Our tax rate prior to October 1, 2020 was almost entirely the result of state income taxes. In connection with our initial public offering ("IPO"), as a result of the Reorganization Transactions (see Note 1 to the consolidated financial statements) completed on October 1, 2020, Academy Sports and Outdoors, Inc. ("ASO, Inc.")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(52 weeks) Compared to 2019 (52 weeks)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Fiscal Year Ended</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780"/>
              <w:spacing w:after="0"/>
              <w:rPr>
                <w:sz w:val="20"/>
                <w:szCs w:val="20"/>
                <w:color w:val="auto"/>
              </w:rPr>
            </w:pPr>
            <w:r>
              <w:rPr>
                <w:rFonts w:ascii="Arial" w:cs="Arial" w:eastAsia="Arial" w:hAnsi="Arial"/>
                <w:sz w:val="18"/>
                <w:szCs w:val="18"/>
                <w:b w:val="1"/>
                <w:bCs w:val="1"/>
                <w:color w:val="auto"/>
                <w:w w:val="90"/>
              </w:rPr>
              <w:t>Change</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w w:val="90"/>
              </w:rPr>
              <w:t>January 30, 2021</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2"/>
              </w:rPr>
              <w:t>February 1, 2020</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Dollars</w:t>
            </w: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Percent</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5,689,233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4,829,897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859,336</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3,955,188</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3,398,743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556,445</w:t>
            </w:r>
          </w:p>
        </w:tc>
        <w:tc>
          <w:tcPr>
            <w:tcW w:w="3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1,734,045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302,891</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1,313,647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23.1 %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1,251,733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61,914</w:t>
            </w:r>
          </w:p>
        </w:tc>
        <w:tc>
          <w:tcPr>
            <w:tcW w:w="3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420,398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240,977</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134.3 %</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86,514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101,307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(14,793)</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early retirement of debt,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38,683</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c>
          <w:tcPr>
            <w:tcW w:w="3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339,120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216,260</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176.0 %</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30,356</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27,539</w:t>
            </w:r>
          </w:p>
        </w:tc>
        <w:tc>
          <w:tcPr>
            <w:tcW w:w="3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977.6 %</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188,721</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157.2 %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800" w:firstLine="8"/>
        <w:spacing w:after="0" w:line="277" w:lineRule="auto"/>
        <w:tabs>
          <w:tab w:leader="none" w:pos="1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Percentages in table may not sum properly due to rounding. **NM - Not meaningful</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increased $859.3 million, or 17.8%, in 2020 over the prior year. The 17.8% increase was driven primarily by 16.1% of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sales, as well as additional net sales generated by new locations. As of fiscal year end 2020, we had the full benefit of eight stores which were opened during 2019, partially offset by a reduction of sales due to the closure of two locations during 2019. These stores generated additional net sales of $77.7 million, or 1.4% of net sales.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16.1% increase in comparable sales resulted from favorable sales performances across all of our merchandise divisions. The outdoors division increase was primarily driven by strong sales in firearms, ammunition and fishing products. The sports and recreation division sales increased as a result of various products such as fitness equipment and accessories, bikes and barbecues and grills, which were partially offset by declines in team sports. The apparel division increased due to increases in athletic, outdoor and seasonal, and youth apparel divisions, partially offset by declines in sales of licensed apparel resulting from the Astros World Series appearance in the prior year. The footwear division sales increased primarily driven by increases in the athletic and work footwear categories which were partially offset by declines in team sports footwear sales. We</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7" w:name="page58"/>
    <w:bookmarkEnd w:id="57"/>
    <w:p>
      <w:pPr>
        <w:jc w:val="both"/>
        <w:spacing w:after="0" w:line="254" w:lineRule="auto"/>
        <w:rPr>
          <w:sz w:val="20"/>
          <w:szCs w:val="20"/>
          <w:color w:val="auto"/>
        </w:rPr>
      </w:pPr>
      <w:r>
        <w:rPr>
          <w:rFonts w:ascii="Arial" w:cs="Arial" w:eastAsia="Arial" w:hAnsi="Arial"/>
          <w:sz w:val="18"/>
          <w:szCs w:val="18"/>
          <w:color w:val="auto"/>
        </w:rPr>
        <w:t>believe our merchandise division sales continue to be impacted by the COVID-19 pandemic which has caused increases in popularity in our outdoors and sports and recreation merchandise divisions as demand has increased in the merchandise categories that provide customers with isolated recreation, outdoor and leisure activities. Additionally we believe that the substantial increase in e-commerce sales described below and ongoing improvements to our business, such as enhancements to our merchandise planning and allocation capabilities that began in February 2019 and the launch of the Academy Credit Card in May 2019, together with our big-box store format and the implementation of a number of safety measures within our stores in response to COVID-19 that helped facilitate our customers' ability to obtain the products they sought in a safe manner, contributed to the increase in comparable sales during this period.</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E-commerce sales increased $341.3 million, or 138.3%, in 2020 when compared to the prior year, and e-commerce sales represented 10.4% and 5.1% of merchandise sales for 2020 and 2019, respectively. This increase was driven by a change in consumer shopping preferences resulting from the COVID-19 pandemic. Additionally, enhancements to our e-commerce platform, including the introduction of BOPIS at the end of the 2019 second quarter, the rapid development of curbside fulfillment in the 2020 first quarter and the introduction of ship-to-store capabilities during the 2020 third quarter further supported the increase in e-commerce sales.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2020 increased $302.9 million, or 21.2%, when compared to 2019. Our gross margin, as a percentage of net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30.5% in 2020 compared to 29.6% in 2019, an increase of 90 basis points. This increase is primarily due to:</w:t>
      </w:r>
    </w:p>
    <w:p>
      <w:pPr>
        <w:spacing w:after="0" w:line="19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112 basis points of favorability in merchandise margins due to less clearance activity and lower markdowns from the prior year;</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53 basis points of favorability in inventory overhead expenditures as a result of lower expense absorption rates from higher current year inventory turnover and less expenses capitalized during the first half of 2020. The lower capitalized expenses relative to the prior year is driven by temporary workforce furloughs and wage cuts during the first half of 2020; partially offset by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45 basis points of unfavorability due to a higher merchandise valuation benefit in the prior year from sell through of previously marked down merchandise related to a large prior year sales event, and</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44 basis points of unfavorability as a result of decreased vendor allowances including new store allowances.</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$61.9 million, or 4.9%, to $1,313.6 million in 2020 from $1,251.7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2019. As a percentage of net sales, SG&amp;A expenses were down 2.8% to 23.1% in 2020 compared to 25.9% in 2019. The decrease of 280 basis points in SG&amp;A is primarily attributable to:</w:t>
      </w:r>
    </w:p>
    <w:p>
      <w:pPr>
        <w:spacing w:after="0" w:line="21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155 basis point decrease in property and facility fees as a result of leveraging costs on increased sales and decreased depreciation costs;</w:t>
      </w:r>
    </w:p>
    <w:p>
      <w:pPr>
        <w:spacing w:after="0" w:line="34" w:lineRule="exact"/>
        <w:rPr>
          <w:rFonts w:ascii="Arial" w:cs="Arial" w:eastAsia="Arial" w:hAnsi="Arial"/>
          <w:sz w:val="17"/>
          <w:szCs w:val="17"/>
          <w:color w:val="auto"/>
        </w:rPr>
      </w:pPr>
    </w:p>
    <w:p>
      <w:pPr>
        <w:ind w:left="660" w:hanging="328"/>
        <w:spacing w:after="0" w:line="25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79 basis point decrease in advertising as a result of favorable leveraging of costs on increased sales and reduced marketing and promotional activities; and</w:t>
      </w: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56 basis point decrease in employee costs, primarily driven by leveraging of costs on increased sales as well as decreased costs in the first quarter</w:t>
      </w:r>
    </w:p>
    <w:p>
      <w:pPr>
        <w:spacing w:after="0" w:line="32" w:lineRule="exact"/>
        <w:rPr>
          <w:sz w:val="20"/>
          <w:szCs w:val="20"/>
          <w:color w:val="auto"/>
        </w:rPr>
      </w:pPr>
    </w:p>
    <w:p>
      <w:pPr>
        <w:jc w:val="both"/>
        <w:ind w:left="660"/>
        <w:spacing w:after="0" w:line="250" w:lineRule="auto"/>
        <w:rPr>
          <w:sz w:val="20"/>
          <w:szCs w:val="20"/>
          <w:color w:val="auto"/>
        </w:rPr>
      </w:pPr>
      <w:r>
        <w:rPr>
          <w:rFonts w:ascii="Arial" w:cs="Arial" w:eastAsia="Arial" w:hAnsi="Arial"/>
          <w:sz w:val="18"/>
          <w:szCs w:val="18"/>
          <w:color w:val="auto"/>
        </w:rPr>
        <w:t>of 2020 resulting from temporary salary cuts and furloughs in response to the COVID-19 pandemic, partially offset by increased incentive compensation expense and incremental expenses resulting from the expensing of certain share-based awards in connection with the completion of the IPO.</w:t>
      </w:r>
    </w:p>
    <w:p>
      <w:pPr>
        <w:spacing w:after="0" w:line="1"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b w:val="1"/>
          <w:bCs w:val="1"/>
          <w:i w:val="1"/>
          <w:iCs w:val="1"/>
          <w:color w:val="auto"/>
        </w:rPr>
        <w:t xml:space="preserve">Gain on early retirement of debt, net. </w:t>
      </w:r>
      <w:r>
        <w:rPr>
          <w:rFonts w:ascii="Arial" w:cs="Arial" w:eastAsia="Arial" w:hAnsi="Arial"/>
          <w:sz w:val="18"/>
          <w:szCs w:val="18"/>
          <w:color w:val="auto"/>
        </w:rPr>
        <w:t>Gain on early retirement of debt, net decreased $38.7 million, or 91.5%, to $3.6 million from $42.3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During the second quarter of 2020, we repurchased $23.9 million in principal on the Term Loan (see Note 4 to the consolidated financial statements), which was trading at a discount, in open market transactions for $16.0 million and recognized a net gain of $7.8 million. Additionally, during the fourth quarter of 2020, the Refinancing Transactions (see Note 4 to the consolidated financial statements) resulted in a loss on early retirement of debt of $4.2 million. During 2019, we repurchased $147.7 million in principal on the Term Loan, which was trading at a discount in open market transactions for $104.6 million and recognized a net gain of $42.3 million.</w:t>
      </w:r>
    </w:p>
    <w:p>
      <w:pPr>
        <w:spacing w:after="0" w:line="22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$14.8 million, or 14.6%, to $86.5 million in 2020 from $101.3 million in 2019 resulting primarily from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lower outstanding balance on our Term Loan as a result of the Refinancing Transactions and principal repurchases during the current year.</w:t>
      </w:r>
    </w:p>
    <w:p>
      <w:pPr>
        <w:spacing w:after="0" w:line="17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decreased $0.8 million in 2020 when compared with 2019 caused by a portion of the underlying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flows related to $100.0 million of swap notional principal amount which were no longer probable of occurring and resulted in the immediate recognition of $1.3 million of expense.</w:t>
      </w:r>
    </w:p>
    <w:p>
      <w:pPr>
        <w:spacing w:after="0" w:line="200" w:lineRule="exact"/>
        <w:rPr>
          <w:sz w:val="20"/>
          <w:szCs w:val="20"/>
          <w:color w:val="auto"/>
        </w:rPr>
      </w:pP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8" w:name="page59"/>
    <w:bookmarkEnd w:id="58"/>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increased $27.5 million to an income tax expense of $30.4 million in 2020 as compared to $2.8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As a result of the Reorganization Transactions, which occurred on October 1, 2020, ASO, Inc. became subject to U.S. federal income taxes and is being taxed at the prevailing corporate rates.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Adjusted EBITDA, Adjusted Net Income, Pro Forma Adjusted Net Income, Pro Forma Adjusted Earnings per Share and Adjusted Free Cash Flow, as shown below, have been presented in this Annual Report as supplemental measures of financial performance that are not required by, or presented in accordance with GAAP. We define Adjusted EBITDA as net income (loss) before interest expense, net, income tax expense and depreciation, amortization and impairment, further adjusted to exclude consulting fees, private equity sponsor monitoring fees, equity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as net income (loss), plus consulting fees, private equity sponsor monitoring fees, equity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by reconciling net income (loss) to Adjusted Net Income, Pro Forma Adjusted Net Income and Pro Forma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3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believe Adjusted EBITDA, Adjusted Net Income, Pro Forma Adjusted Net Income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Pro Forma Adjusted Net Income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Pro Forma Adjusted Net Income,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Net Income, Pro Forma Adjusted Net Income,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Pro Forma Adjusted Net Income and Pro Forma Adjusted Earnings per Share should not be construed to imply that our future results will be unaffected by unusual or non-recurring items. In evaluating Adjusted EBITDA, Adjusted Net Income, Pro Forma Adjusted Net Income, Pro Forma Adjusted Earnings per Share and Adjusted Free Cash Flow, you should be aware that in the future we may incur expenses that are the same as or similar to some of the adjustments in this presentation. Our presentation of Adjusted EBITDA, Adjusted Net Income, Pro Forma Adjusted Net Income, Pro Forma Adjusted Earnings per Share and Adjusted Free Cash Flow should not be construed to imply that our future results will be unaffected by any such adjustments.</w:t>
      </w: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Adjusted EBITDA, Adjusted Net Income, Pro Forma Adjusted Net Income,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30" w:lineRule="exact"/>
        <w:rPr>
          <w:sz w:val="20"/>
          <w:szCs w:val="20"/>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Adjusted Net Income, Pro Forma Adjusted Net Income and Pro Forma Adjusted Earnings per Share do not reflect costs or cash outlays for capital expenditures or contractual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Adjusted Net Income, Pro Forma Adjusted Net Income and Pro Forma Adjusted Earnings per Share do not reflect changes in, or cash requirements for, our working capital needs;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Adjusted EBITDA does not reflect period to period changes in taxes, income tax expense or the cash necessary to pay income taxes;</w:t>
      </w:r>
    </w:p>
    <w:p>
      <w:pPr>
        <w:spacing w:after="0" w:line="7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EBITDA, Adjusted Net Income, Pro Forma Adjusted Net Income and Pro Forma Adjusted Earnings per Share do not reflect the impact of earnings or charges resulting from matters we consider not to be indicative of our ongoing operations;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of these limitations, Adjusted EBITDA, Adjusted Net Income, Pro Forma Adjusted Net Income, Pro Forma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Net Income, Pro Forma Adjusted Net Income, Pro Forma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reconciliations of net income (loss) to Adjusted EBITDA for the periods presented (amounts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2020</w:t>
            </w:r>
          </w:p>
        </w:tc>
        <w:tc>
          <w:tcPr>
            <w:tcW w:w="180" w:type="dxa"/>
            <w:vAlign w:val="bottom"/>
          </w:tcPr>
          <w:p>
            <w:pPr>
              <w:spacing w:after="0"/>
              <w:rPr>
                <w:sz w:val="19"/>
                <w:szCs w:val="19"/>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2019</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86,514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101,307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108,652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105,481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117,254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134,190</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Consulting fees (a)</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14,793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(c)</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(42,265)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17,632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Inventory write-down adjustments associated with strategic merchandising</w:t>
            </w:r>
          </w:p>
        </w:tc>
        <w:tc>
          <w:tcPr>
            <w:tcW w:w="160" w:type="dxa"/>
            <w:vAlign w:val="bottom"/>
            <w:shd w:val="clear" w:color="auto" w:fill="CCEEFF"/>
          </w:tcPr>
          <w:p>
            <w:pPr>
              <w:spacing w:after="0"/>
              <w:rPr>
                <w:sz w:val="15"/>
                <w:szCs w:val="15"/>
                <w:color w:val="auto"/>
              </w:rPr>
            </w:pPr>
          </w:p>
        </w:tc>
        <w:tc>
          <w:tcPr>
            <w:tcW w:w="1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1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18,225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initiative (f)</w:t>
            </w:r>
          </w:p>
        </w:tc>
        <w:tc>
          <w:tcPr>
            <w:tcW w:w="160" w:type="dxa"/>
            <w:vAlign w:val="bottom"/>
            <w:shd w:val="clear" w:color="auto" w:fill="CCEEFF"/>
          </w:tcPr>
          <w:p>
            <w:pPr>
              <w:spacing w:after="0"/>
              <w:rPr>
                <w:sz w:val="19"/>
                <w:szCs w:val="19"/>
                <w:color w:val="auto"/>
              </w:rPr>
            </w:pPr>
          </w:p>
        </w:tc>
        <w:tc>
          <w:tcPr>
            <w:tcW w:w="17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(g)</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40"/>
              <w:spacing w:after="0" w:line="196" w:lineRule="exact"/>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607,023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322,814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300,259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440" w:hanging="41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440" w:hanging="41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our contractual payments under the Monitoring Agreement. See Note 14 to the consolidated financial statements.</w:t>
      </w:r>
    </w:p>
    <w:p>
      <w:pPr>
        <w:spacing w:after="0" w:line="22" w:lineRule="exact"/>
        <w:rPr>
          <w:rFonts w:ascii="Arial" w:cs="Arial" w:eastAsia="Arial" w:hAnsi="Arial"/>
          <w:sz w:val="18"/>
          <w:szCs w:val="18"/>
          <w:color w:val="auto"/>
        </w:rPr>
      </w:pPr>
    </w:p>
    <w:p>
      <w:pPr>
        <w:ind w:left="440" w:right="20" w:hanging="414"/>
        <w:spacing w:after="0" w:line="234"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 w:lineRule="exact"/>
        <w:rPr>
          <w:rFonts w:ascii="Arial" w:cs="Arial" w:eastAsia="Arial" w:hAnsi="Arial"/>
          <w:sz w:val="18"/>
          <w:szCs w:val="18"/>
          <w:color w:val="auto"/>
        </w:rPr>
      </w:pPr>
    </w:p>
    <w:p>
      <w:pPr>
        <w:ind w:left="440" w:hanging="414"/>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440" w:right="20" w:hanging="414"/>
        <w:spacing w:after="0" w:line="232" w:lineRule="auto"/>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ind w:left="440" w:right="20" w:hanging="414"/>
        <w:spacing w:after="0" w:line="234"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spacing w:after="0" w:line="14" w:lineRule="exact"/>
        <w:rPr>
          <w:rFonts w:ascii="Arial" w:cs="Arial" w:eastAsia="Arial" w:hAnsi="Arial"/>
          <w:sz w:val="18"/>
          <w:szCs w:val="18"/>
          <w:color w:val="auto"/>
        </w:rPr>
      </w:pPr>
    </w:p>
    <w:p>
      <w:pPr>
        <w:jc w:val="both"/>
        <w:ind w:left="440" w:right="20" w:hanging="414"/>
        <w:spacing w:after="0" w:line="243"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net income to Adjusted Net Income, Pro Forma Adjusted Net Income and Pro Forma Adjusted Earnings per Share for the periods presented (amounts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6"/>
              </w:rPr>
              <w:t>Fiscal Year Ended</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2020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2019</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Consulting fees (a)</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3,601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equity sponsor monitoring fee (b)</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Equity compensation (c)</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31,617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7,881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early extinguishment of debt, net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Severance and executive transition costs (d)</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6,571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4,350</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the COVID-19 pandemic (e)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500" w:type="dxa"/>
            <w:vAlign w:val="bottom"/>
          </w:tcPr>
          <w:p>
            <w:pPr>
              <w:ind w:left="20"/>
              <w:spacing w:after="0" w:line="176" w:lineRule="exact"/>
              <w:rPr>
                <w:sz w:val="20"/>
                <w:szCs w:val="20"/>
                <w:color w:val="auto"/>
              </w:rPr>
            </w:pPr>
            <w:r>
              <w:rPr>
                <w:rFonts w:ascii="Arial" w:cs="Arial" w:eastAsia="Arial" w:hAnsi="Arial"/>
                <w:sz w:val="18"/>
                <w:szCs w:val="18"/>
                <w:color w:val="auto"/>
              </w:rPr>
              <w:t>Inventory write-down adjustments associated with strategic</w:t>
            </w:r>
          </w:p>
        </w:tc>
        <w:tc>
          <w:tcPr>
            <w:tcW w:w="180" w:type="dxa"/>
            <w:vAlign w:val="bottom"/>
          </w:tcPr>
          <w:p>
            <w:pPr>
              <w:spacing w:after="0"/>
              <w:rPr>
                <w:sz w:val="15"/>
                <w:szCs w:val="15"/>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18,225</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merchandising initiative (f)</w:t>
            </w:r>
          </w:p>
        </w:tc>
        <w:tc>
          <w:tcPr>
            <w:tcW w:w="1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 effects of these adjustments (h)</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Net Income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101,469</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55,405</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Estimated tax effect of change to C-Corporation status (i)</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(25,542)</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(14,067)</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 Forma Adjusted 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75,927</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Adjusted Earnings per Share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1.05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72,432</w:t>
            </w:r>
          </w:p>
        </w:tc>
        <w:tc>
          <w:tcPr>
            <w:tcW w:w="0" w:type="dxa"/>
            <w:vAlign w:val="bottom"/>
          </w:tcPr>
          <w:p>
            <w:pPr>
              <w:spacing w:after="0"/>
              <w:rPr>
                <w:sz w:val="1"/>
                <w:szCs w:val="1"/>
                <w:color w:val="auto"/>
              </w:rPr>
            </w:pPr>
          </w:p>
        </w:tc>
      </w:tr>
      <w:tr>
        <w:trPr>
          <w:trHeight w:val="227"/>
        </w:trPr>
        <w:tc>
          <w:tcPr>
            <w:tcW w:w="5500" w:type="dxa"/>
            <w:vAlign w:val="bottom"/>
          </w:tcPr>
          <w:p>
            <w:pPr>
              <w:ind w:left="240"/>
              <w:spacing w:after="0" w:line="228"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81,431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74,795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75,198</w:t>
            </w:r>
          </w:p>
        </w:tc>
        <w:tc>
          <w:tcPr>
            <w:tcW w:w="0" w:type="dxa"/>
            <w:vAlign w:val="bottom"/>
          </w:tcPr>
          <w:p>
            <w:pPr>
              <w:spacing w:after="0"/>
              <w:rPr>
                <w:sz w:val="1"/>
                <w:szCs w:val="1"/>
                <w:color w:val="auto"/>
              </w:rPr>
            </w:pPr>
          </w:p>
        </w:tc>
      </w:tr>
    </w:tbl>
    <w:p>
      <w:pPr>
        <w:ind w:left="160" w:hanging="134"/>
        <w:spacing w:after="0" w:line="233" w:lineRule="auto"/>
        <w:tabs>
          <w:tab w:leader="none" w:pos="16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See Retrospective Presentation of Ownership Exchange in Note 2 to the financial statements.</w:t>
      </w:r>
    </w:p>
    <w:p>
      <w:pPr>
        <w:spacing w:after="0" w:line="120" w:lineRule="exact"/>
        <w:rPr>
          <w:sz w:val="20"/>
          <w:szCs w:val="20"/>
          <w:color w:val="auto"/>
        </w:rPr>
      </w:pPr>
    </w:p>
    <w:p>
      <w:pPr>
        <w:ind w:left="440" w:hanging="41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440" w:hanging="41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our contractual payments under the Monitoring Agreement. See Note 14 to the consolidated financial statements.</w:t>
      </w:r>
    </w:p>
    <w:p>
      <w:pPr>
        <w:spacing w:after="0" w:line="22" w:lineRule="exact"/>
        <w:rPr>
          <w:rFonts w:ascii="Arial" w:cs="Arial" w:eastAsia="Arial" w:hAnsi="Arial"/>
          <w:sz w:val="18"/>
          <w:szCs w:val="18"/>
          <w:color w:val="auto"/>
        </w:rPr>
      </w:pPr>
    </w:p>
    <w:p>
      <w:pPr>
        <w:ind w:left="440" w:right="20" w:hanging="414"/>
        <w:spacing w:after="0" w:line="234"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spacing w:after="0" w:line="1" w:lineRule="exact"/>
        <w:rPr>
          <w:rFonts w:ascii="Arial" w:cs="Arial" w:eastAsia="Arial" w:hAnsi="Arial"/>
          <w:sz w:val="18"/>
          <w:szCs w:val="18"/>
          <w:color w:val="auto"/>
        </w:rPr>
      </w:pPr>
    </w:p>
    <w:p>
      <w:pPr>
        <w:ind w:left="440" w:hanging="41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22" w:lineRule="exact"/>
        <w:rPr>
          <w:rFonts w:ascii="Arial" w:cs="Arial" w:eastAsia="Arial" w:hAnsi="Arial"/>
          <w:sz w:val="18"/>
          <w:szCs w:val="18"/>
          <w:color w:val="auto"/>
        </w:rPr>
      </w:pPr>
    </w:p>
    <w:p>
      <w:pPr>
        <w:jc w:val="both"/>
        <w:ind w:left="440" w:right="20" w:hanging="414"/>
        <w:spacing w:after="0" w:line="232"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 These costs were no longer added back beginning in the third quarter of 2020.</w:t>
      </w:r>
    </w:p>
    <w:p>
      <w:pPr>
        <w:ind w:left="440" w:right="20" w:hanging="414"/>
        <w:spacing w:after="0" w:line="234"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spacing w:after="0" w:line="1" w:lineRule="exact"/>
        <w:rPr>
          <w:rFonts w:ascii="Arial" w:cs="Arial" w:eastAsia="Arial" w:hAnsi="Arial"/>
          <w:sz w:val="18"/>
          <w:szCs w:val="18"/>
          <w:color w:val="auto"/>
        </w:rPr>
      </w:pPr>
    </w:p>
    <w:p>
      <w:pPr>
        <w:jc w:val="both"/>
        <w:ind w:left="440" w:right="20" w:hanging="414"/>
        <w:spacing w:after="0" w:line="219"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ind w:left="440" w:hanging="414"/>
        <w:spacing w:after="0"/>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made to arrive at Adjusted Net Income at our historical tax rate.</w:t>
      </w:r>
    </w:p>
    <w:p>
      <w:pPr>
        <w:spacing w:after="0" w:line="22" w:lineRule="exact"/>
        <w:rPr>
          <w:rFonts w:ascii="Arial" w:cs="Arial" w:eastAsia="Arial" w:hAnsi="Arial"/>
          <w:sz w:val="18"/>
          <w:szCs w:val="18"/>
          <w:color w:val="auto"/>
        </w:rPr>
      </w:pPr>
    </w:p>
    <w:p>
      <w:pPr>
        <w:ind w:left="440" w:right="20" w:hanging="414"/>
        <w:spacing w:after="0" w:line="257" w:lineRule="auto"/>
        <w:tabs>
          <w:tab w:leader="none" w:pos="4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2020</w:t>
            </w:r>
          </w:p>
        </w:tc>
        <w:tc>
          <w:tcPr>
            <w:tcW w:w="180" w:type="dxa"/>
            <w:vAlign w:val="bottom"/>
          </w:tcPr>
          <w:p>
            <w:pPr>
              <w:spacing w:after="0"/>
              <w:rPr>
                <w:sz w:val="19"/>
                <w:szCs w:val="19"/>
                <w:color w:val="auto"/>
              </w:rPr>
            </w:pPr>
          </w:p>
        </w:tc>
        <w:tc>
          <w:tcPr>
            <w:tcW w:w="164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February 2, 2019</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1,011,597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8"/>
              </w:rPr>
              <w:t>263,669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198,481</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(33,144)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92"/>
              </w:rPr>
              <w:t>(66,783)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(99,027)</w:t>
            </w:r>
          </w:p>
        </w:tc>
      </w:tr>
      <w:tr>
        <w:trPr>
          <w:trHeight w:val="248"/>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978,453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8"/>
              </w:rPr>
              <w:t>196,886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99,454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23"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generated from operating activities;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issuances of debt securities;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borrowings under our term loan and ABL credit facilities.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23" w:lineRule="exact"/>
        <w:rPr>
          <w:sz w:val="20"/>
          <w:szCs w:val="20"/>
          <w:color w:val="auto"/>
        </w:rPr>
      </w:pPr>
    </w:p>
    <w:p>
      <w:pPr>
        <w:ind w:left="980" w:hanging="324"/>
        <w:spacing w:after="0" w:line="250"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used for operating activities such as the purchase and growth of inventory, expansion of our sales and marketing activities and other working capital needs;</w:t>
      </w:r>
    </w:p>
    <w:p>
      <w:pPr>
        <w:ind w:left="980" w:hanging="324"/>
        <w:spacing w:after="0" w:line="250"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used for capital improvements and support of expansion plans, as well as various investments in store renovations, store fixtures and on-going infrastructure improvements;</w:t>
      </w: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used to pay our debt obligations and related interest expense;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cash used to pay partnership distributions to our members;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30, 2021, our cash and cash equivalents totaled $377.6 million.</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focused on navigating the recent challenges presented by COVID-19 through the preservation of our long-term liquidity and management of cash flow through preemptive actions to enhance our ability to meet our short-term liquidity needs. During 2020, we took various cost cutting measures to maximize operational cash flows (see "Impact of COVID-19 on Our Business" in the section of this Annual Report entitled Management's Discussion &amp; Analysis). Such actions included, but were not limited to, drawing down $500 million on our ABL Facility (as defined below) in March 2020 as a precautionary measure to ensure financial flexibility and maximize liquidity, reduction of discretionary spending, deferring or cancelling our planned expenses, revisiting and reprioritizing our strategic investments, and reducing our payroll costs, including temporary team member furloughs, workforce reductions and pay cuts.</w:t>
      </w:r>
    </w:p>
    <w:p>
      <w:pPr>
        <w:spacing w:after="0" w:line="14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NAHC's members. Related cash payments of $21.0 million to vested share-based award holders were paid through January 30, 2021 and an additional $11.2 million of payments will be made to unvested share-based award holders as the related awards vest (see "Distribution" in Note 9 to the financial statements included in this Annual Report).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6, 2020, we completed our IPO in which we issued and sold 15,625,000 shares of common stock, $0.01 par value, to the IPO underwriters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such as legal and accounting fees (see "Initial Public Offering, Over-Allotment Exercise and Reorganization Transactions" in Note 1 to the financial statements included in this Annual Report). The shares sold in the offering were registered under the Securities Act of 1933, as amended, pursuant to our registration statement on Form S-1 (File No. 333-248683, which was declared effective by the Securities and Exchange Commission on October 1, 2020).</w:t>
      </w:r>
    </w:p>
    <w:p>
      <w:pPr>
        <w:spacing w:after="0" w:line="2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3" w:name="page64"/>
    <w:bookmarkEnd w:id="63"/>
    <w:p>
      <w:pPr>
        <w:jc w:val="both"/>
        <w:ind w:firstLine="324"/>
        <w:spacing w:after="0" w:line="273" w:lineRule="auto"/>
        <w:rPr>
          <w:sz w:val="20"/>
          <w:szCs w:val="20"/>
          <w:color w:val="auto"/>
        </w:rPr>
      </w:pPr>
      <w:r>
        <w:rPr>
          <w:rFonts w:ascii="Arial" w:cs="Arial" w:eastAsia="Arial" w:hAnsi="Arial"/>
          <w:sz w:val="17"/>
          <w:szCs w:val="17"/>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(see "Initial Public Offering, Over-Allotment Exercise and Reorganization Transactions" in Note 1 to the financial statements included in this Annual Report), which included $0.3 million paid to KCM, for underwriting services, pursuant to the partial exercise by the underwriters of their option to purchase up to 2,343,750 additional shares to cover over-allotments in connection with our IPO. The option has expired with respect to the remaining shares.</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On November 6, 2020, the Company (1) issued $400.0 million of 6.00% senior secured notes (the "Notes"), which are due November 15, 2027, (2) entered into a $400.0 million first lien term loan facility (the "2020 Term Loan Facility", the 2015 Term Loan Facility and the 2020 Term Loan Facility are collectively referred to as the "Term Loan Facility"), which is due November 6, 2027 and (3) extended the maturity of Academy, Ltd.’s asset-based revolving credit facility thereunder to November 6, 2025 (as extended, the "2020 ABL Facility", the 2015 ABL Facility and the 2020 ABL Facility are collectively referred to as the "ABL Facility"). We used the net proceeds from the Notes and the net proceeds from the Term Loan Facility, together with cash on hand, to repay in full our existing term loan, in the amount of $1,431.4 million (see Note 4 to the consolidated financial statements).</w:t>
      </w:r>
    </w:p>
    <w:p>
      <w:pPr>
        <w:spacing w:after="0" w:line="19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to use existing cash balances, internally generated cash flows, and available borrowings under the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2020 was ample to support our operations and service our requirements. On June 25, 2020, we completed repaying the $500 million draw on the ABL Facility.</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340" w:type="dxa"/>
            <w:vAlign w:val="bottom"/>
            <w:gridSpan w:val="4"/>
          </w:tcPr>
          <w:p>
            <w:pPr>
              <w:ind w:left="320"/>
              <w:spacing w:after="0"/>
              <w:rPr>
                <w:sz w:val="20"/>
                <w:szCs w:val="20"/>
                <w:color w:val="auto"/>
              </w:rPr>
            </w:pPr>
            <w:r>
              <w:rPr>
                <w:rFonts w:ascii="Arial" w:cs="Arial" w:eastAsia="Arial" w:hAnsi="Arial"/>
                <w:sz w:val="18"/>
                <w:szCs w:val="18"/>
                <w:color w:val="auto"/>
              </w:rPr>
              <w:t>Liquidity information related to the ABL Facility is as follows for the periods shown (dollar amounts in thousands):</w:t>
            </w: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7"/>
        </w:trPr>
        <w:tc>
          <w:tcPr>
            <w:tcW w:w="73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64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200" w:type="dxa"/>
            <w:vAlign w:val="bottom"/>
          </w:tcPr>
          <w:p>
            <w:pPr>
              <w:spacing w:after="0"/>
              <w:rPr>
                <w:sz w:val="19"/>
                <w:szCs w:val="19"/>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February 1, 2020</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funds drawn</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29,593</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Number of days with outstanding balance</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Maximum daily amount outstanding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147,100</w:t>
            </w:r>
          </w:p>
        </w:tc>
      </w:tr>
      <w:tr>
        <w:trPr>
          <w:trHeight w:val="234"/>
        </w:trPr>
        <w:tc>
          <w:tcPr>
            <w:tcW w:w="7380" w:type="dxa"/>
            <w:vAlign w:val="bottom"/>
          </w:tcPr>
          <w:p>
            <w:pPr>
              <w:ind w:left="20"/>
              <w:spacing w:after="0"/>
              <w:rPr>
                <w:sz w:val="20"/>
                <w:szCs w:val="20"/>
                <w:color w:val="auto"/>
              </w:rPr>
            </w:pPr>
            <w:r>
              <w:rPr>
                <w:rFonts w:ascii="Arial" w:cs="Arial" w:eastAsia="Arial" w:hAnsi="Arial"/>
                <w:sz w:val="18"/>
                <w:szCs w:val="18"/>
                <w:color w:val="auto"/>
              </w:rPr>
              <w:t>Minimum available borrowing capacity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161,089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771,750</w:t>
            </w:r>
          </w:p>
        </w:tc>
      </w:tr>
      <w:tr>
        <w:trPr>
          <w:trHeight w:val="562"/>
        </w:trPr>
        <w:tc>
          <w:tcPr>
            <w:tcW w:w="7380" w:type="dxa"/>
            <w:vAlign w:val="bottom"/>
          </w:tcPr>
          <w:p>
            <w:pPr>
              <w:ind w:left="320"/>
              <w:spacing w:after="0"/>
              <w:rPr>
                <w:sz w:val="20"/>
                <w:szCs w:val="20"/>
                <w:color w:val="auto"/>
              </w:rPr>
            </w:pPr>
            <w:r>
              <w:rPr>
                <w:rFonts w:ascii="Arial" w:cs="Arial" w:eastAsia="Arial" w:hAnsi="Arial"/>
                <w:sz w:val="18"/>
                <w:szCs w:val="18"/>
                <w:color w:val="auto"/>
              </w:rPr>
              <w:t>Liquidity information related to the ABL Facility (amounts in thousands) as of:</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56"/>
        </w:trPr>
        <w:tc>
          <w:tcPr>
            <w:tcW w:w="7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200" w:type="dxa"/>
            <w:vAlign w:val="bottom"/>
          </w:tcPr>
          <w:p>
            <w:pPr>
              <w:spacing w:after="0"/>
              <w:rPr>
                <w:sz w:val="22"/>
                <w:szCs w:val="22"/>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February 1, 2020</w:t>
            </w:r>
          </w:p>
        </w:tc>
      </w:tr>
      <w:tr>
        <w:trPr>
          <w:trHeight w:val="22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borrowings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Outstanding letters of credit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20,112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15,927</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borrowing capacity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718,763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827,404</w:t>
            </w:r>
          </w:p>
        </w:tc>
      </w:tr>
    </w:tbl>
    <w:p>
      <w:pPr>
        <w:spacing w:after="0" w:line="3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We expect capital expenditures for fiscal year 2021 to be approximately $80.0 million. Approximately 50% of the planned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outflow relates to corporate, e-commerce and information technology programs. Investments in existing stores and distribution centers is expected to account for approximately 40% of the planned cash outflow and the remaining 10% is expected to be utilized through investments in new stores and store relocations.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Cash Flows for 2020, 2019 and 2018: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statements of cash flows are summarized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r>
      <w:tr>
        <w:trPr>
          <w:trHeight w:val="223"/>
        </w:trPr>
        <w:tc>
          <w:tcPr>
            <w:tcW w:w="5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1, 2020</w:t>
            </w:r>
          </w:p>
        </w:tc>
        <w:tc>
          <w:tcPr>
            <w:tcW w:w="180" w:type="dxa"/>
            <w:vAlign w:val="bottom"/>
          </w:tcPr>
          <w:p>
            <w:pPr>
              <w:spacing w:after="0"/>
              <w:rPr>
                <w:sz w:val="19"/>
                <w:szCs w:val="19"/>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7"/>
              </w:rPr>
              <w:t>February 2, 2019</w:t>
            </w: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1,011,597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263,669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198,481</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(33,144)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(66,783)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(99,027)</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(750,234)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(54,808)</w:t>
            </w:r>
          </w:p>
        </w:tc>
      </w:tr>
      <w:tr>
        <w:trPr>
          <w:trHeight w:val="223"/>
        </w:trPr>
        <w:tc>
          <w:tcPr>
            <w:tcW w:w="544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228,219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44,646</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are seasonal in our business. Typically, cash flows from operations are used to build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in advance of peak selling seasons, with the fourth quarter pre-holiday inventory increase being the most significant.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provided by operating activities in 2020 increased $747.9 million compared to 2019. This increase is attributable to:</w:t>
      </w:r>
    </w:p>
    <w:p>
      <w:pPr>
        <w:spacing w:after="0" w:line="25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$495.5 million net increase in cash flows provided by operating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$188.7 million increase in net income;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$63.7 million net increase in non-cash charges.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cash flows from operating assets and liabilities was primarily attributable to:</w:t>
      </w:r>
    </w:p>
    <w:p>
      <w:pPr>
        <w:spacing w:after="0" w:line="252"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$364.4 million increase in accounts payable related to increased inventory receipts in the recent months and extensions of vendor payment terms;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$75.1 million decrease in merchandise inventories, net due to inventory reductions from high sell through in the current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$36.8 million increase in accrued expenses and other liabilities primarily due to increased incentive compensation accruals.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from non-cash charges was primarily caused by:</w:t>
      </w:r>
    </w:p>
    <w:p>
      <w:pPr>
        <w:spacing w:after="0" w:line="25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$38.7 million decrease in non-cash gains on the early retirement of debt, net; and</w:t>
      </w:r>
    </w:p>
    <w:p>
      <w:pPr>
        <w:spacing w:after="0" w:line="23" w:lineRule="exact"/>
        <w:rPr>
          <w:rFonts w:ascii="Arial" w:cs="Arial" w:eastAsia="Arial" w:hAnsi="Arial"/>
          <w:sz w:val="18"/>
          <w:szCs w:val="18"/>
          <w:color w:val="auto"/>
        </w:rPr>
      </w:pPr>
    </w:p>
    <w:p>
      <w:pPr>
        <w:ind w:left="660" w:right="20" w:hanging="328"/>
        <w:spacing w:after="0" w:line="290"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color w:val="auto"/>
        </w:rPr>
        <w:t>$23.7 million increase in equity compensation expense, which includes approximately $19.9 million of equity compensation associated with the expensing of certain outstanding restricted stock units as a result of the liquidity condition being achieved upon completion of our IPO.</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Cash used in investing activities decreased $33.6 million in 2020 compared to 2019. The decrease in cash used in investing activities is primarily related to:</w:t>
      </w:r>
    </w:p>
    <w:p>
      <w:pPr>
        <w:spacing w:after="0" w:line="197" w:lineRule="exact"/>
        <w:rPr>
          <w:sz w:val="20"/>
          <w:szCs w:val="20"/>
          <w:color w:val="auto"/>
        </w:rPr>
      </w:pPr>
    </w:p>
    <w:p>
      <w:pPr>
        <w:ind w:left="660" w:hanging="328"/>
        <w:spacing w:after="0" w:line="258"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$21.5 million less capital expenditures due to a planned overall reduction in the year 2020 led by reduction in new stores and store remodeling; and</w:t>
      </w:r>
    </w:p>
    <w:p>
      <w:pPr>
        <w:spacing w:after="0" w:line="1" w:lineRule="exact"/>
        <w:rPr>
          <w:rFonts w:ascii="Arial" w:cs="Arial" w:eastAsia="Arial" w:hAnsi="Arial"/>
          <w:sz w:val="18"/>
          <w:szCs w:val="18"/>
          <w:color w:val="auto"/>
        </w:rPr>
      </w:pPr>
    </w:p>
    <w:p>
      <w:pPr>
        <w:ind w:left="660" w:right="40" w:hanging="328"/>
        <w:spacing w:after="0" w:line="260"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$12.1 million increase related to cash proceeds as a result of repayment of notes receivable from one NAHC member during 2020 compared to the cash outflow related to the issuance of a note receivable to one NAHC member in 2019.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used in financing activities increased $627.0 million in the 2020, compared to 2019. The primary drivers of the increase were:</w:t>
      </w:r>
    </w:p>
    <w:p>
      <w:pPr>
        <w:spacing w:after="0" w:line="279"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$1,338.3 million increase in cash outflows related to the repayment of the 2015 Term Loan as part of the Refinancing Transactions;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$278.0 million increase in cash outflow resulting from a distribution to NAHC's members and related share-based award payments which occurred in 2020; partially offset by</w:t>
      </w:r>
    </w:p>
    <w:p>
      <w:pPr>
        <w:ind w:left="660" w:right="80" w:hanging="328"/>
        <w:spacing w:after="0" w:line="25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$781.9 million of net proceeds resulting from the issuance of the Notes and the 2020 Term Loan in connection with the Refinancing Transactions; and</w:t>
      </w:r>
    </w:p>
    <w:p>
      <w:pPr>
        <w:ind w:left="660" w:right="120" w:hanging="328"/>
        <w:spacing w:after="0" w:line="260"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$207.0 million of net proceeds from the issuance of common stock in connection with the completion of our IPO and subsequent Over-Allotment Exercise.</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Future Liquidity</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We expect to use existing cash balances, internally generated cash flows and borrowings under our ABL Facility to fulfill anticipated obligations such as capital expenditures, working capital needs and scheduled debt maturities over at least the next twelve months. As of January 30, 2021, we had $718.8 million of available capacity under our ABL Facility and $377.6 million of cash and cash equivalents.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our significant contractual obligations and commercial commitments as of January 30, 2021 (amounts in thousands):</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Less than 1 Year</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1 - 3 Years</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5"/>
              </w:rPr>
              <w:t>3 - 5 Years</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More than 5 Years</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Term Loan interest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156,846</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22,895</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45,099</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44,949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43,903</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Notes interest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168,000</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48,000</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48,000</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1,983,237</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196,948</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382,225</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351,789</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1,052,275</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4"/>
              </w:rPr>
              <w:t xml:space="preserve">Technology related commitments and other </w:t>
            </w:r>
            <w:r>
              <w:rPr>
                <w:rFonts w:ascii="Arial" w:cs="Arial" w:eastAsia="Arial" w:hAnsi="Arial"/>
                <w:sz w:val="23"/>
                <w:szCs w:val="23"/>
                <w:color w:val="auto"/>
                <w:w w:val="94"/>
                <w:vertAlign w:val="superscript"/>
              </w:rPr>
              <w:t>(4)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8,795</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w w:val="90"/>
              </w:rPr>
              <w:t>Sponsorship agreement and intellectual property</w:t>
            </w:r>
          </w:p>
        </w:tc>
        <w:tc>
          <w:tcPr>
            <w:tcW w:w="3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12,172</w:t>
            </w:r>
          </w:p>
        </w:tc>
        <w:tc>
          <w:tcPr>
            <w:tcW w:w="1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6,879</w:t>
            </w: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4,444</w:t>
            </w: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commitments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contractual cash obligations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3,131,075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263,517</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489,793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453,238</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1,924,527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Principal amount excluding discount and debt issuance costs.</w:t>
      </w:r>
    </w:p>
    <w:p>
      <w:pPr>
        <w:ind w:left="180" w:hanging="172"/>
        <w:spacing w:after="0" w:line="183" w:lineRule="auto"/>
        <w:tabs>
          <w:tab w:leader="none" w:pos="180" w:val="left"/>
        </w:tabs>
        <w:numPr>
          <w:ilvl w:val="0"/>
          <w:numId w:val="42"/>
        </w:numPr>
        <w:rPr>
          <w:rFonts w:ascii="Arial" w:cs="Arial" w:eastAsia="Arial" w:hAnsi="Arial"/>
          <w:sz w:val="20"/>
          <w:szCs w:val="20"/>
          <w:color w:val="auto"/>
          <w:vertAlign w:val="superscript"/>
        </w:rPr>
      </w:pPr>
      <w:r>
        <w:rPr>
          <w:rFonts w:ascii="Arial" w:cs="Arial" w:eastAsia="Arial" w:hAnsi="Arial"/>
          <w:sz w:val="16"/>
          <w:szCs w:val="16"/>
          <w:color w:val="auto"/>
        </w:rPr>
        <w:t>Interest payments shown are approximated based on projected interest rates and assumes no unscheduled principal payments until maturity.</w:t>
      </w:r>
    </w:p>
    <w:p>
      <w:pPr>
        <w:ind w:left="260" w:right="140" w:hanging="252"/>
        <w:spacing w:after="0" w:line="207" w:lineRule="auto"/>
        <w:tabs>
          <w:tab w:leader="none" w:pos="182" w:val="left"/>
        </w:tabs>
        <w:numPr>
          <w:ilvl w:val="0"/>
          <w:numId w:val="42"/>
        </w:numPr>
        <w:rPr>
          <w:rFonts w:ascii="Arial" w:cs="Arial" w:eastAsia="Arial" w:hAnsi="Arial"/>
          <w:sz w:val="21"/>
          <w:szCs w:val="21"/>
          <w:color w:val="auto"/>
          <w:vertAlign w:val="superscript"/>
        </w:rPr>
      </w:pPr>
      <w:r>
        <w:rPr>
          <w:rFonts w:ascii="Arial" w:cs="Arial" w:eastAsia="Arial" w:hAnsi="Arial"/>
          <w:sz w:val="16"/>
          <w:szCs w:val="16"/>
          <w:color w:val="auto"/>
        </w:rPr>
        <w:t>Substantially all of our leases are operating leases. We lease store locations, distribution centers, office space and certain equipment under operating leases expiring between fiscal year 2021 and 2039. Operating lease obligations include future minimum lease payments under all of our noncancelable operating leases at January 30, 2021.</w:t>
      </w:r>
    </w:p>
    <w:p>
      <w:pPr>
        <w:ind w:left="260" w:right="160" w:hanging="252"/>
        <w:spacing w:after="0" w:line="198" w:lineRule="auto"/>
        <w:tabs>
          <w:tab w:leader="none" w:pos="198" w:val="left"/>
        </w:tabs>
        <w:numPr>
          <w:ilvl w:val="0"/>
          <w:numId w:val="42"/>
        </w:numPr>
        <w:rPr>
          <w:rFonts w:ascii="Arial" w:cs="Arial" w:eastAsia="Arial" w:hAnsi="Arial"/>
          <w:sz w:val="23"/>
          <w:szCs w:val="23"/>
          <w:color w:val="auto"/>
          <w:vertAlign w:val="superscript"/>
        </w:rPr>
      </w:pPr>
      <w:r>
        <w:rPr>
          <w:rFonts w:ascii="Arial" w:cs="Arial" w:eastAsia="Arial" w:hAnsi="Arial"/>
          <w:sz w:val="18"/>
          <w:szCs w:val="18"/>
          <w:color w:val="auto"/>
        </w:rPr>
        <w:t>Amounts include technology related contractual commitments and other commitments such as construction commitments. The amounts included in the table are for executed contracts less amounts paid.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January 30, 2021, our off-balance sheet contractual obligations and commercial commitments relate to future minimum guaranteed contractual payments and letters of credit.</w:t>
      </w:r>
    </w:p>
    <w:p>
      <w:pPr>
        <w:spacing w:after="0" w:line="197"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We enter into letters of credit in the ordinary course of operating and financing activities. As of January 30, 2021, we had outstanding letters of credit of $25.4 million, of which $20.1 million were issued under the 2018 ABL Facility, primarily for insurance and foreign product purchases.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our letters of credit commitments as of January 30, 2021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0"/>
              </w:rPr>
              <w:t>Total Amounts</w:t>
            </w:r>
          </w:p>
        </w:tc>
        <w:tc>
          <w:tcPr>
            <w:tcW w:w="18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5"/>
          </w:tcPr>
          <w:p>
            <w:pPr>
              <w:ind w:left="1400"/>
              <w:spacing w:after="0"/>
              <w:rPr>
                <w:sz w:val="20"/>
                <w:szCs w:val="20"/>
                <w:color w:val="auto"/>
              </w:rPr>
            </w:pPr>
            <w:r>
              <w:rPr>
                <w:rFonts w:ascii="Arial" w:cs="Arial" w:eastAsia="Arial" w:hAnsi="Arial"/>
                <w:sz w:val="18"/>
                <w:szCs w:val="18"/>
                <w:b w:val="1"/>
                <w:bCs w:val="1"/>
                <w:color w:val="auto"/>
              </w:rPr>
              <w:t>Amount of Commitment Expiration Per Period</w:t>
            </w:r>
          </w:p>
        </w:tc>
        <w:tc>
          <w:tcPr>
            <w:tcW w:w="0" w:type="dxa"/>
            <w:vAlign w:val="bottom"/>
          </w:tcPr>
          <w:p>
            <w:pPr>
              <w:spacing w:after="0"/>
              <w:rPr>
                <w:sz w:val="1"/>
                <w:szCs w:val="1"/>
                <w:color w:val="auto"/>
              </w:rPr>
            </w:pPr>
          </w:p>
        </w:tc>
      </w:tr>
      <w:tr>
        <w:trPr>
          <w:trHeight w:val="155"/>
        </w:trPr>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0"/>
              </w:rPr>
              <w:t>Less than 1 Year</w:t>
            </w: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1 - 3 Years</w:t>
            </w:r>
          </w:p>
        </w:tc>
        <w:tc>
          <w:tcPr>
            <w:tcW w:w="560" w:type="dxa"/>
            <w:vAlign w:val="bottom"/>
          </w:tcPr>
          <w:p>
            <w:pPr>
              <w:spacing w:after="0"/>
              <w:rPr>
                <w:sz w:val="13"/>
                <w:szCs w:val="13"/>
                <w:color w:val="auto"/>
              </w:rPr>
            </w:pPr>
          </w:p>
        </w:tc>
        <w:tc>
          <w:tcPr>
            <w:tcW w:w="15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3 - 5 Years</w:t>
            </w:r>
          </w:p>
        </w:tc>
        <w:tc>
          <w:tcPr>
            <w:tcW w:w="17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More than 5 Years</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Committed</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Commitments:</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20"/>
              <w:spacing w:after="0"/>
              <w:rPr>
                <w:sz w:val="20"/>
                <w:szCs w:val="20"/>
                <w:color w:val="auto"/>
              </w:rPr>
            </w:pPr>
            <w:r>
              <w:rPr>
                <w:rFonts w:ascii="Arial" w:cs="Arial" w:eastAsia="Arial" w:hAnsi="Arial"/>
                <w:sz w:val="18"/>
                <w:szCs w:val="18"/>
                <w:color w:val="auto"/>
              </w:rPr>
              <w:t>Letters of credit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25,376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25,376</w:t>
            </w:r>
          </w:p>
        </w:tc>
        <w:tc>
          <w:tcPr>
            <w:tcW w:w="13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560" w:type="dxa"/>
            <w:vAlign w:val="bottom"/>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ind w:left="1080"/>
              <w:spacing w:after="0"/>
              <w:rPr>
                <w:sz w:val="20"/>
                <w:szCs w:val="20"/>
                <w:color w:val="auto"/>
              </w:rPr>
            </w:pPr>
            <w:r>
              <w:rPr>
                <w:rFonts w:ascii="Arial" w:cs="Arial" w:eastAsia="Arial" w:hAnsi="Arial"/>
                <w:sz w:val="18"/>
                <w:szCs w:val="18"/>
                <w:color w:val="auto"/>
              </w:rPr>
              <w:t>— $</w:t>
            </w:r>
          </w:p>
        </w:tc>
        <w:tc>
          <w:tcPr>
            <w:tcW w:w="1720" w:type="dxa"/>
            <w:vAlign w:val="bottom"/>
          </w:tcPr>
          <w:p>
            <w:pPr>
              <w:ind w:left="1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critical accounting policies and estimates, see Note 2 to the consolidated financial statements.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recent accounting pronouncements, see Note 2 to the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related party transactions, see Note 13 to the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exposure to changes in interest rates primarily results from our ABL Facility and Term Loan, as these borrowings have variable interest rates. When appropriate, we have historically used derivative financial instruments to mitigate the risk from such exposure. A discussion of our accounting policies for derivative financial instruments is included in Note 5. “Derivative Financial Instruments” and Note 6 “Fair Value Measurements” to our consolidated financial statements included in Part II. Item</w:t>
      </w:r>
    </w:p>
    <w:p>
      <w:pPr>
        <w:spacing w:after="0" w:line="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8 of this Annual Report. The detrimental effect of a hypothetical 100 basis point increase in interest rates on current borrowings under the ABL Facility and Term Loan would be to reduce income before income taxes by approximately $4.0 million for 2020.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Results and Seasonality</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97"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The financial statements required to be filed hereunder are set forth on pages </w:t>
      </w:r>
      <w:hyperlink w:anchor="page71">
        <w:r>
          <w:rPr>
            <w:rFonts w:ascii="Arial" w:cs="Arial" w:eastAsia="Arial" w:hAnsi="Arial"/>
            <w:sz w:val="18"/>
            <w:szCs w:val="18"/>
            <w:color w:val="auto"/>
          </w:rPr>
          <w:t xml:space="preserve">72 </w:t>
        </w:r>
      </w:hyperlink>
      <w:r>
        <w:rPr>
          <w:rFonts w:ascii="Arial" w:cs="Arial" w:eastAsia="Arial" w:hAnsi="Arial"/>
          <w:sz w:val="18"/>
          <w:szCs w:val="18"/>
          <w:color w:val="auto"/>
        </w:rPr>
        <w:t>through 108 of this Annual Report on Form 10-K.</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ectPr>
          <w:pgSz w:w="11900" w:h="16838" w:orient="portrait"/>
          <w:cols w:equalWidth="0" w:num="1">
            <w:col w:w="11240"/>
          </w:cols>
          <w:pgMar w:left="320" w:top="1134" w:right="339" w:bottom="1440" w:gutter="0" w:footer="0" w:header="0"/>
        </w:sect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67" w:name="page68"/>
    <w:bookmarkEnd w:id="67"/>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Below is a list of our executive officers, their respective ages as of January 30, 2021 and a brief account of the business experience of each of them.</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gridSpan w:val="2"/>
          </w:tcPr>
          <w:p>
            <w:pPr>
              <w:ind w:left="1860"/>
              <w:spacing w:after="0"/>
              <w:rPr>
                <w:sz w:val="20"/>
                <w:szCs w:val="20"/>
                <w:color w:val="auto"/>
              </w:rPr>
            </w:pPr>
            <w:r>
              <w:rPr>
                <w:rFonts w:ascii="Arial" w:cs="Arial" w:eastAsia="Arial" w:hAnsi="Arial"/>
                <w:sz w:val="18"/>
                <w:szCs w:val="18"/>
                <w:b w:val="1"/>
                <w:bCs w:val="1"/>
                <w:color w:val="auto"/>
              </w:rPr>
              <w:t>Name</w:t>
            </w:r>
          </w:p>
        </w:tc>
        <w:tc>
          <w:tcPr>
            <w:tcW w:w="600" w:type="dxa"/>
            <w:vAlign w:val="bottom"/>
          </w:tcPr>
          <w:p>
            <w:pPr>
              <w:ind w:left="260"/>
              <w:spacing w:after="0"/>
              <w:rPr>
                <w:sz w:val="20"/>
                <w:szCs w:val="20"/>
                <w:color w:val="auto"/>
              </w:rPr>
            </w:pPr>
            <w:r>
              <w:rPr>
                <w:rFonts w:ascii="Arial" w:cs="Arial" w:eastAsia="Arial" w:hAnsi="Arial"/>
                <w:sz w:val="18"/>
                <w:szCs w:val="18"/>
                <w:b w:val="1"/>
                <w:bCs w:val="1"/>
                <w:color w:val="auto"/>
                <w:w w:val="93"/>
              </w:rPr>
              <w:t>Age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980" w:type="dxa"/>
            <w:vAlign w:val="bottom"/>
          </w:tcPr>
          <w:p>
            <w:pPr>
              <w:ind w:left="26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4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Ken C. Hicks</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68</w:t>
            </w:r>
          </w:p>
        </w:tc>
        <w:tc>
          <w:tcPr>
            <w:tcW w:w="80" w:type="dxa"/>
            <w:vAlign w:val="bottom"/>
            <w:tcBorders>
              <w:top w:val="single" w:sz="8" w:color="CCEEFF"/>
            </w:tcBorders>
            <w:shd w:val="clear" w:color="auto" w:fill="CCEEFF"/>
          </w:tcPr>
          <w:p>
            <w:pPr>
              <w:spacing w:after="0"/>
              <w:rPr>
                <w:sz w:val="19"/>
                <w:szCs w:val="19"/>
                <w:color w:val="auto"/>
              </w:rPr>
            </w:pPr>
          </w:p>
        </w:tc>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Michael P. Mullican</w:t>
            </w: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P. Lawrence</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w:t>
            </w:r>
          </w:p>
        </w:tc>
        <w:tc>
          <w:tcPr>
            <w:tcW w:w="8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and Chief Merchandising Officer</w:t>
            </w:r>
          </w:p>
        </w:tc>
      </w:tr>
      <w:tr>
        <w:trPr>
          <w:trHeight w:val="230"/>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Samuel J. Johnson</w:t>
            </w: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Executive Vice President, Retail Operations</w:t>
            </w:r>
          </w:p>
        </w:tc>
      </w:tr>
      <w:tr>
        <w:trPr>
          <w:trHeight w:val="22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Sherry Harriman</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c>
          <w:tcPr>
            <w:tcW w:w="8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Logistics and Supply Chain</w:t>
            </w: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Jamey Traywick Rutherford</w:t>
            </w: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47</w:t>
            </w:r>
          </w:p>
        </w:tc>
        <w:tc>
          <w:tcPr>
            <w:tcW w:w="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Senior Vice President, Omnichannel</w:t>
            </w:r>
          </w:p>
        </w:tc>
      </w:tr>
      <w:tr>
        <w:trPr>
          <w:trHeight w:val="23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Manish Maini</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8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Chief Information Officer</w:t>
            </w: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William S. Ennis</w:t>
            </w:r>
          </w:p>
        </w:tc>
        <w:tc>
          <w:tcPr>
            <w:tcW w:w="6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51</w:t>
            </w:r>
          </w:p>
        </w:tc>
        <w:tc>
          <w:tcPr>
            <w:tcW w:w="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Senior Vice President, Chief Human Resources Officer</w:t>
            </w:r>
          </w:p>
        </w:tc>
      </w:tr>
      <w:tr>
        <w:trPr>
          <w:trHeight w:val="23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Rene G. Casares</w:t>
            </w: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w:t>
            </w:r>
          </w:p>
        </w:tc>
        <w:tc>
          <w:tcPr>
            <w:tcW w:w="80" w:type="dxa"/>
            <w:vAlign w:val="bottom"/>
            <w:shd w:val="clear" w:color="auto" w:fill="CCEEFF"/>
          </w:tcPr>
          <w:p>
            <w:pPr>
              <w:spacing w:after="0"/>
              <w:rPr>
                <w:sz w:val="19"/>
                <w:szCs w:val="19"/>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3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Ken C. Hicks </w:t>
      </w:r>
      <w:r>
        <w:rPr>
          <w:rFonts w:ascii="Arial" w:cs="Arial" w:eastAsia="Arial" w:hAnsi="Arial"/>
          <w:sz w:val="17"/>
          <w:szCs w:val="17"/>
          <w:color w:val="auto"/>
        </w:rPr>
        <w:t>has served as the Chairman and our President and Chief Executive Officer since May 2018. Mr. Hicks has served as a member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managers of New Academy Holding Company, LLC (our predecessor company)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Michael P. Mullican </w:t>
      </w:r>
      <w:r>
        <w:rPr>
          <w:rFonts w:ascii="Arial" w:cs="Arial" w:eastAsia="Arial" w:hAnsi="Arial"/>
          <w:sz w:val="18"/>
          <w:szCs w:val="18"/>
          <w:color w:val="auto"/>
        </w:rPr>
        <w:t>has served as our Executive Vice President and Chief Financial Officer since January 2018. He previously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2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Steven (Steve) P. Lawrence </w:t>
      </w:r>
      <w:r>
        <w:rPr>
          <w:rFonts w:ascii="Arial" w:cs="Arial" w:eastAsia="Arial" w:hAnsi="Arial"/>
          <w:sz w:val="16"/>
          <w:szCs w:val="16"/>
          <w:color w:val="auto"/>
        </w:rPr>
        <w:t>has served as our Executive Vice President and Chief Merchandising Officer since joining the Academy Sports + Outdoors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Samuel (Sam) J. Johnson </w:t>
      </w:r>
      <w:r>
        <w:rPr>
          <w:rFonts w:ascii="Arial" w:cs="Arial" w:eastAsia="Arial" w:hAnsi="Arial"/>
          <w:sz w:val="16"/>
          <w:szCs w:val="16"/>
          <w:color w:val="auto"/>
        </w:rPr>
        <w:t>has served as our Executive Vice President, Retail Operations since joining the Academy Sports + Outdoors team in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84" w:lineRule="exact"/>
        <w:rPr>
          <w:sz w:val="20"/>
          <w:szCs w:val="20"/>
          <w:color w:val="auto"/>
        </w:rPr>
      </w:pPr>
    </w:p>
    <w:p>
      <w:pPr>
        <w:jc w:val="both"/>
        <w:ind w:firstLine="324"/>
        <w:spacing w:after="0"/>
        <w:rPr>
          <w:sz w:val="20"/>
          <w:szCs w:val="20"/>
          <w:color w:val="auto"/>
        </w:rPr>
      </w:pPr>
      <w:r>
        <w:rPr>
          <w:rFonts w:ascii="Arial" w:cs="Arial" w:eastAsia="Arial" w:hAnsi="Arial"/>
          <w:sz w:val="18"/>
          <w:szCs w:val="18"/>
          <w:b w:val="1"/>
          <w:bCs w:val="1"/>
          <w:i w:val="1"/>
          <w:iCs w:val="1"/>
          <w:color w:val="auto"/>
        </w:rPr>
        <w:t xml:space="preserve">Sherry L. Harriman </w:t>
      </w:r>
      <w:r>
        <w:rPr>
          <w:rFonts w:ascii="Arial" w:cs="Arial" w:eastAsia="Arial" w:hAnsi="Arial"/>
          <w:sz w:val="18"/>
          <w:szCs w:val="18"/>
          <w:color w:val="auto"/>
        </w:rPr>
        <w:t>has served as our Senior Vice President, Logistics and Supply Chain since joining the Academy Sports + Outdoors team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2018. Prior to joining Academy Sports + Outdoors, Mrs. Harriman spent 29 years at Walmart, Inc., where she served in various logistics and operations roles until she was promoted to Regional Vice President – Logistics in 2007. In 2010, she was promoted to Divisional Vice President – Supply Chain for Florida and Puerto Rico, where her team delivered innovative Supply Chain solutions that supported omnichannel strategies and disaster relief initiatives. Ms. Harriman holds a Bachelor of Business Administration from the University of Wisconsin-Eau Claire and a Master of Business Administration from John Brown University.</w:t>
      </w:r>
    </w:p>
    <w:p>
      <w:pPr>
        <w:spacing w:after="0" w:line="21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b w:val="1"/>
          <w:bCs w:val="1"/>
          <w:i w:val="1"/>
          <w:iCs w:val="1"/>
          <w:color w:val="auto"/>
        </w:rPr>
        <w:t xml:space="preserve">Jamey Traywick Rutherford </w:t>
      </w:r>
      <w:r>
        <w:rPr>
          <w:rFonts w:ascii="Arial" w:cs="Arial" w:eastAsia="Arial" w:hAnsi="Arial"/>
          <w:sz w:val="16"/>
          <w:szCs w:val="16"/>
          <w:color w:val="auto"/>
        </w:rPr>
        <w:t>has served as our Senior Vice President, Omnichannel since joining the Academy Sports + Outdoors team in May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joining Academy Sports + Outdoors, Ms. Traywick Rutherford spent over 17 years at AutoZone where she served in various e-commerce roles until she was promoted to Vice President, e-commerce in 2010. She transitioned to Vice President, Merchandising in 2017. She holds a Bachelor of Science in Environmental Science from the University of Denver, and a Master of Science in e-commerce from the University of Memphis.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Manish Maini </w:t>
      </w:r>
      <w:r>
        <w:rPr>
          <w:rFonts w:ascii="Arial" w:cs="Arial" w:eastAsia="Arial" w:hAnsi="Arial"/>
          <w:sz w:val="17"/>
          <w:szCs w:val="17"/>
          <w:color w:val="auto"/>
        </w:rPr>
        <w:t>has served as our Senior Vice President, Chief Information Officer since joining the Academy Sports + Outdoors team in June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William (Bill) S. Ennis </w:t>
      </w:r>
      <w:r>
        <w:rPr>
          <w:rFonts w:ascii="Arial" w:cs="Arial" w:eastAsia="Arial" w:hAnsi="Arial"/>
          <w:sz w:val="16"/>
          <w:szCs w:val="16"/>
          <w:color w:val="auto"/>
        </w:rPr>
        <w:t>has served as our Senior Vice President, Chief Human Resources Officer since March 2016. Mr. Ennis joined the Academy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9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Rene G. Casares </w:t>
      </w:r>
      <w:r>
        <w:rPr>
          <w:rFonts w:ascii="Arial" w:cs="Arial" w:eastAsia="Arial" w:hAnsi="Arial"/>
          <w:sz w:val="17"/>
          <w:szCs w:val="17"/>
          <w:color w:val="auto"/>
        </w:rPr>
        <w:t>has served as our Senior Vice President, General Counsel and Secretary since March 2018. He joined the company in July 2013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05"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additional information required by this Item 10 will be included in our definitive proxy statement for the 2021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 Stockholders and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gives information about the Company's common stock that may be issued upon the exercise of options, warrants and rights under all of the Company's equity compensation plans as of January 30, 2021. The table includes the 2011 Unit Incentive Plan, the 2020 Omnibus Incentive Plan and the 2020 Employee Stock Purchase Plan.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w:t>
            </w:r>
          </w:p>
        </w:tc>
        <w:tc>
          <w:tcPr>
            <w:tcW w:w="180" w:type="dxa"/>
            <w:vAlign w:val="bottom"/>
          </w:tcPr>
          <w:p>
            <w:pPr>
              <w:spacing w:after="0"/>
              <w:rPr>
                <w:sz w:val="17"/>
                <w:szCs w:val="17"/>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(b)</w:t>
            </w:r>
          </w:p>
        </w:tc>
        <w:tc>
          <w:tcPr>
            <w:tcW w:w="3240" w:type="dxa"/>
            <w:vAlign w:val="bottom"/>
            <w:vMerge w:val="restart"/>
          </w:tcPr>
          <w:p>
            <w:pPr>
              <w:jc w:val="right"/>
              <w:ind w:right="1330"/>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Weighted average</w:t>
            </w: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Number of securities to</w:t>
            </w: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32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9"/>
              </w:rPr>
              <w:t>Number of securities remaining</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be issued upon exercise</w:t>
            </w: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outstanding</w:t>
            </w:r>
          </w:p>
        </w:tc>
        <w:tc>
          <w:tcPr>
            <w:tcW w:w="32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9"/>
              </w:rPr>
              <w:t>available for future issuance under</w:t>
            </w:r>
          </w:p>
        </w:tc>
        <w:tc>
          <w:tcPr>
            <w:tcW w:w="0" w:type="dxa"/>
            <w:vAlign w:val="bottom"/>
          </w:tcPr>
          <w:p>
            <w:pPr>
              <w:spacing w:after="0"/>
              <w:rPr>
                <w:sz w:val="1"/>
                <w:szCs w:val="1"/>
                <w:color w:val="auto"/>
              </w:rPr>
            </w:pPr>
          </w:p>
        </w:tc>
      </w:tr>
      <w:tr>
        <w:trPr>
          <w:trHeight w:val="176"/>
        </w:trPr>
        <w:tc>
          <w:tcPr>
            <w:tcW w:w="4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outstanding options,</w:t>
            </w: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options, warrants and</w:t>
            </w:r>
          </w:p>
        </w:tc>
        <w:tc>
          <w:tcPr>
            <w:tcW w:w="32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8"/>
              </w:rPr>
              <w:t>equity compensation plans (excluding</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rights</w:t>
            </w:r>
          </w:p>
        </w:tc>
        <w:tc>
          <w:tcPr>
            <w:tcW w:w="32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8"/>
              </w:rPr>
              <w:t>securities reflected in column (a))</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Service-Based Stock Options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6,282,782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Performance-Based Stock Options</w:t>
            </w:r>
          </w:p>
        </w:tc>
        <w:tc>
          <w:tcPr>
            <w:tcW w:w="1980" w:type="dxa"/>
            <w:vAlign w:val="bottom"/>
          </w:tcPr>
          <w:p>
            <w:pPr>
              <w:jc w:val="right"/>
              <w:spacing w:after="0"/>
              <w:rPr>
                <w:sz w:val="20"/>
                <w:szCs w:val="20"/>
                <w:color w:val="auto"/>
              </w:rPr>
            </w:pPr>
            <w:r>
              <w:rPr>
                <w:rFonts w:ascii="Arial" w:cs="Arial" w:eastAsia="Arial" w:hAnsi="Arial"/>
                <w:sz w:val="18"/>
                <w:szCs w:val="18"/>
                <w:color w:val="auto"/>
              </w:rPr>
              <w:t>2,948,621</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8.81</w:t>
            </w: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Service-Based Restricted Stock Units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32,049</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4200" w:type="dxa"/>
            <w:vAlign w:val="bottom"/>
          </w:tcPr>
          <w:p>
            <w:pPr>
              <w:ind w:left="240"/>
              <w:spacing w:after="0"/>
              <w:rPr>
                <w:sz w:val="20"/>
                <w:szCs w:val="20"/>
                <w:color w:val="auto"/>
              </w:rPr>
            </w:pPr>
            <w:r>
              <w:rPr>
                <w:rFonts w:ascii="Arial" w:cs="Arial" w:eastAsia="Arial" w:hAnsi="Arial"/>
                <w:sz w:val="18"/>
                <w:szCs w:val="18"/>
                <w:color w:val="auto"/>
              </w:rPr>
              <w:t>Liquidity Event-Based Restricted Stock Units</w:t>
            </w:r>
          </w:p>
        </w:tc>
        <w:tc>
          <w:tcPr>
            <w:tcW w:w="1980" w:type="dxa"/>
            <w:vAlign w:val="bottom"/>
          </w:tcPr>
          <w:p>
            <w:pPr>
              <w:jc w:val="right"/>
              <w:spacing w:after="0"/>
              <w:rPr>
                <w:sz w:val="20"/>
                <w:szCs w:val="20"/>
                <w:color w:val="auto"/>
              </w:rPr>
            </w:pPr>
            <w:r>
              <w:rPr>
                <w:rFonts w:ascii="Arial" w:cs="Arial" w:eastAsia="Arial" w:hAnsi="Arial"/>
                <w:sz w:val="18"/>
                <w:szCs w:val="18"/>
                <w:color w:val="auto"/>
              </w:rPr>
              <w:t>1,339,330</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N/A</w:t>
            </w: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Performance-Based Restricted Stock Units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2020 Employee Stock Purchase Plan</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10,619,110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3240" w:type="dxa"/>
            <w:vAlign w:val="bottom"/>
          </w:tcPr>
          <w:p>
            <w:pPr>
              <w:jc w:val="right"/>
              <w:ind w:right="293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8"/>
        <w:spacing w:after="0"/>
        <w:tabs>
          <w:tab w:leader="none" w:pos="197" w:val="left"/>
        </w:tabs>
        <w:numPr>
          <w:ilvl w:val="0"/>
          <w:numId w:val="43"/>
        </w:numPr>
        <w:rPr>
          <w:rFonts w:ascii="Arial" w:cs="Arial" w:eastAsia="Arial" w:hAnsi="Arial"/>
          <w:sz w:val="23"/>
          <w:szCs w:val="23"/>
          <w:color w:val="auto"/>
          <w:vertAlign w:val="superscript"/>
        </w:rPr>
      </w:pPr>
      <w:r>
        <w:rPr>
          <w:rFonts w:ascii="Arial" w:cs="Arial" w:eastAsia="Arial" w:hAnsi="Arial"/>
          <w:sz w:val="18"/>
          <w:szCs w:val="18"/>
          <w:color w:val="auto"/>
        </w:rPr>
        <w:t>Of the plans listed above, only 2020 Omnibus Incentive Plan and the 2020 Employee Stock Purchase Plan allows for future grants of securities. The maximum number of shares that may be granted under the 2020 Omnibus Incentive Plan (inclusive of unissued shares that were carried over from the 2011 Unit Incentive Plan) is approximately 13,161,516 shares. Stock options and restricted stock units are counted on a one-for-one basis. Total shares available for future issuance under the 2020 Omnibus Incentive Plan is 4,940,723. The total shares available for issuance under the 2020 Employee Stock Purchase Plan is 1,000,000.</w:t>
      </w:r>
    </w:p>
    <w:p>
      <w:pPr>
        <w:spacing w:after="0" w:line="1" w:lineRule="exact"/>
        <w:rPr>
          <w:rFonts w:ascii="Arial" w:cs="Arial" w:eastAsia="Arial" w:hAnsi="Arial"/>
          <w:sz w:val="23"/>
          <w:szCs w:val="23"/>
          <w:color w:val="auto"/>
          <w:vertAlign w:val="superscript"/>
        </w:rPr>
      </w:pPr>
    </w:p>
    <w:p>
      <w:pPr>
        <w:ind w:left="180" w:hanging="172"/>
        <w:spacing w:after="0" w:line="214" w:lineRule="auto"/>
        <w:tabs>
          <w:tab w:leader="none" w:pos="180" w:val="left"/>
        </w:tabs>
        <w:numPr>
          <w:ilvl w:val="0"/>
          <w:numId w:val="43"/>
        </w:numPr>
        <w:rPr>
          <w:rFonts w:ascii="Arial" w:cs="Arial" w:eastAsia="Arial" w:hAnsi="Arial"/>
          <w:sz w:val="21"/>
          <w:szCs w:val="21"/>
          <w:color w:val="auto"/>
          <w:vertAlign w:val="superscript"/>
        </w:rPr>
      </w:pPr>
      <w:r>
        <w:rPr>
          <w:rFonts w:ascii="Arial" w:cs="Arial" w:eastAsia="Arial" w:hAnsi="Arial"/>
          <w:sz w:val="16"/>
          <w:szCs w:val="16"/>
          <w:color w:val="auto"/>
        </w:rPr>
        <w:t>Weighted average exercise price of outstanding options only.</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 information required by this item is incorporated by reference to the 2020 Proxy Statement filed pursuant to Regulation 14A, beginning with the subsection of the Ownership of Securities section entitled Beneficial Ownership of Company Common Stock and up to but not including the subsection entitled Section 16(a) Beneficial Ownership Reporting Compliance.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 Stockholders and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2021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62" w:lineRule="exact"/>
        <w:rPr>
          <w:sz w:val="20"/>
          <w:szCs w:val="20"/>
          <w:color w:val="auto"/>
        </w:rPr>
      </w:pPr>
    </w:p>
    <w:p>
      <w:pPr>
        <w:ind w:left="380" w:hanging="354"/>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3" w:lineRule="exact"/>
        <w:rPr>
          <w:rFonts w:ascii="Arial" w:cs="Arial" w:eastAsia="Arial" w:hAnsi="Arial"/>
          <w:sz w:val="18"/>
          <w:szCs w:val="18"/>
          <w:color w:val="auto"/>
        </w:rPr>
      </w:pPr>
    </w:p>
    <w:p>
      <w:pPr>
        <w:ind w:left="880" w:right="120" w:hanging="503"/>
        <w:spacing w:after="0" w:line="234" w:lineRule="auto"/>
        <w:tabs>
          <w:tab w:leader="none" w:pos="8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 xml:space="preserve">Financial Statements. The consolidated Financial Statements required to be filed hereunder are listed in the Index to Consolidated Financial Statements on page </w:t>
      </w:r>
      <w:hyperlink w:anchor="page72">
        <w:r>
          <w:rPr>
            <w:rFonts w:ascii="Arial" w:cs="Arial" w:eastAsia="Arial" w:hAnsi="Arial"/>
            <w:sz w:val="18"/>
            <w:szCs w:val="18"/>
            <w:color w:val="auto"/>
          </w:rPr>
          <w:t xml:space="preserve">73 </w:t>
        </w:r>
      </w:hyperlink>
      <w:r>
        <w:rPr>
          <w:rFonts w:ascii="Arial" w:cs="Arial" w:eastAsia="Arial" w:hAnsi="Arial"/>
          <w:sz w:val="18"/>
          <w:szCs w:val="18"/>
          <w:color w:val="auto"/>
        </w:rPr>
        <w:t>of this Annual Report on Form 10-K.</w:t>
      </w:r>
    </w:p>
    <w:p>
      <w:pPr>
        <w:spacing w:after="0" w:line="230" w:lineRule="exact"/>
        <w:rPr>
          <w:rFonts w:ascii="Arial" w:cs="Arial" w:eastAsia="Arial" w:hAnsi="Arial"/>
          <w:sz w:val="18"/>
          <w:szCs w:val="18"/>
          <w:color w:val="auto"/>
        </w:rPr>
      </w:pPr>
    </w:p>
    <w:p>
      <w:pPr>
        <w:jc w:val="both"/>
        <w:ind w:left="880" w:hanging="503"/>
        <w:spacing w:after="0" w:line="181" w:lineRule="auto"/>
        <w:tabs>
          <w:tab w:leader="none" w:pos="8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Financial Statement Schedule. The consolidated financial statement schedule to be filed hereunder is included on page </w:t>
      </w:r>
      <w:hyperlink w:anchor="page113">
        <w:r>
          <w:rPr>
            <w:rFonts w:ascii="Arial" w:cs="Arial" w:eastAsia="Arial" w:hAnsi="Arial"/>
            <w:sz w:val="17"/>
            <w:szCs w:val="17"/>
            <w:color w:val="auto"/>
          </w:rPr>
          <w:t xml:space="preserve">114 </w:t>
        </w:r>
      </w:hyperlink>
      <w:r>
        <w:rPr>
          <w:rFonts w:ascii="Arial" w:cs="Arial" w:eastAsia="Arial" w:hAnsi="Arial"/>
          <w:sz w:val="17"/>
          <w:szCs w:val="17"/>
          <w:color w:val="auto"/>
        </w:rPr>
        <w:t>of this Annual Report on Form 10-K. Other schedules have not been included because they are not applicable or because the information is included elsewhere in this report.</w:t>
      </w:r>
    </w:p>
    <w:p>
      <w:pPr>
        <w:spacing w:after="0" w:line="93" w:lineRule="exact"/>
        <w:rPr>
          <w:rFonts w:ascii="Arial" w:cs="Arial" w:eastAsia="Arial" w:hAnsi="Arial"/>
          <w:sz w:val="17"/>
          <w:szCs w:val="17"/>
          <w:color w:val="auto"/>
        </w:rPr>
      </w:pPr>
    </w:p>
    <w:p>
      <w:pPr>
        <w:ind w:left="880" w:right="60" w:hanging="503"/>
        <w:spacing w:after="0" w:line="237" w:lineRule="auto"/>
        <w:tabs>
          <w:tab w:leader="none" w:pos="880"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Exhibits. The Exhibits listed in the Index to Exhibits, which appears on pages </w:t>
      </w:r>
      <w:hyperlink w:anchor="page108">
        <w:r>
          <w:rPr>
            <w:rFonts w:ascii="Arial" w:cs="Arial" w:eastAsia="Arial" w:hAnsi="Arial"/>
            <w:sz w:val="17"/>
            <w:szCs w:val="17"/>
            <w:color w:val="auto"/>
          </w:rPr>
          <w:t xml:space="preserve">109 </w:t>
        </w:r>
      </w:hyperlink>
      <w:r>
        <w:rPr>
          <w:rFonts w:ascii="Arial" w:cs="Arial" w:eastAsia="Arial" w:hAnsi="Arial"/>
          <w:sz w:val="17"/>
          <w:szCs w:val="17"/>
          <w:color w:val="auto"/>
        </w:rPr>
        <w:t>to 112 and is incorporated herein by reference, are filed as part of this Annual Report on Form 10-K. Certain Exhibits are incorporated by reference from documents previously filed by the Company with the SEC pursuant to Rule 12b-32 under the Securities Exchange Act of 1934, as amended.</w:t>
      </w:r>
    </w:p>
    <w:p>
      <w:pPr>
        <w:spacing w:after="0" w:line="200" w:lineRule="exact"/>
        <w:rPr>
          <w:rFonts w:ascii="Arial" w:cs="Arial" w:eastAsia="Arial" w:hAnsi="Arial"/>
          <w:sz w:val="33"/>
          <w:szCs w:val="33"/>
          <w:color w:val="auto"/>
          <w:vertAlign w:val="superscript"/>
        </w:rPr>
      </w:pPr>
    </w:p>
    <w:p>
      <w:pPr>
        <w:spacing w:after="0" w:line="200" w:lineRule="exact"/>
        <w:rPr>
          <w:rFonts w:ascii="Arial" w:cs="Arial" w:eastAsia="Arial" w:hAnsi="Arial"/>
          <w:sz w:val="33"/>
          <w:szCs w:val="33"/>
          <w:color w:val="auto"/>
          <w:vertAlign w:val="superscript"/>
        </w:rPr>
      </w:pPr>
    </w:p>
    <w:p>
      <w:pPr>
        <w:spacing w:after="0" w:line="200" w:lineRule="exact"/>
        <w:rPr>
          <w:rFonts w:ascii="Arial" w:cs="Arial" w:eastAsia="Arial" w:hAnsi="Arial"/>
          <w:sz w:val="33"/>
          <w:szCs w:val="33"/>
          <w:color w:val="auto"/>
          <w:vertAlign w:val="superscript"/>
        </w:rPr>
      </w:pPr>
    </w:p>
    <w:p>
      <w:pPr>
        <w:spacing w:after="0" w:line="252" w:lineRule="exact"/>
        <w:rPr>
          <w:rFonts w:ascii="Arial" w:cs="Arial" w:eastAsia="Arial" w:hAnsi="Arial"/>
          <w:sz w:val="33"/>
          <w:szCs w:val="33"/>
          <w:color w:val="auto"/>
          <w:vertAlign w:val="superscript"/>
        </w:rPr>
      </w:pPr>
    </w:p>
    <w:p>
      <w:pPr>
        <w:jc w:val="center"/>
        <w:ind w:right="-339"/>
        <w:spacing w:after="0"/>
        <w:rPr>
          <w:sz w:val="20"/>
          <w:szCs w:val="20"/>
          <w:color w:val="auto"/>
        </w:rPr>
      </w:pPr>
      <w:r>
        <w:rPr>
          <w:rFonts w:ascii="Arial" w:cs="Arial" w:eastAsia="Arial" w:hAnsi="Arial"/>
          <w:sz w:val="18"/>
          <w:szCs w:val="18"/>
          <w:color w:val="auto"/>
        </w:rPr>
        <w:t>72</w:t>
      </w:r>
    </w:p>
    <w:p>
      <w:pPr>
        <w:spacing w:after="0" w:line="20" w:lineRule="exact"/>
        <w:rPr>
          <w:rFonts w:ascii="Arial" w:cs="Arial" w:eastAsia="Arial" w:hAnsi="Arial"/>
          <w:sz w:val="33"/>
          <w:szCs w:val="33"/>
          <w:color w:val="auto"/>
          <w:vertAlign w:val="superscript"/>
        </w:rPr>
      </w:pPr>
      <w:r>
        <w:rPr>
          <w:rFonts w:ascii="Arial" w:cs="Arial" w:eastAsia="Arial" w:hAnsi="Arial"/>
          <w:sz w:val="33"/>
          <w:szCs w:val="33"/>
          <w:color w:val="auto"/>
          <w:vertAlign w:val="superscript"/>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93" w:right="51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83"/>
        </w:trPr>
        <w:tc>
          <w:tcPr>
            <w:tcW w:w="97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Report of Independent Registered Public Accounting Firm</w:t>
            </w:r>
          </w:p>
        </w:tc>
        <w:tc>
          <w:tcPr>
            <w:tcW w:w="6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660"/>
              <w:spacing w:after="0" w:line="182"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Consolidated Balance Sheets as of January 30, 2021 and February 1, 2020</w:t>
            </w:r>
          </w:p>
        </w:tc>
        <w:tc>
          <w:tcPr>
            <w:tcW w:w="640" w:type="dxa"/>
            <w:vAlign w:val="bottom"/>
          </w:tcPr>
          <w:p>
            <w:pPr>
              <w:spacing w:after="0"/>
              <w:rPr>
                <w:sz w:val="16"/>
                <w:szCs w:val="16"/>
                <w:color w:val="auto"/>
              </w:rPr>
            </w:pPr>
          </w:p>
        </w:tc>
        <w:tc>
          <w:tcPr>
            <w:tcW w:w="840" w:type="dxa"/>
            <w:vAlign w:val="bottom"/>
            <w:gridSpan w:val="2"/>
          </w:tcPr>
          <w:p>
            <w:pPr>
              <w:jc w:val="center"/>
              <w:ind w:right="66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Income for the fiscal years ended January 30, 2021, February 1, 2020 and February 2, 2019</w:t>
            </w:r>
          </w:p>
        </w:tc>
        <w:tc>
          <w:tcPr>
            <w:tcW w:w="6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66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77</w:t>
              </w:r>
            </w:hyperlink>
          </w:p>
        </w:tc>
        <w:tc>
          <w:tcPr>
            <w:tcW w:w="0" w:type="dxa"/>
            <w:vAlign w:val="bottom"/>
          </w:tcPr>
          <w:p>
            <w:pPr>
              <w:spacing w:after="0"/>
              <w:rPr>
                <w:sz w:val="1"/>
                <w:szCs w:val="1"/>
                <w:color w:val="auto"/>
              </w:rPr>
            </w:pPr>
          </w:p>
        </w:tc>
      </w:tr>
      <w:tr>
        <w:trPr>
          <w:trHeight w:val="21"/>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60" w:type="dxa"/>
            <w:vAlign w:val="bottom"/>
          </w:tcPr>
          <w:p>
            <w:pPr>
              <w:ind w:left="20"/>
              <w:spacing w:after="0" w:line="176" w:lineRule="exact"/>
              <w:rPr>
                <w:sz w:val="20"/>
                <w:szCs w:val="20"/>
                <w:color w:val="auto"/>
              </w:rPr>
            </w:pPr>
            <w:r>
              <w:rPr>
                <w:rFonts w:ascii="Arial" w:cs="Arial" w:eastAsia="Arial" w:hAnsi="Arial"/>
                <w:sz w:val="18"/>
                <w:szCs w:val="18"/>
                <w:color w:val="auto"/>
                <w:w w:val="92"/>
              </w:rPr>
              <w:t>Consolidated Statements of Comprehensive Income for the fiscal years ended January 30, 2021, February 1, 2020 and February 2,</w:t>
            </w:r>
          </w:p>
        </w:tc>
        <w:tc>
          <w:tcPr>
            <w:tcW w:w="640" w:type="dxa"/>
            <w:vAlign w:val="bottom"/>
            <w:vMerge w:val="restart"/>
          </w:tcPr>
          <w:p>
            <w:pPr>
              <w:spacing w:after="0"/>
              <w:rPr>
                <w:sz w:val="15"/>
                <w:szCs w:val="15"/>
                <w:color w:val="auto"/>
              </w:rPr>
            </w:pPr>
          </w:p>
        </w:tc>
        <w:tc>
          <w:tcPr>
            <w:tcW w:w="840" w:type="dxa"/>
            <w:vAlign w:val="bottom"/>
            <w:gridSpan w:val="2"/>
            <w:vMerge w:val="restart"/>
          </w:tcPr>
          <w:p>
            <w:pPr>
              <w:jc w:val="center"/>
              <w:ind w:right="660"/>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78</w:t>
              </w:r>
            </w:hyperlink>
          </w:p>
        </w:tc>
        <w:tc>
          <w:tcPr>
            <w:tcW w:w="0" w:type="dxa"/>
            <w:vAlign w:val="bottom"/>
          </w:tcPr>
          <w:p>
            <w:pPr>
              <w:spacing w:after="0"/>
              <w:rPr>
                <w:sz w:val="1"/>
                <w:szCs w:val="1"/>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2019</w:t>
            </w:r>
          </w:p>
        </w:tc>
        <w:tc>
          <w:tcPr>
            <w:tcW w:w="6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Consolidated Statements of Stockholders'/Partners' Equity for the fiscal years ended January 30, 2021, February 1, 2020 and February</w:t>
            </w:r>
          </w:p>
        </w:tc>
        <w:tc>
          <w:tcPr>
            <w:tcW w:w="640" w:type="dxa"/>
            <w:vAlign w:val="bottom"/>
            <w:vMerge w:val="restart"/>
            <w:shd w:val="clear" w:color="auto" w:fill="CCEEFF"/>
          </w:tcPr>
          <w:p>
            <w:pPr>
              <w:spacing w:after="0"/>
              <w:rPr>
                <w:sz w:val="15"/>
                <w:szCs w:val="15"/>
                <w:color w:val="auto"/>
              </w:rPr>
            </w:pPr>
          </w:p>
        </w:tc>
        <w:tc>
          <w:tcPr>
            <w:tcW w:w="840" w:type="dxa"/>
            <w:vAlign w:val="bottom"/>
            <w:gridSpan w:val="2"/>
            <w:vMerge w:val="restart"/>
            <w:shd w:val="clear" w:color="auto" w:fill="CCEEFF"/>
          </w:tcPr>
          <w:p>
            <w:pPr>
              <w:jc w:val="center"/>
              <w:ind w:right="660"/>
              <w:spacing w:after="0"/>
              <w:rPr>
                <w:rFonts w:ascii="Arial" w:cs="Arial" w:eastAsia="Arial" w:hAnsi="Arial"/>
                <w:sz w:val="18"/>
                <w:szCs w:val="18"/>
                <w:color w:val="0000FF"/>
                <w:w w:val="89"/>
              </w:rPr>
            </w:pPr>
            <w:hyperlink w:anchor="page78">
              <w:r>
                <w:rPr>
                  <w:rFonts w:ascii="Arial" w:cs="Arial" w:eastAsia="Arial" w:hAnsi="Arial"/>
                  <w:sz w:val="18"/>
                  <w:szCs w:val="18"/>
                  <w:color w:val="0000FF"/>
                  <w:w w:val="89"/>
                </w:rPr>
                <w:t>79</w:t>
              </w:r>
            </w:hyperlink>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2, 2019</w:t>
            </w:r>
          </w:p>
        </w:tc>
        <w:tc>
          <w:tcPr>
            <w:tcW w:w="6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w w:val="97"/>
              </w:rPr>
              <w:t>Consolidated Statements of Cash Flows for the fiscal years ended January 30, 2021, February 1, 2020 and February 2, 2019</w:t>
            </w:r>
          </w:p>
        </w:tc>
        <w:tc>
          <w:tcPr>
            <w:tcW w:w="640" w:type="dxa"/>
            <w:vAlign w:val="bottom"/>
          </w:tcPr>
          <w:p>
            <w:pPr>
              <w:spacing w:after="0"/>
              <w:rPr>
                <w:sz w:val="16"/>
                <w:szCs w:val="16"/>
                <w:color w:val="auto"/>
              </w:rPr>
            </w:pPr>
          </w:p>
        </w:tc>
        <w:tc>
          <w:tcPr>
            <w:tcW w:w="840" w:type="dxa"/>
            <w:vAlign w:val="bottom"/>
            <w:gridSpan w:val="2"/>
          </w:tcPr>
          <w:p>
            <w:pPr>
              <w:jc w:val="center"/>
              <w:ind w:right="660"/>
              <w:spacing w:after="0" w:line="189" w:lineRule="exact"/>
              <w:rPr>
                <w:rFonts w:ascii="Arial" w:cs="Arial" w:eastAsia="Arial" w:hAnsi="Arial"/>
                <w:sz w:val="18"/>
                <w:szCs w:val="18"/>
                <w:color w:val="0000FF"/>
                <w:w w:val="89"/>
              </w:rPr>
            </w:pPr>
            <w:hyperlink w:anchor="page79">
              <w:r>
                <w:rPr>
                  <w:rFonts w:ascii="Arial" w:cs="Arial" w:eastAsia="Arial" w:hAnsi="Arial"/>
                  <w:sz w:val="18"/>
                  <w:szCs w:val="18"/>
                  <w:color w:val="0000FF"/>
                  <w:w w:val="89"/>
                </w:rPr>
                <w:t>80</w:t>
              </w:r>
            </w:hyperlink>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the Consolidated Financial Statements</w:t>
            </w:r>
          </w:p>
        </w:tc>
        <w:tc>
          <w:tcPr>
            <w:tcW w:w="1480" w:type="dxa"/>
            <w:vAlign w:val="bottom"/>
            <w:gridSpan w:val="3"/>
            <w:shd w:val="clear" w:color="auto" w:fill="CCEEFF"/>
          </w:tcPr>
          <w:p>
            <w:pPr>
              <w:jc w:val="center"/>
              <w:ind w:right="20"/>
              <w:spacing w:after="0" w:line="189"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81</w:t>
              </w:r>
            </w:hyperlink>
          </w:p>
        </w:tc>
        <w:tc>
          <w:tcPr>
            <w:tcW w:w="0" w:type="dxa"/>
            <w:vAlign w:val="bottom"/>
          </w:tcPr>
          <w:p>
            <w:pPr>
              <w:spacing w:after="0"/>
              <w:rPr>
                <w:sz w:val="1"/>
                <w:szCs w:val="1"/>
                <w:color w:val="auto"/>
              </w:rPr>
            </w:pPr>
          </w:p>
        </w:tc>
      </w:tr>
      <w:tr>
        <w:trPr>
          <w:trHeight w:val="21"/>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Academy Sports and Outdoors,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Academy Sports and Outdoors, Inc. and subsidiaries (the "Company") as of January 30, 2021 and February 1, 2020, the related consolidated statements of income, comprehensive income, stockholders'/partners’ equity, and cash flows, for each of the three years in the period ended January 30, 2021, and the related notes and schedule listed in the Index at Item 15 (collectively referred to as the "financial statements"). In our opinion, the financial statements present fairly, in all material respects, the financial position of the Company as of January 30, 2021 and February 1, 2020, and the results of its operations and its cash flows for each of the three years in the period ended January 30, 2021, in conformity with accounting principles generally accepted in the United States of America.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Refer to Note 12 to the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1, 2020, the Company completed a reorganization in which New Academy Holding Company, LLC (NAHC) was contributed by its members to Academy Sports and Outdoors, Inc. (ASO), the newly public company, and became a wholly-owned subsidiary. The reorganization was completed in anticipation of the initial public offering (IPO) and resulted in the recording of a net deferred tax liability of $137.3 million. The liability consisted of the Company’s difference between the financial statement carrying value and the outside tax basis in its New Academy Holding Company, LLC (NAHC) membership units, immediately following the reorganization transactions completed as a result of the IPO, and measured at the enacted federal and state income tax rates. The impact of the deferred tax liability was recorded as a cumulative adjustment to additional paid-in capital for the year.</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the determination to measure and disclose the liability based on the outside tax basis and whether to record the amount to equity or income requires management to make significant judgments related to the application of the guidance, performing audit procedures to evaluate the reasonableness of management’s judgments required a high degree of auditor judgment and an increased extent of effort, including the need to consult with our experts in accounting for income taxes, as well as, the need to involve income tax specialists.</w:t>
      </w: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the Company’s application of generally accepted accounting principles related to the financial statement classification of the deferred taxes resulting from the Company's reorganization included the following, among others:</w:t>
      </w:r>
    </w:p>
    <w:p>
      <w:pPr>
        <w:spacing w:after="0" w:line="116" w:lineRule="exact"/>
        <w:rPr>
          <w:sz w:val="20"/>
          <w:szCs w:val="20"/>
          <w:color w:val="auto"/>
        </w:rPr>
      </w:pPr>
    </w:p>
    <w:p>
      <w:pPr>
        <w:jc w:val="both"/>
        <w:ind w:left="660" w:hanging="328"/>
        <w:spacing w:after="0" w:line="263"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Consulted with our experts in accounting for income taxes, and with the assistance of income tax specialists, we evaluated the reasonableness of the assumptions and judgments used by management to measure and disclose the deferred tax liability based on the outside tax basis and to record the impact of the deferred tax liability in equity.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5"/>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 whether the sources of management’s tax basis in the NAHC units were of the appropriate character and sufficient to utilize under relevant tax law.</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April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February 1, 2020</w:t>
            </w:r>
          </w:p>
        </w:tc>
        <w:tc>
          <w:tcPr>
            <w:tcW w:w="0" w:type="dxa"/>
            <w:vAlign w:val="bottom"/>
          </w:tcPr>
          <w:p>
            <w:pPr>
              <w:spacing w:after="0"/>
              <w:rPr>
                <w:sz w:val="1"/>
                <w:szCs w:val="1"/>
                <w:color w:val="auto"/>
              </w:rPr>
            </w:pPr>
          </w:p>
        </w:tc>
      </w:tr>
      <w:tr>
        <w:trPr>
          <w:trHeight w:val="209"/>
        </w:trPr>
        <w:tc>
          <w:tcPr>
            <w:tcW w:w="7600" w:type="dxa"/>
            <w:vAlign w:val="bottom"/>
            <w:tcBorders>
              <w:top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377,604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149,385</w:t>
            </w:r>
          </w:p>
        </w:tc>
        <w:tc>
          <w:tcPr>
            <w:tcW w:w="0" w:type="dxa"/>
            <w:vAlign w:val="bottom"/>
          </w:tcPr>
          <w:p>
            <w:pPr>
              <w:spacing w:after="0"/>
              <w:rPr>
                <w:sz w:val="1"/>
                <w:szCs w:val="1"/>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w w:val="98"/>
              </w:rPr>
              <w:t>Accounts receivable - less allowance for doubtful accounts of $1,172 and $3,275, respectively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17,306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13,999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inventories,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990,034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1,099,749</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28,313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24,548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23"/>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1,415,020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1,289,444</w:t>
            </w:r>
          </w:p>
        </w:tc>
        <w:tc>
          <w:tcPr>
            <w:tcW w:w="0" w:type="dxa"/>
            <w:vAlign w:val="bottom"/>
          </w:tcPr>
          <w:p>
            <w:pPr>
              <w:spacing w:after="0"/>
              <w:rPr>
                <w:sz w:val="1"/>
                <w:szCs w:val="1"/>
                <w:color w:val="auto"/>
              </w:rPr>
            </w:pPr>
          </w:p>
        </w:tc>
      </w:tr>
      <w:tr>
        <w:trPr>
          <w:trHeight w:val="148"/>
        </w:trPr>
        <w:tc>
          <w:tcPr>
            <w:tcW w:w="7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378,260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441,407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1,143,699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1,145,705</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577,000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577,000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4,384,482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STOCKHOLDERS' / PARTNERS' EQUITY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791,404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428,823</w:t>
            </w:r>
          </w:p>
        </w:tc>
        <w:tc>
          <w:tcPr>
            <w:tcW w:w="0" w:type="dxa"/>
            <w:vAlign w:val="bottom"/>
          </w:tcPr>
          <w:p>
            <w:pPr>
              <w:spacing w:after="0"/>
              <w:rPr>
                <w:sz w:val="1"/>
                <w:szCs w:val="1"/>
                <w:color w:val="auto"/>
              </w:rPr>
            </w:pPr>
          </w:p>
        </w:tc>
      </w:tr>
      <w:tr>
        <w:trPr>
          <w:trHeight w:val="230"/>
        </w:trPr>
        <w:tc>
          <w:tcPr>
            <w:tcW w:w="760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291,351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211,381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76,329</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34,116</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1,167,093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750,649</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781,489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1,428,542</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1,150,088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1,141,896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19,197</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3,272,499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3,340,284</w:t>
            </w:r>
          </w:p>
        </w:tc>
        <w:tc>
          <w:tcPr>
            <w:tcW w:w="0" w:type="dxa"/>
            <w:vAlign w:val="bottom"/>
          </w:tcPr>
          <w:p>
            <w:pPr>
              <w:spacing w:after="0"/>
              <w:rPr>
                <w:sz w:val="1"/>
                <w:szCs w:val="1"/>
                <w:color w:val="auto"/>
              </w:rPr>
            </w:pPr>
          </w:p>
        </w:tc>
      </w:tr>
      <w:tr>
        <w:trPr>
          <w:trHeight w:val="129"/>
        </w:trPr>
        <w:tc>
          <w:tcPr>
            <w:tcW w:w="7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REDEEMABLE MEMBERSHIP UNITS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 xml:space="preserve">STOCKHOLDERS' / PARTNERS' EQUITY </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w w:val="96"/>
              </w:rPr>
              <w:t>Preferred stock, $0.01 par value, authorized 50,000,000 shares; none issued and outstanding</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7"/>
              </w:rPr>
              <w:t>Partners' equity, membership units authorized, issued and outstanding were 72,468,164 as of</w:t>
            </w:r>
          </w:p>
        </w:tc>
        <w:tc>
          <w:tcPr>
            <w:tcW w:w="160" w:type="dxa"/>
            <w:vAlign w:val="bottom"/>
            <w:shd w:val="clear" w:color="auto" w:fill="CCEEFF"/>
          </w:tcPr>
          <w:p>
            <w:pPr>
              <w:spacing w:after="0"/>
              <w:rPr>
                <w:sz w:val="15"/>
                <w:szCs w:val="15"/>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996,285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February 1, 2020</w:t>
            </w:r>
          </w:p>
        </w:tc>
        <w:tc>
          <w:tcPr>
            <w:tcW w:w="160" w:type="dxa"/>
            <w:vAlign w:val="bottom"/>
            <w:shd w:val="clear" w:color="auto" w:fill="CCEEFF"/>
          </w:tcPr>
          <w:p>
            <w:pPr>
              <w:spacing w:after="0"/>
              <w:rPr>
                <w:sz w:val="19"/>
                <w:szCs w:val="19"/>
                <w:color w:val="auto"/>
              </w:rPr>
            </w:pPr>
          </w:p>
        </w:tc>
        <w:tc>
          <w:tcPr>
            <w:tcW w:w="17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89"/>
              </w:rPr>
              <w:t>Common stock, $0.01 par value, authorized 300,000,000 shares; 91,114,475 issued and outstanding</w:t>
            </w:r>
          </w:p>
        </w:tc>
        <w:tc>
          <w:tcPr>
            <w:tcW w:w="1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as of January 30, 2021</w:t>
            </w:r>
          </w:p>
        </w:tc>
        <w:tc>
          <w:tcPr>
            <w:tcW w:w="1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127,228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987,168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460"/>
              <w:spacing w:after="0"/>
              <w:rPr>
                <w:sz w:val="20"/>
                <w:szCs w:val="20"/>
                <w:color w:val="auto"/>
              </w:rPr>
            </w:pPr>
            <w:r>
              <w:rPr>
                <w:rFonts w:ascii="Arial" w:cs="Arial" w:eastAsia="Arial" w:hAnsi="Arial"/>
                <w:sz w:val="18"/>
                <w:szCs w:val="18"/>
                <w:b w:val="1"/>
                <w:bCs w:val="1"/>
                <w:color w:val="auto"/>
              </w:rPr>
              <w:t>Stockholders' / partners' equity</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1,111,983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988,219</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 and stockholders' / partners'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4,384,482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60" w:hanging="152"/>
        <w:spacing w:after="0"/>
        <w:tabs>
          <w:tab w:leader="none" w:pos="160" w:val="left"/>
        </w:tabs>
        <w:numPr>
          <w:ilvl w:val="0"/>
          <w:numId w:val="46"/>
        </w:numPr>
        <w:rPr>
          <w:rFonts w:ascii="Arial" w:cs="Arial" w:eastAsia="Arial" w:hAnsi="Arial"/>
          <w:sz w:val="9"/>
          <w:szCs w:val="9"/>
          <w:color w:val="auto"/>
        </w:rPr>
      </w:pPr>
      <w:r>
        <w:rPr>
          <w:rFonts w:ascii="Arial" w:cs="Arial" w:eastAsia="Arial" w:hAnsi="Arial"/>
          <w:sz w:val="14"/>
          <w:szCs w:val="14"/>
          <w:color w:val="auto"/>
        </w:rPr>
        <w:t>See Retrospective Presentation of Ownership Exchange in Note 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2020</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February 2, 2019</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5,689,233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4,829,897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4,783,893</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3,955,188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3,398,743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3,415,941</w:t>
            </w:r>
          </w:p>
        </w:tc>
      </w:tr>
      <w:tr>
        <w:trPr>
          <w:trHeight w:val="223"/>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1,734,045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1,367,952</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1,313,647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1,239,002</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420,398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179,421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128,950</w:t>
            </w:r>
          </w:p>
        </w:tc>
      </w:tr>
      <w:tr>
        <w:trPr>
          <w:trHeight w:val="257"/>
        </w:trPr>
        <w:tc>
          <w:tcPr>
            <w:tcW w:w="5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86,514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101,307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108,652</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EARLY RETIREMENT OF DEBT,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r>
      <w:tr>
        <w:trPr>
          <w:trHeight w:val="223"/>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339,120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308,764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7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29"/>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77,994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72,477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72,432</w:t>
            </w:r>
          </w:p>
        </w:tc>
      </w:tr>
      <w:tr>
        <w:trPr>
          <w:trHeight w:val="229"/>
        </w:trPr>
        <w:tc>
          <w:tcPr>
            <w:tcW w:w="57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75,198</w:t>
            </w:r>
          </w:p>
        </w:tc>
      </w:tr>
    </w:tbl>
    <w:p>
      <w:pPr>
        <w:spacing w:after="0" w:line="65"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1, 2020</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February 2, 2019</w:t>
            </w:r>
          </w:p>
        </w:tc>
      </w:tr>
      <w:tr>
        <w:trPr>
          <w:trHeight w:val="210"/>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308,764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120,043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21,442</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interest rate swaps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Recognized interest (income) expense on interest rate swaps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11,045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swaps from debt refinancing</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Tax expense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(980)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313,506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jc w:val="center"/>
        <w:spacing w:after="0" w:line="271" w:lineRule="auto"/>
        <w:rPr>
          <w:sz w:val="20"/>
          <w:szCs w:val="20"/>
          <w:color w:val="auto"/>
        </w:rPr>
      </w:pPr>
      <w:r>
        <w:rPr>
          <w:rFonts w:ascii="Arial" w:cs="Arial" w:eastAsia="Arial" w:hAnsi="Arial"/>
          <w:sz w:val="16"/>
          <w:szCs w:val="16"/>
          <w:b w:val="1"/>
          <w:bCs w:val="1"/>
          <w:color w:val="auto"/>
        </w:rPr>
        <w:t>ACADEMY SPORTS AND OUTDOORS, INC. CONSOLIDATED STATEMENTS OF STOCKHOLDERS' / PARTNERS’ EQUITY (Amounts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3"/>
                <w:szCs w:val="13"/>
                <w:b w:val="1"/>
                <w:bCs w:val="1"/>
                <w:color w:val="auto"/>
              </w:rPr>
              <w:t>Redeemable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Membership</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180" w:type="dxa"/>
            <w:vAlign w:val="bottom"/>
            <w:gridSpan w:val="4"/>
            <w:vMerge w:val="restart"/>
          </w:tcPr>
          <w:p>
            <w:pPr>
              <w:ind w:left="180"/>
              <w:spacing w:after="0" w:line="135" w:lineRule="exact"/>
              <w:rPr>
                <w:sz w:val="20"/>
                <w:szCs w:val="20"/>
                <w:color w:val="auto"/>
              </w:rPr>
            </w:pPr>
            <w:r>
              <w:rPr>
                <w:rFonts w:ascii="Arial" w:cs="Arial" w:eastAsia="Arial" w:hAnsi="Arial"/>
                <w:sz w:val="13"/>
                <w:szCs w:val="13"/>
                <w:b w:val="1"/>
                <w:bCs w:val="1"/>
                <w:color w:val="auto"/>
              </w:rPr>
              <w:t>Membership</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Units /</w:t>
            </w:r>
          </w:p>
        </w:tc>
        <w:tc>
          <w:tcPr>
            <w:tcW w:w="0" w:type="dxa"/>
            <w:vAlign w:val="bottom"/>
          </w:tcPr>
          <w:p>
            <w:pPr>
              <w:spacing w:after="0"/>
              <w:rPr>
                <w:sz w:val="1"/>
                <w:szCs w:val="1"/>
                <w:color w:val="auto"/>
              </w:rPr>
            </w:pPr>
          </w:p>
        </w:tc>
      </w:tr>
      <w:tr>
        <w:trPr>
          <w:trHeight w:val="68"/>
        </w:trPr>
        <w:tc>
          <w:tcPr>
            <w:tcW w:w="3080" w:type="dxa"/>
            <w:vAlign w:val="bottom"/>
          </w:tcPr>
          <w:p>
            <w:pPr>
              <w:spacing w:after="0"/>
              <w:rPr>
                <w:sz w:val="5"/>
                <w:szCs w:val="5"/>
                <w:color w:val="auto"/>
              </w:rPr>
            </w:pPr>
          </w:p>
        </w:tc>
        <w:tc>
          <w:tcPr>
            <w:tcW w:w="118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Units</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08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9"/>
            <w:vMerge w:val="restart"/>
          </w:tcPr>
          <w:p>
            <w:pPr>
              <w:ind w:left="80"/>
              <w:spacing w:after="0"/>
              <w:rPr>
                <w:sz w:val="20"/>
                <w:szCs w:val="20"/>
                <w:color w:val="auto"/>
              </w:rPr>
            </w:pPr>
            <w:r>
              <w:rPr>
                <w:rFonts w:ascii="Arial" w:cs="Arial" w:eastAsia="Arial" w:hAnsi="Arial"/>
                <w:sz w:val="13"/>
                <w:szCs w:val="13"/>
                <w:b w:val="1"/>
                <w:bCs w:val="1"/>
                <w:color w:val="auto"/>
                <w:w w:val="99"/>
              </w:rPr>
              <w:t>Stockholders' / Partner's Equity</w:t>
            </w: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Common Stock</w:t>
            </w:r>
          </w:p>
        </w:tc>
        <w:tc>
          <w:tcPr>
            <w:tcW w:w="0" w:type="dxa"/>
            <w:vAlign w:val="bottom"/>
          </w:tcPr>
          <w:p>
            <w:pPr>
              <w:spacing w:after="0"/>
              <w:rPr>
                <w:sz w:val="1"/>
                <w:szCs w:val="1"/>
                <w:color w:val="auto"/>
              </w:rPr>
            </w:pPr>
          </w:p>
        </w:tc>
      </w:tr>
      <w:tr>
        <w:trPr>
          <w:trHeight w:val="75"/>
        </w:trPr>
        <w:tc>
          <w:tcPr>
            <w:tcW w:w="308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gridSpan w:val="9"/>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3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6" w:lineRule="exact"/>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6"/>
              </w:rPr>
              <w:t>Total</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Other</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jc w:val="right"/>
              <w:ind w:right="53"/>
              <w:spacing w:after="0"/>
              <w:rPr>
                <w:sz w:val="20"/>
                <w:szCs w:val="20"/>
                <w:color w:val="auto"/>
              </w:rPr>
            </w:pPr>
            <w:r>
              <w:rPr>
                <w:rFonts w:ascii="Arial" w:cs="Arial" w:eastAsia="Arial" w:hAnsi="Arial"/>
                <w:sz w:val="13"/>
                <w:szCs w:val="13"/>
                <w:b w:val="1"/>
                <w:bCs w:val="1"/>
                <w:color w:val="auto"/>
              </w:rPr>
              <w:t>Partners' Equity</w:t>
            </w:r>
          </w:p>
        </w:tc>
        <w:tc>
          <w:tcPr>
            <w:tcW w:w="80" w:type="dxa"/>
            <w:vAlign w:val="bottom"/>
            <w:vMerge w:val="restart"/>
          </w:tcPr>
          <w:p>
            <w:pPr>
              <w:spacing w:after="0"/>
              <w:rPr>
                <w:sz w:val="11"/>
                <w:szCs w:val="11"/>
                <w:color w:val="auto"/>
              </w:rPr>
            </w:pPr>
          </w:p>
        </w:tc>
        <w:tc>
          <w:tcPr>
            <w:tcW w:w="110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rPr>
              <w:t>Paid-In</w:t>
            </w:r>
          </w:p>
        </w:tc>
        <w:tc>
          <w:tcPr>
            <w:tcW w:w="700" w:type="dxa"/>
            <w:vAlign w:val="bottom"/>
            <w:gridSpan w:val="3"/>
            <w:vMerge w:val="continue"/>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8"/>
              </w:rPr>
              <w:t>/ Partner's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0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Income (Loss)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56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Units</w:t>
            </w: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 xml:space="preserve">Units </w:t>
            </w:r>
            <w:r>
              <w:rPr>
                <w:rFonts w:ascii="Arial" w:cs="Arial" w:eastAsia="Arial" w:hAnsi="Arial"/>
                <w:sz w:val="17"/>
                <w:szCs w:val="17"/>
                <w:b w:val="1"/>
                <w:bCs w:val="1"/>
                <w:color w:val="auto"/>
                <w:w w:val="91"/>
                <w:vertAlign w:val="superscript"/>
              </w:rPr>
              <w:t>(1)</w:t>
            </w:r>
          </w:p>
        </w:tc>
        <w:tc>
          <w:tcPr>
            <w:tcW w:w="80" w:type="dxa"/>
            <w:vAlign w:val="bottom"/>
            <w:vMerge w:val="restart"/>
          </w:tcPr>
          <w:p>
            <w:pPr>
              <w:spacing w:after="0"/>
              <w:rPr>
                <w:sz w:val="11"/>
                <w:szCs w:val="11"/>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96"/>
              </w:rPr>
              <w:t>Shares</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1"/>
                <w:szCs w:val="11"/>
                <w:color w:val="auto"/>
              </w:rPr>
            </w:pPr>
          </w:p>
        </w:tc>
        <w:tc>
          <w:tcPr>
            <w:tcW w:w="620" w:type="dxa"/>
            <w:vAlign w:val="bottom"/>
            <w:gridSpan w:val="2"/>
            <w:vMerge w:val="restart"/>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 xml:space="preserve">Units / Shares </w:t>
            </w:r>
            <w:r>
              <w:rPr>
                <w:rFonts w:ascii="Arial" w:cs="Arial" w:eastAsia="Arial" w:hAnsi="Arial"/>
                <w:sz w:val="17"/>
                <w:szCs w:val="17"/>
                <w:b w:val="1"/>
                <w:bCs w:val="1"/>
                <w:color w:val="auto"/>
                <w:w w:val="90"/>
                <w:vertAlign w:val="superscript"/>
              </w:rPr>
              <w:t>(1)</w:t>
            </w:r>
          </w:p>
        </w:tc>
        <w:tc>
          <w:tcPr>
            <w:tcW w:w="0" w:type="dxa"/>
            <w:vAlign w:val="bottom"/>
          </w:tcPr>
          <w:p>
            <w:pPr>
              <w:spacing w:after="0"/>
              <w:rPr>
                <w:sz w:val="1"/>
                <w:szCs w:val="1"/>
                <w:color w:val="auto"/>
              </w:rPr>
            </w:pPr>
          </w:p>
        </w:tc>
      </w:tr>
      <w:tr>
        <w:trPr>
          <w:trHeight w:val="135"/>
        </w:trPr>
        <w:tc>
          <w:tcPr>
            <w:tcW w:w="30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February 3, 2018</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1,277</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$ 16,431</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71,111</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$ 822,720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9,967</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832,687</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72,388</w:t>
            </w:r>
          </w:p>
        </w:tc>
        <w:tc>
          <w:tcPr>
            <w:tcW w:w="0" w:type="dxa"/>
            <w:vAlign w:val="bottom"/>
          </w:tcPr>
          <w:p>
            <w:pPr>
              <w:spacing w:after="0"/>
              <w:rPr>
                <w:sz w:val="1"/>
                <w:szCs w:val="1"/>
                <w:color w:val="auto"/>
              </w:rPr>
            </w:pPr>
          </w:p>
        </w:tc>
      </w:tr>
      <w:tr>
        <w:trPr>
          <w:trHeight w:val="175"/>
        </w:trPr>
        <w:tc>
          <w:tcPr>
            <w:tcW w:w="3080" w:type="dxa"/>
            <w:vAlign w:val="bottom"/>
          </w:tcPr>
          <w:p>
            <w:pPr>
              <w:ind w:left="240"/>
              <w:spacing w:after="0"/>
              <w:rPr>
                <w:sz w:val="20"/>
                <w:szCs w:val="20"/>
                <w:color w:val="auto"/>
              </w:rPr>
            </w:pPr>
            <w:r>
              <w:rPr>
                <w:rFonts w:ascii="Arial" w:cs="Arial" w:eastAsia="Arial" w:hAnsi="Arial"/>
                <w:sz w:val="13"/>
                <w:szCs w:val="13"/>
                <w:color w:val="auto"/>
              </w:rPr>
              <w:t>Net income</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21,442</w:t>
            </w: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21,442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 compensation</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4,633</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4,633</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080" w:type="dxa"/>
            <w:vAlign w:val="bottom"/>
          </w:tcPr>
          <w:p>
            <w:pPr>
              <w:ind w:left="240"/>
              <w:spacing w:after="0"/>
              <w:rPr>
                <w:sz w:val="20"/>
                <w:szCs w:val="20"/>
                <w:color w:val="auto"/>
              </w:rPr>
            </w:pPr>
            <w:r>
              <w:rPr>
                <w:rFonts w:ascii="Arial" w:cs="Arial" w:eastAsia="Arial" w:hAnsi="Arial"/>
                <w:sz w:val="13"/>
                <w:szCs w:val="13"/>
                <w:color w:val="auto"/>
              </w:rPr>
              <w:t>Equity contributions from Managers</w:t>
            </w:r>
          </w:p>
        </w:tc>
        <w:tc>
          <w:tcPr>
            <w:tcW w:w="480" w:type="dxa"/>
            <w:vAlign w:val="bottom"/>
          </w:tcPr>
          <w:p>
            <w:pPr>
              <w:jc w:val="right"/>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1,250</w:t>
            </w: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1,250</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45"/>
        </w:trPr>
        <w:tc>
          <w:tcPr>
            <w:tcW w:w="3080" w:type="dxa"/>
            <w:vAlign w:val="bottom"/>
            <w:shd w:val="clear" w:color="auto" w:fill="CCEEFF"/>
          </w:tcPr>
          <w:p>
            <w:pPr>
              <w:ind w:left="240"/>
              <w:spacing w:after="0" w:line="145" w:lineRule="exact"/>
              <w:rPr>
                <w:sz w:val="20"/>
                <w:szCs w:val="20"/>
                <w:color w:val="auto"/>
              </w:rPr>
            </w:pPr>
            <w:r>
              <w:rPr>
                <w:rFonts w:ascii="Arial" w:cs="Arial" w:eastAsia="Arial" w:hAnsi="Arial"/>
                <w:sz w:val="13"/>
                <w:szCs w:val="13"/>
                <w:color w:val="auto"/>
                <w:w w:val="99"/>
              </w:rPr>
              <w:t>Adjustment to Redeemable Membership Units for</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contributions from Managers and settlement of</w:t>
            </w:r>
          </w:p>
        </w:tc>
        <w:tc>
          <w:tcPr>
            <w:tcW w:w="4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vested Restricted Units</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240"/>
              <w:spacing w:after="0"/>
              <w:rPr>
                <w:sz w:val="20"/>
                <w:szCs w:val="20"/>
                <w:color w:val="auto"/>
              </w:rPr>
            </w:pPr>
            <w:r>
              <w:rPr>
                <w:rFonts w:ascii="Arial" w:cs="Arial" w:eastAsia="Arial" w:hAnsi="Arial"/>
                <w:sz w:val="13"/>
                <w:szCs w:val="13"/>
                <w:color w:val="auto"/>
              </w:rPr>
              <w:t>Unrealized loss on interest rate swaps</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(2,625)</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40"/>
              <w:spacing w:after="0"/>
              <w:rPr>
                <w:sz w:val="20"/>
                <w:szCs w:val="20"/>
                <w:color w:val="auto"/>
              </w:rPr>
            </w:pPr>
            <w:r>
              <w:rPr>
                <w:rFonts w:ascii="Arial" w:cs="Arial" w:eastAsia="Arial" w:hAnsi="Arial"/>
                <w:sz w:val="13"/>
                <w:szCs w:val="13"/>
                <w:color w:val="auto"/>
                <w:w w:val="94"/>
              </w:rPr>
              <w:t>Recognized interest expense on interest rate swaps</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1,106</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Balances as of February 2, 2019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1,362</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$ 17,885</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71,111</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$ 848,591</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8,448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857,039</w:t>
            </w: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72,473</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Net income</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120,043</w:t>
            </w: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120,043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080" w:type="dxa"/>
            <w:vAlign w:val="bottom"/>
          </w:tcPr>
          <w:p>
            <w:pPr>
              <w:ind w:left="240"/>
              <w:spacing w:after="0"/>
              <w:rPr>
                <w:sz w:val="20"/>
                <w:szCs w:val="20"/>
                <w:color w:val="auto"/>
              </w:rPr>
            </w:pPr>
            <w:r>
              <w:rPr>
                <w:rFonts w:ascii="Arial" w:cs="Arial" w:eastAsia="Arial" w:hAnsi="Arial"/>
                <w:sz w:val="13"/>
                <w:szCs w:val="13"/>
                <w:color w:val="auto"/>
              </w:rPr>
              <w:t>Equity compensation</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7,881</w:t>
            </w: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40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7,881</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0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Equity contributions from Managers</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8"/>
        </w:trPr>
        <w:tc>
          <w:tcPr>
            <w:tcW w:w="3080" w:type="dxa"/>
            <w:vAlign w:val="bottom"/>
          </w:tcPr>
          <w:p>
            <w:pPr>
              <w:ind w:left="240"/>
              <w:spacing w:after="0" w:line="138" w:lineRule="exact"/>
              <w:rPr>
                <w:sz w:val="20"/>
                <w:szCs w:val="20"/>
                <w:color w:val="auto"/>
              </w:rPr>
            </w:pPr>
            <w:r>
              <w:rPr>
                <w:rFonts w:ascii="Arial" w:cs="Arial" w:eastAsia="Arial" w:hAnsi="Arial"/>
                <w:sz w:val="13"/>
                <w:szCs w:val="13"/>
                <w:color w:val="auto"/>
                <w:w w:val="99"/>
              </w:rPr>
              <w:t>Adjustment to Redeemable Membership Units for</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4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(400)</w:t>
            </w: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3080" w:type="dxa"/>
            <w:vAlign w:val="bottom"/>
          </w:tcPr>
          <w:p>
            <w:pPr>
              <w:ind w:left="240"/>
              <w:spacing w:after="0" w:line="135" w:lineRule="exact"/>
              <w:rPr>
                <w:sz w:val="20"/>
                <w:szCs w:val="20"/>
                <w:color w:val="auto"/>
              </w:rPr>
            </w:pPr>
            <w:r>
              <w:rPr>
                <w:rFonts w:ascii="Arial" w:cs="Arial" w:eastAsia="Arial" w:hAnsi="Arial"/>
                <w:sz w:val="13"/>
                <w:szCs w:val="13"/>
                <w:color w:val="auto"/>
              </w:rPr>
              <w:t>contributions from Managers and settlement of</w:t>
            </w: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3080" w:type="dxa"/>
            <w:vAlign w:val="bottom"/>
          </w:tcPr>
          <w:p>
            <w:pPr>
              <w:ind w:left="240"/>
              <w:spacing w:after="0"/>
              <w:rPr>
                <w:sz w:val="20"/>
                <w:szCs w:val="20"/>
                <w:color w:val="auto"/>
              </w:rPr>
            </w:pPr>
            <w:r>
              <w:rPr>
                <w:rFonts w:ascii="Arial" w:cs="Arial" w:eastAsia="Arial" w:hAnsi="Arial"/>
                <w:sz w:val="13"/>
                <w:szCs w:val="13"/>
                <w:color w:val="auto"/>
              </w:rPr>
              <w:t>vested Restricted Units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7029450"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29450" cy="205740"/>
                    </a:xfrm>
                    <a:prstGeom prst="rect">
                      <a:avLst/>
                    </a:prstGeom>
                    <a:noFill/>
                  </pic:spPr>
                </pic:pic>
              </a:graphicData>
            </a:graphic>
          </wp:anchor>
        </w:drawing>
      </w:r>
    </w:p>
    <w:p>
      <w:pPr>
        <w:sectPr>
          <w:pgSz w:w="11900" w:h="16838" w:orient="portrait"/>
          <w:cols w:equalWidth="0" w:num="1">
            <w:col w:w="11080"/>
          </w:cols>
          <w:pgMar w:left="400" w:top="517" w:right="419" w:bottom="1440" w:gutter="0" w:footer="0" w:header="0"/>
        </w:sectPr>
      </w:pPr>
    </w:p>
    <w:p>
      <w:pPr>
        <w:spacing w:after="0" w:line="17" w:lineRule="exact"/>
        <w:rPr>
          <w:sz w:val="20"/>
          <w:szCs w:val="20"/>
          <w:color w:val="auto"/>
        </w:rPr>
      </w:pPr>
    </w:p>
    <w:p>
      <w:pPr>
        <w:ind w:left="240" w:right="120"/>
        <w:spacing w:after="0" w:line="253" w:lineRule="auto"/>
        <w:rPr>
          <w:sz w:val="20"/>
          <w:szCs w:val="20"/>
          <w:color w:val="auto"/>
        </w:rPr>
      </w:pPr>
      <w:r>
        <w:rPr>
          <w:rFonts w:ascii="Arial" w:cs="Arial" w:eastAsia="Arial" w:hAnsi="Arial"/>
          <w:sz w:val="13"/>
          <w:szCs w:val="13"/>
          <w:color w:val="auto"/>
        </w:rPr>
        <w:t>Adjustment to Redeemable Membership Units for repurchase of units from Managers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Repurchase of Redeemable Membership Units</w:t>
      </w:r>
    </w:p>
    <w:p>
      <w:pPr>
        <w:spacing w:after="0" w:line="40" w:lineRule="exact"/>
        <w:rPr>
          <w:sz w:val="20"/>
          <w:szCs w:val="20"/>
          <w:color w:val="auto"/>
        </w:rPr>
      </w:pPr>
    </w:p>
    <w:p>
      <w:pPr>
        <w:ind w:left="240" w:right="160"/>
        <w:spacing w:after="0" w:line="253" w:lineRule="auto"/>
        <w:rPr>
          <w:sz w:val="20"/>
          <w:szCs w:val="20"/>
          <w:color w:val="auto"/>
        </w:rPr>
      </w:pPr>
      <w:r>
        <w:rPr>
          <w:rFonts w:ascii="Arial" w:cs="Arial" w:eastAsia="Arial" w:hAnsi="Arial"/>
          <w:sz w:val="13"/>
          <w:szCs w:val="13"/>
          <w:color w:val="auto"/>
        </w:rPr>
        <w:t>Reclassification of membership units with lapsed put rights (Note 2)</w:t>
      </w:r>
    </w:p>
    <w:p>
      <w:pPr>
        <w:spacing w:after="0" w:line="9" w:lineRule="exact"/>
        <w:rPr>
          <w:sz w:val="20"/>
          <w:szCs w:val="20"/>
          <w:color w:val="auto"/>
        </w:rPr>
      </w:pPr>
    </w:p>
    <w:p>
      <w:pPr>
        <w:ind w:left="240" w:right="480"/>
        <w:spacing w:after="0" w:line="253" w:lineRule="auto"/>
        <w:rPr>
          <w:sz w:val="20"/>
          <w:szCs w:val="20"/>
          <w:color w:val="auto"/>
        </w:rPr>
      </w:pPr>
      <w:r>
        <w:rPr>
          <w:rFonts w:ascii="Arial" w:cs="Arial" w:eastAsia="Arial" w:hAnsi="Arial"/>
          <w:sz w:val="13"/>
          <w:szCs w:val="13"/>
          <w:color w:val="auto"/>
        </w:rPr>
        <w:t>Cumulative-effect adjustment related to the adoption of the New Lease Standard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Unrealized loss on interest rate swaps</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Recognized interest income on interest rate swaps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Balances as of February 1, 2020</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income</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Equity compensation</w:t>
      </w:r>
    </w:p>
    <w:p>
      <w:pPr>
        <w:spacing w:after="0" w:line="40" w:lineRule="exact"/>
        <w:rPr>
          <w:sz w:val="20"/>
          <w:szCs w:val="20"/>
          <w:color w:val="auto"/>
        </w:rPr>
      </w:pPr>
    </w:p>
    <w:p>
      <w:pPr>
        <w:ind w:left="240" w:right="120"/>
        <w:spacing w:after="0" w:line="253" w:lineRule="auto"/>
        <w:rPr>
          <w:sz w:val="20"/>
          <w:szCs w:val="20"/>
          <w:color w:val="auto"/>
        </w:rPr>
      </w:pPr>
      <w:r>
        <w:rPr>
          <w:rFonts w:ascii="Arial" w:cs="Arial" w:eastAsia="Arial" w:hAnsi="Arial"/>
          <w:sz w:val="13"/>
          <w:szCs w:val="13"/>
          <w:color w:val="auto"/>
        </w:rPr>
        <w:t>Adjustment to Redeemable Membership Units for settlement of vested Restricted Units</w:t>
      </w:r>
    </w:p>
    <w:p>
      <w:pPr>
        <w:spacing w:after="0" w:line="9" w:lineRule="exact"/>
        <w:rPr>
          <w:sz w:val="20"/>
          <w:szCs w:val="20"/>
          <w:color w:val="auto"/>
        </w:rPr>
      </w:pPr>
    </w:p>
    <w:p>
      <w:pPr>
        <w:ind w:left="240" w:right="120"/>
        <w:spacing w:after="0" w:line="253" w:lineRule="auto"/>
        <w:rPr>
          <w:sz w:val="20"/>
          <w:szCs w:val="20"/>
          <w:color w:val="auto"/>
        </w:rPr>
      </w:pPr>
      <w:r>
        <w:rPr>
          <w:rFonts w:ascii="Arial" w:cs="Arial" w:eastAsia="Arial" w:hAnsi="Arial"/>
          <w:sz w:val="13"/>
          <w:szCs w:val="13"/>
          <w:color w:val="auto"/>
        </w:rPr>
        <w:t>Adjustment to Redeemable Membership Units for repurchase of units from Managers</w:t>
      </w:r>
    </w:p>
    <w:p>
      <w:pPr>
        <w:spacing w:after="0" w:line="9" w:lineRule="exact"/>
        <w:rPr>
          <w:sz w:val="20"/>
          <w:szCs w:val="20"/>
          <w:color w:val="auto"/>
        </w:rPr>
      </w:pPr>
    </w:p>
    <w:p>
      <w:pPr>
        <w:ind w:left="240" w:right="300"/>
        <w:spacing w:after="0" w:line="328" w:lineRule="auto"/>
        <w:rPr>
          <w:sz w:val="20"/>
          <w:szCs w:val="20"/>
          <w:color w:val="auto"/>
        </w:rPr>
      </w:pPr>
      <w:r>
        <w:rPr>
          <w:rFonts w:ascii="Arial" w:cs="Arial" w:eastAsia="Arial" w:hAnsi="Arial"/>
          <w:sz w:val="12"/>
          <w:szCs w:val="12"/>
          <w:color w:val="auto"/>
        </w:rPr>
        <w:t>Repurchase of Redeemable Membership Units Distributions to holders of Membership Units Effect of the Reorganization Transactions</w:t>
      </w:r>
    </w:p>
    <w:p>
      <w:pPr>
        <w:spacing w:after="0" w:line="1" w:lineRule="exact"/>
        <w:rPr>
          <w:sz w:val="20"/>
          <w:szCs w:val="20"/>
          <w:color w:val="auto"/>
        </w:rPr>
      </w:pPr>
    </w:p>
    <w:p>
      <w:pPr>
        <w:ind w:left="240" w:right="420"/>
        <w:spacing w:after="0" w:line="253" w:lineRule="auto"/>
        <w:rPr>
          <w:sz w:val="20"/>
          <w:szCs w:val="20"/>
          <w:color w:val="auto"/>
        </w:rPr>
      </w:pPr>
      <w:r>
        <w:rPr>
          <w:rFonts w:ascii="Arial" w:cs="Arial" w:eastAsia="Arial" w:hAnsi="Arial"/>
          <w:sz w:val="13"/>
          <w:szCs w:val="13"/>
          <w:color w:val="auto"/>
        </w:rPr>
        <w:t>Issuance of common stock in IPO and Over-Allotment, net of Offering Costs</w:t>
      </w:r>
    </w:p>
    <w:p>
      <w:pPr>
        <w:spacing w:after="0" w:line="9" w:lineRule="exact"/>
        <w:rPr>
          <w:sz w:val="20"/>
          <w:szCs w:val="20"/>
          <w:color w:val="auto"/>
        </w:rPr>
      </w:pPr>
    </w:p>
    <w:p>
      <w:pPr>
        <w:ind w:left="240"/>
        <w:spacing w:after="0" w:line="253" w:lineRule="auto"/>
        <w:rPr>
          <w:sz w:val="20"/>
          <w:szCs w:val="20"/>
          <w:color w:val="auto"/>
        </w:rPr>
      </w:pPr>
      <w:r>
        <w:rPr>
          <w:rFonts w:ascii="Arial" w:cs="Arial" w:eastAsia="Arial" w:hAnsi="Arial"/>
          <w:sz w:val="13"/>
          <w:szCs w:val="13"/>
          <w:color w:val="auto"/>
        </w:rPr>
        <w:t>Cumulative tax effect resulting from Reorganization Transactions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Share-Based Award Payments</w:t>
      </w:r>
    </w:p>
    <w:p>
      <w:pPr>
        <w:spacing w:after="0" w:line="40" w:lineRule="exact"/>
        <w:rPr>
          <w:sz w:val="20"/>
          <w:szCs w:val="20"/>
          <w:color w:val="auto"/>
        </w:rPr>
      </w:pPr>
    </w:p>
    <w:p>
      <w:pPr>
        <w:ind w:left="240" w:right="360"/>
        <w:spacing w:after="0" w:line="253" w:lineRule="auto"/>
        <w:rPr>
          <w:sz w:val="20"/>
          <w:szCs w:val="20"/>
          <w:color w:val="auto"/>
        </w:rPr>
      </w:pPr>
      <w:r>
        <w:rPr>
          <w:rFonts w:ascii="Arial" w:cs="Arial" w:eastAsia="Arial" w:hAnsi="Arial"/>
          <w:sz w:val="13"/>
          <w:szCs w:val="13"/>
          <w:color w:val="auto"/>
        </w:rPr>
        <w:t>Share-Based Award Payments adjustment for forfeitures</w:t>
      </w:r>
    </w:p>
    <w:p>
      <w:pPr>
        <w:spacing w:after="0" w:line="9" w:lineRule="exact"/>
        <w:rPr>
          <w:sz w:val="20"/>
          <w:szCs w:val="20"/>
          <w:color w:val="auto"/>
        </w:rPr>
      </w:pPr>
    </w:p>
    <w:p>
      <w:pPr>
        <w:ind w:left="240" w:right="460"/>
        <w:spacing w:after="0" w:line="303" w:lineRule="auto"/>
        <w:rPr>
          <w:sz w:val="20"/>
          <w:szCs w:val="20"/>
          <w:color w:val="auto"/>
        </w:rPr>
      </w:pPr>
      <w:r>
        <w:rPr>
          <w:rFonts w:ascii="Arial" w:cs="Arial" w:eastAsia="Arial" w:hAnsi="Arial"/>
          <w:sz w:val="13"/>
          <w:szCs w:val="13"/>
          <w:color w:val="auto"/>
        </w:rPr>
        <w:t>Settlement of vested Restricted Stock Units Stock option exercises</w:t>
      </w:r>
    </w:p>
    <w:p>
      <w:pPr>
        <w:spacing w:after="0" w:line="1" w:lineRule="exact"/>
        <w:rPr>
          <w:sz w:val="20"/>
          <w:szCs w:val="20"/>
          <w:color w:val="auto"/>
        </w:rPr>
      </w:pPr>
    </w:p>
    <w:p>
      <w:pPr>
        <w:ind w:left="240" w:right="200"/>
        <w:spacing w:after="0" w:line="253" w:lineRule="auto"/>
        <w:rPr>
          <w:sz w:val="20"/>
          <w:szCs w:val="20"/>
          <w:color w:val="auto"/>
        </w:rPr>
      </w:pPr>
      <w:r>
        <w:rPr>
          <w:rFonts w:ascii="Arial" w:cs="Arial" w:eastAsia="Arial" w:hAnsi="Arial"/>
          <w:sz w:val="13"/>
          <w:szCs w:val="13"/>
          <w:color w:val="auto"/>
        </w:rPr>
        <w:t>Unrealized loss on interest rate swaps (net of tax impact of $350)</w:t>
      </w:r>
    </w:p>
    <w:p>
      <w:pPr>
        <w:spacing w:after="0" w:line="9" w:lineRule="exact"/>
        <w:rPr>
          <w:sz w:val="20"/>
          <w:szCs w:val="20"/>
          <w:color w:val="auto"/>
        </w:rPr>
      </w:pPr>
    </w:p>
    <w:p>
      <w:pPr>
        <w:ind w:left="240" w:right="220"/>
        <w:spacing w:after="0" w:line="253" w:lineRule="auto"/>
        <w:rPr>
          <w:sz w:val="20"/>
          <w:szCs w:val="20"/>
          <w:color w:val="auto"/>
        </w:rPr>
      </w:pPr>
      <w:r>
        <w:rPr>
          <w:rFonts w:ascii="Arial" w:cs="Arial" w:eastAsia="Arial" w:hAnsi="Arial"/>
          <w:sz w:val="13"/>
          <w:szCs w:val="13"/>
          <w:color w:val="auto"/>
        </w:rPr>
        <w:t>Loss on swaps from debt refinancing (net of tax impact of $330)</w:t>
      </w:r>
    </w:p>
    <w:p>
      <w:pPr>
        <w:spacing w:after="0" w:line="9" w:lineRule="exact"/>
        <w:rPr>
          <w:sz w:val="20"/>
          <w:szCs w:val="20"/>
          <w:color w:val="auto"/>
        </w:rPr>
      </w:pPr>
    </w:p>
    <w:p>
      <w:pPr>
        <w:ind w:left="240" w:right="80"/>
        <w:spacing w:after="0" w:line="253" w:lineRule="auto"/>
        <w:rPr>
          <w:sz w:val="20"/>
          <w:szCs w:val="20"/>
          <w:color w:val="auto"/>
        </w:rPr>
      </w:pPr>
      <w:r>
        <w:rPr>
          <w:rFonts w:ascii="Arial" w:cs="Arial" w:eastAsia="Arial" w:hAnsi="Arial"/>
          <w:sz w:val="13"/>
          <w:szCs w:val="13"/>
          <w:color w:val="auto"/>
        </w:rPr>
        <w:t>Recognized interest expense on interest rate swaps (net of tax impact of $1,000)</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Balances as of January 30, 2021</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8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(538)</w:t>
            </w: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538</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(473)</w:t>
            </w:r>
          </w:p>
        </w:tc>
        <w:tc>
          <w:tcPr>
            <w:tcW w:w="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0" w:type="dxa"/>
            <w:vAlign w:val="bottom"/>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(14,929)</w:t>
            </w:r>
          </w:p>
        </w:tc>
        <w:tc>
          <w:tcPr>
            <w:tcW w:w="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1,195</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14,930</w:t>
            </w:r>
          </w:p>
        </w:tc>
        <w:tc>
          <w:tcPr>
            <w:tcW w:w="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5,075</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162</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2,818</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72,306</w:t>
            </w:r>
          </w:p>
        </w:tc>
        <w:tc>
          <w:tcPr>
            <w:tcW w:w="80" w:type="dxa"/>
            <w:vAlign w:val="bottom"/>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$ 996,285</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5"/>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157,656</w:t>
            </w:r>
          </w:p>
        </w:tc>
        <w:tc>
          <w:tcPr>
            <w:tcW w:w="8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151,108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3,690</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27,927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80" w:type="dxa"/>
            <w:vAlign w:val="bottom"/>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22"/>
                <w:szCs w:val="2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(257,000)</w:t>
            </w:r>
          </w:p>
        </w:tc>
        <w:tc>
          <w:tcPr>
            <w:tcW w:w="8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jc w:val="right"/>
              <w:spacing w:after="0"/>
              <w:rPr>
                <w:sz w:val="20"/>
                <w:szCs w:val="20"/>
                <w:color w:val="auto"/>
              </w:rPr>
            </w:pPr>
            <w:r>
              <w:rPr>
                <w:rFonts w:ascii="Arial" w:cs="Arial" w:eastAsia="Arial" w:hAnsi="Arial"/>
                <w:sz w:val="13"/>
                <w:szCs w:val="13"/>
                <w:color w:val="auto"/>
              </w:rPr>
              <w:t>(172)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7"/>
              </w:rPr>
              <w:t>(2,977)</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(72,306)</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(900,435)</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72,478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66,627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3"/>
              </w:rPr>
              <w:t>836,060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17,432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206,796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(141,909)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(32,819)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802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402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9"/>
        </w:trPr>
        <w:tc>
          <w:tcPr>
            <w:tcW w:w="5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91,114</w:t>
            </w:r>
          </w:p>
        </w:tc>
        <w:tc>
          <w:tcPr>
            <w:tcW w:w="8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911</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127,228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93"/>
              </w:rPr>
              <w:t>987,168</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-3513455</wp:posOffset>
            </wp:positionV>
            <wp:extent cx="7029450" cy="205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-3101975</wp:posOffset>
            </wp:positionV>
            <wp:extent cx="702945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-2604770</wp:posOffset>
            </wp:positionV>
            <wp:extent cx="702945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-2279015</wp:posOffset>
            </wp:positionV>
            <wp:extent cx="702945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-1953895</wp:posOffset>
            </wp:positionV>
            <wp:extent cx="702945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-1713230</wp:posOffset>
            </wp:positionV>
            <wp:extent cx="7029450" cy="205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-1301750</wp:posOffset>
            </wp:positionV>
            <wp:extent cx="702945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-975995</wp:posOffset>
            </wp:positionV>
            <wp:extent cx="702945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29450" cy="120015"/>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-735965</wp:posOffset>
            </wp:positionV>
            <wp:extent cx="7029450" cy="205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-325120</wp:posOffset>
            </wp:positionV>
            <wp:extent cx="702945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29450" cy="2057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wp:posOffset>
            </wp:positionV>
            <wp:extent cx="3180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8008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-1949450</wp:posOffset>
            </wp:positionH>
            <wp:positionV relativeFrom="paragraph">
              <wp:posOffset>-2861945</wp:posOffset>
            </wp:positionV>
            <wp:extent cx="7029450"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538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(473)</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57"/>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14,930</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5,075</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560" w:type="dxa"/>
            <w:vAlign w:val="bottom"/>
          </w:tcPr>
          <w:p>
            <w:pPr>
              <w:jc w:val="right"/>
              <w:ind w:right="33"/>
              <w:spacing w:after="0"/>
              <w:rPr>
                <w:sz w:val="20"/>
                <w:szCs w:val="20"/>
                <w:color w:val="auto"/>
              </w:rPr>
            </w:pPr>
            <w:r>
              <w:rPr>
                <w:rFonts w:ascii="Arial" w:cs="Arial" w:eastAsia="Arial" w:hAnsi="Arial"/>
                <w:sz w:val="13"/>
                <w:szCs w:val="13"/>
                <w:color w:val="auto"/>
                <w:w w:val="90"/>
              </w:rPr>
              <w:t>(16,096)</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(16,096)</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560" w:type="dxa"/>
            <w:vAlign w:val="bottom"/>
          </w:tcPr>
          <w:p>
            <w:pPr>
              <w:jc w:val="right"/>
              <w:ind w:right="33"/>
              <w:spacing w:after="0"/>
              <w:rPr>
                <w:sz w:val="20"/>
                <w:szCs w:val="20"/>
                <w:color w:val="auto"/>
              </w:rPr>
            </w:pPr>
            <w:r>
              <w:rPr>
                <w:rFonts w:ascii="Arial" w:cs="Arial" w:eastAsia="Arial" w:hAnsi="Arial"/>
                <w:sz w:val="13"/>
                <w:szCs w:val="13"/>
                <w:color w:val="auto"/>
              </w:rPr>
              <w:t>(418)</w:t>
            </w: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(418)</w:t>
            </w: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560" w:type="dxa"/>
            <w:vAlign w:val="bottom"/>
          </w:tcPr>
          <w:p>
            <w:pPr>
              <w:jc w:val="right"/>
              <w:ind w:right="33"/>
              <w:spacing w:after="0"/>
              <w:rPr>
                <w:sz w:val="20"/>
                <w:szCs w:val="20"/>
                <w:color w:val="auto"/>
              </w:rPr>
            </w:pPr>
            <w:r>
              <w:rPr>
                <w:rFonts w:ascii="Arial" w:cs="Arial" w:eastAsia="Arial" w:hAnsi="Arial"/>
                <w:sz w:val="13"/>
                <w:szCs w:val="13"/>
                <w:b w:val="1"/>
                <w:bCs w:val="1"/>
                <w:color w:val="auto"/>
              </w:rPr>
              <w:t>(8,066)</w:t>
            </w: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988,219</w:t>
            </w:r>
          </w:p>
        </w:tc>
        <w:tc>
          <w:tcPr>
            <w:tcW w:w="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72,468</w:t>
            </w:r>
          </w:p>
        </w:tc>
        <w:tc>
          <w:tcPr>
            <w:tcW w:w="0" w:type="dxa"/>
            <w:vAlign w:val="bottom"/>
          </w:tcPr>
          <w:p>
            <w:pPr>
              <w:spacing w:after="0"/>
              <w:rPr>
                <w:sz w:val="1"/>
                <w:szCs w:val="1"/>
                <w:color w:val="auto"/>
              </w:rPr>
            </w:pPr>
          </w:p>
        </w:tc>
      </w:tr>
      <w:tr>
        <w:trPr>
          <w:trHeight w:val="175"/>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308,764</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31,617</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324"/>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89"/>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(257,000)</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2,977</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206,970</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17,432</w:t>
            </w:r>
          </w:p>
        </w:tc>
        <w:tc>
          <w:tcPr>
            <w:tcW w:w="0" w:type="dxa"/>
            <w:vAlign w:val="bottom"/>
          </w:tcPr>
          <w:p>
            <w:pPr>
              <w:spacing w:after="0"/>
              <w:rPr>
                <w:sz w:val="1"/>
                <w:szCs w:val="1"/>
                <w:color w:val="auto"/>
              </w:rPr>
            </w:pPr>
          </w:p>
        </w:tc>
      </w:tr>
      <w:tr>
        <w:trPr>
          <w:trHeight w:val="324"/>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(141,909)</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(32,819)</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189"/>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402</w:t>
            </w:r>
          </w:p>
        </w:tc>
        <w:tc>
          <w:tcPr>
            <w:tcW w:w="0" w:type="dxa"/>
            <w:vAlign w:val="bottom"/>
          </w:tcPr>
          <w:p>
            <w:pPr>
              <w:spacing w:after="0"/>
              <w:rPr>
                <w:sz w:val="1"/>
                <w:szCs w:val="1"/>
                <w:color w:val="auto"/>
              </w:rPr>
            </w:pPr>
          </w:p>
        </w:tc>
      </w:tr>
      <w:tr>
        <w:trPr>
          <w:trHeight w:val="257"/>
        </w:trPr>
        <w:tc>
          <w:tcPr>
            <w:tcW w:w="560" w:type="dxa"/>
            <w:vAlign w:val="bottom"/>
          </w:tcPr>
          <w:p>
            <w:pPr>
              <w:jc w:val="right"/>
              <w:ind w:right="33"/>
              <w:spacing w:after="0"/>
              <w:rPr>
                <w:sz w:val="20"/>
                <w:szCs w:val="20"/>
                <w:color w:val="auto"/>
              </w:rPr>
            </w:pPr>
            <w:r>
              <w:rPr>
                <w:rFonts w:ascii="Arial" w:cs="Arial" w:eastAsia="Arial" w:hAnsi="Arial"/>
                <w:sz w:val="13"/>
                <w:szCs w:val="13"/>
                <w:color w:val="auto"/>
              </w:rPr>
              <w:t>(6,303)</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(6,303)</w:t>
            </w:r>
          </w:p>
        </w:tc>
        <w:tc>
          <w:tcPr>
            <w:tcW w:w="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1,000</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24"/>
        </w:trPr>
        <w:tc>
          <w:tcPr>
            <w:tcW w:w="560" w:type="dxa"/>
            <w:vAlign w:val="bottom"/>
          </w:tcPr>
          <w:p>
            <w:pPr>
              <w:jc w:val="right"/>
              <w:ind w:right="73"/>
              <w:spacing w:after="0"/>
              <w:rPr>
                <w:sz w:val="20"/>
                <w:szCs w:val="20"/>
                <w:color w:val="auto"/>
              </w:rPr>
            </w:pPr>
            <w:r>
              <w:rPr>
                <w:rFonts w:ascii="Arial" w:cs="Arial" w:eastAsia="Arial" w:hAnsi="Arial"/>
                <w:sz w:val="13"/>
                <w:szCs w:val="13"/>
                <w:color w:val="auto"/>
              </w:rPr>
              <w:t>10,045</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10,045</w:t>
            </w: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5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(3,324)</w:t>
            </w: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60" w:type="dxa"/>
            <w:vAlign w:val="bottom"/>
            <w:vMerge w:val="continue"/>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1,111,983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91,114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8890</wp:posOffset>
            </wp:positionV>
            <wp:extent cx="1843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43405" cy="889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-119380</wp:posOffset>
            </wp:positionV>
            <wp:extent cx="6000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-2733675</wp:posOffset>
            </wp:positionV>
            <wp:extent cx="6000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3060" w:space="20"/>
            <w:col w:w="5180" w:space="380"/>
            <w:col w:w="2440"/>
          </w:cols>
          <w:pgMar w:left="400" w:top="517" w:right="419" w:bottom="1440" w:gutter="0" w:footer="0" w:header="0"/>
          <w:type w:val="continuous"/>
        </w:sectPr>
      </w:pPr>
    </w:p>
    <w:p>
      <w:pPr>
        <w:spacing w:after="0" w:line="184" w:lineRule="auto"/>
        <w:rPr>
          <w:sz w:val="20"/>
          <w:szCs w:val="20"/>
          <w:color w:val="auto"/>
        </w:rPr>
      </w:pPr>
      <w:r>
        <w:rPr>
          <w:rFonts w:ascii="Arial" w:cs="Arial" w:eastAsia="Arial" w:hAnsi="Arial"/>
          <w:sz w:val="17"/>
          <w:szCs w:val="17"/>
          <w:color w:val="auto"/>
          <w:vertAlign w:val="superscript"/>
        </w:rPr>
        <w:t>(1)</w:t>
      </w:r>
      <w:r>
        <w:rPr>
          <w:rFonts w:ascii="Arial" w:cs="Arial" w:eastAsia="Arial" w:hAnsi="Arial"/>
          <w:sz w:val="13"/>
          <w:szCs w:val="13"/>
          <w:color w:val="auto"/>
        </w:rPr>
        <w:t xml:space="preserve"> See Retrospective Presentation of Ownership Exchange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-59690</wp:posOffset>
            </wp:positionV>
            <wp:extent cx="50749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074920" cy="8255"/>
                    </a:xfrm>
                    <a:prstGeom prst="rect">
                      <a:avLst/>
                    </a:prstGeom>
                    <a:noFill/>
                  </pic:spPr>
                </pic:pic>
              </a:graphicData>
            </a:graphic>
          </wp:anchor>
        </w:drawing>
      </w:r>
    </w:p>
    <w:p>
      <w:pPr>
        <w:jc w:val="center"/>
        <w:ind w:right="-179"/>
        <w:spacing w:after="0" w:line="195" w:lineRule="auto"/>
        <w:rPr>
          <w:sz w:val="20"/>
          <w:szCs w:val="20"/>
          <w:color w:val="auto"/>
        </w:rPr>
      </w:pPr>
      <w:r>
        <w:rPr>
          <w:rFonts w:ascii="Arial" w:cs="Arial" w:eastAsia="Arial" w:hAnsi="Arial"/>
          <w:sz w:val="9"/>
          <w:szCs w:val="9"/>
          <w:color w:val="auto"/>
        </w:rPr>
        <w:t>79</w:t>
      </w: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191135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517" w:right="419" w:bottom="1440"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Fiscal Year Ended</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Arial" w:cs="Arial" w:eastAsia="Arial" w:hAnsi="Arial"/>
                <w:sz w:val="16"/>
                <w:szCs w:val="16"/>
                <w:b w:val="1"/>
                <w:bCs w:val="1"/>
                <w:color w:val="auto"/>
              </w:rPr>
              <w:t>January 30, 2021</w:t>
            </w:r>
          </w:p>
        </w:tc>
        <w:tc>
          <w:tcPr>
            <w:tcW w:w="1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1, 2020</w:t>
            </w:r>
          </w:p>
        </w:tc>
        <w:tc>
          <w:tcPr>
            <w:tcW w:w="160" w:type="dxa"/>
            <w:vAlign w:val="bottom"/>
          </w:tcPr>
          <w:p>
            <w:pPr>
              <w:spacing w:after="0"/>
              <w:rPr>
                <w:sz w:val="18"/>
                <w:szCs w:val="18"/>
                <w:color w:val="auto"/>
              </w:rPr>
            </w:pPr>
          </w:p>
        </w:tc>
        <w:tc>
          <w:tcPr>
            <w:tcW w:w="148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February 2, 2019</w:t>
            </w:r>
          </w:p>
        </w:tc>
      </w:tr>
      <w:tr>
        <w:trPr>
          <w:trHeight w:val="199"/>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308,764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120,043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21,442</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598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105,481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117,254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132,782</w:t>
            </w:r>
          </w:p>
        </w:tc>
      </w:tr>
      <w:tr>
        <w:trPr>
          <w:trHeight w:val="219"/>
        </w:trPr>
        <w:tc>
          <w:tcPr>
            <w:tcW w:w="5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Non-cash lease expense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460"/>
              <w:spacing w:after="0"/>
              <w:rPr>
                <w:sz w:val="20"/>
                <w:szCs w:val="20"/>
                <w:color w:val="auto"/>
              </w:rPr>
            </w:pPr>
            <w:r>
              <w:rPr>
                <w:rFonts w:ascii="Arial" w:cs="Arial" w:eastAsia="Arial" w:hAnsi="Arial"/>
                <w:sz w:val="16"/>
                <w:szCs w:val="16"/>
                <w:color w:val="auto"/>
              </w:rPr>
              <w:t>Equity compensation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31,617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7,881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4,633</w:t>
            </w:r>
          </w:p>
        </w:tc>
      </w:tr>
      <w:tr>
        <w:trPr>
          <w:trHeight w:val="219"/>
        </w:trPr>
        <w:tc>
          <w:tcPr>
            <w:tcW w:w="5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deferred loan and other costs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r>
      <w:tr>
        <w:trPr>
          <w:trHeight w:val="213"/>
        </w:trPr>
        <w:tc>
          <w:tcPr>
            <w:tcW w:w="5980" w:type="dxa"/>
            <w:vAlign w:val="bottom"/>
          </w:tcPr>
          <w:p>
            <w:pPr>
              <w:ind w:left="460"/>
              <w:spacing w:after="0"/>
              <w:rPr>
                <w:sz w:val="20"/>
                <w:szCs w:val="20"/>
                <w:color w:val="auto"/>
              </w:rPr>
            </w:pPr>
            <w:r>
              <w:rPr>
                <w:rFonts w:ascii="Arial" w:cs="Arial" w:eastAsia="Arial" w:hAnsi="Arial"/>
                <w:sz w:val="16"/>
                <w:szCs w:val="16"/>
                <w:color w:val="auto"/>
              </w:rPr>
              <w:t>Loss on swaps from debt refinancing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13"/>
        </w:trPr>
        <w:tc>
          <w:tcPr>
            <w:tcW w:w="5980" w:type="dxa"/>
            <w:vAlign w:val="bottom"/>
          </w:tcPr>
          <w:p>
            <w:pPr>
              <w:ind w:left="460"/>
              <w:spacing w:after="0"/>
              <w:rPr>
                <w:sz w:val="20"/>
                <w:szCs w:val="20"/>
                <w:color w:val="auto"/>
              </w:rPr>
            </w:pPr>
            <w:r>
              <w:rPr>
                <w:rFonts w:ascii="Arial" w:cs="Arial" w:eastAsia="Arial" w:hAnsi="Arial"/>
                <w:sz w:val="16"/>
                <w:szCs w:val="16"/>
                <w:color w:val="auto"/>
              </w:rPr>
              <w:t>Non-cash gain on early retirement of debt,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(3,582)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(42,265)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Gain on disposal of property and equipment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r>
      <w:tr>
        <w:trPr>
          <w:trHeight w:val="213"/>
        </w:trPr>
        <w:tc>
          <w:tcPr>
            <w:tcW w:w="5980" w:type="dxa"/>
            <w:vAlign w:val="bottom"/>
          </w:tcPr>
          <w:p>
            <w:pPr>
              <w:ind w:left="460"/>
              <w:spacing w:after="0"/>
              <w:rPr>
                <w:sz w:val="20"/>
                <w:szCs w:val="20"/>
                <w:color w:val="auto"/>
              </w:rPr>
            </w:pPr>
            <w:r>
              <w:rPr>
                <w:rFonts w:ascii="Arial" w:cs="Arial" w:eastAsia="Arial" w:hAnsi="Arial"/>
                <w:sz w:val="16"/>
                <w:szCs w:val="16"/>
                <w:color w:val="auto"/>
              </w:rPr>
              <w:t>Casualty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5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Impairment of long-lived assets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r>
      <w:tr>
        <w:trPr>
          <w:trHeight w:val="213"/>
        </w:trPr>
        <w:tc>
          <w:tcPr>
            <w:tcW w:w="5980" w:type="dxa"/>
            <w:vAlign w:val="bottom"/>
          </w:tcPr>
          <w:p>
            <w:pPr>
              <w:ind w:left="460"/>
              <w:spacing w:after="0"/>
              <w:rPr>
                <w:sz w:val="20"/>
                <w:szCs w:val="20"/>
                <w:color w:val="auto"/>
              </w:rPr>
            </w:pPr>
            <w:r>
              <w:rPr>
                <w:rFonts w:ascii="Arial" w:cs="Arial" w:eastAsia="Arial" w:hAnsi="Arial"/>
                <w:sz w:val="16"/>
                <w:szCs w:val="16"/>
                <w:color w:val="auto"/>
              </w:rPr>
              <w:t>Changes in assets and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5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 net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2,582</w:t>
            </w:r>
          </w:p>
        </w:tc>
      </w:tr>
      <w:tr>
        <w:trPr>
          <w:trHeight w:val="213"/>
        </w:trPr>
        <w:tc>
          <w:tcPr>
            <w:tcW w:w="5980" w:type="dxa"/>
            <w:vAlign w:val="bottom"/>
          </w:tcPr>
          <w:p>
            <w:pPr>
              <w:ind w:left="680"/>
              <w:spacing w:after="0"/>
              <w:rPr>
                <w:sz w:val="20"/>
                <w:szCs w:val="20"/>
                <w:color w:val="auto"/>
              </w:rPr>
            </w:pPr>
            <w:r>
              <w:rPr>
                <w:rFonts w:ascii="Arial" w:cs="Arial" w:eastAsia="Arial" w:hAnsi="Arial"/>
                <w:sz w:val="16"/>
                <w:szCs w:val="16"/>
                <w:color w:val="auto"/>
              </w:rPr>
              <w:t>Merchandise inventories, net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109,520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34,407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89,284</w:t>
            </w:r>
          </w:p>
        </w:tc>
      </w:tr>
      <w:tr>
        <w:trPr>
          <w:trHeight w:val="219"/>
        </w:trPr>
        <w:tc>
          <w:tcPr>
            <w:tcW w:w="5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r>
      <w:tr>
        <w:trPr>
          <w:trHeight w:val="213"/>
        </w:trPr>
        <w:tc>
          <w:tcPr>
            <w:tcW w:w="5980" w:type="dxa"/>
            <w:vAlign w:val="bottom"/>
          </w:tcPr>
          <w:p>
            <w:pPr>
              <w:ind w:left="680"/>
              <w:spacing w:after="0"/>
              <w:rPr>
                <w:sz w:val="20"/>
                <w:szCs w:val="20"/>
                <w:color w:val="auto"/>
              </w:rPr>
            </w:pPr>
            <w:r>
              <w:rPr>
                <w:rFonts w:ascii="Arial" w:cs="Arial" w:eastAsia="Arial" w:hAnsi="Arial"/>
                <w:sz w:val="16"/>
                <w:szCs w:val="16"/>
                <w:color w:val="auto"/>
              </w:rPr>
              <w:t>Other noncurrent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(2,496)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274</w:t>
            </w:r>
          </w:p>
        </w:tc>
      </w:tr>
      <w:tr>
        <w:trPr>
          <w:trHeight w:val="219"/>
        </w:trPr>
        <w:tc>
          <w:tcPr>
            <w:tcW w:w="5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361,518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(70,029)</w:t>
            </w:r>
          </w:p>
        </w:tc>
      </w:tr>
      <w:tr>
        <w:trPr>
          <w:trHeight w:val="213"/>
        </w:trPr>
        <w:tc>
          <w:tcPr>
            <w:tcW w:w="5980" w:type="dxa"/>
            <w:vAlign w:val="bottom"/>
          </w:tcPr>
          <w:p>
            <w:pPr>
              <w:ind w:left="680"/>
              <w:spacing w:after="0"/>
              <w:rPr>
                <w:sz w:val="20"/>
                <w:szCs w:val="20"/>
                <w:color w:val="auto"/>
              </w:rPr>
            </w:pPr>
            <w:r>
              <w:rPr>
                <w:rFonts w:ascii="Arial" w:cs="Arial" w:eastAsia="Arial" w:hAnsi="Arial"/>
                <w:sz w:val="16"/>
                <w:szCs w:val="16"/>
                <w:color w:val="auto"/>
              </w:rPr>
              <w:t>Accrued expenses and other 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57,376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20,615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(2,703)</w:t>
            </w:r>
          </w:p>
        </w:tc>
      </w:tr>
      <w:tr>
        <w:trPr>
          <w:trHeight w:val="219"/>
        </w:trPr>
        <w:tc>
          <w:tcPr>
            <w:tcW w:w="5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taxes payable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14,124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680"/>
              <w:spacing w:after="0"/>
              <w:rPr>
                <w:sz w:val="20"/>
                <w:szCs w:val="20"/>
                <w:color w:val="auto"/>
              </w:rPr>
            </w:pPr>
            <w:r>
              <w:rPr>
                <w:rFonts w:ascii="Arial" w:cs="Arial" w:eastAsia="Arial" w:hAnsi="Arial"/>
                <w:sz w:val="16"/>
                <w:szCs w:val="16"/>
                <w:color w:val="auto"/>
              </w:rPr>
              <w:t>Deferred rent/tenant improvement allowances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2,833</w:t>
            </w:r>
          </w:p>
        </w:tc>
      </w:tr>
      <w:tr>
        <w:trPr>
          <w:trHeight w:val="219"/>
        </w:trPr>
        <w:tc>
          <w:tcPr>
            <w:tcW w:w="59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long-term liabilities</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14,400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10,874</w:t>
            </w:r>
          </w:p>
        </w:tc>
      </w:tr>
      <w:tr>
        <w:trPr>
          <w:trHeight w:val="248"/>
        </w:trPr>
        <w:tc>
          <w:tcPr>
            <w:tcW w:w="598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provided by operating activities</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1,011,597</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263,669</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198,481</w:t>
            </w:r>
          </w:p>
        </w:tc>
      </w:tr>
      <w:tr>
        <w:trPr>
          <w:trHeight w:val="213"/>
        </w:trPr>
        <w:tc>
          <w:tcPr>
            <w:tcW w:w="59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INVESTING ACTIVITIES:</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(41,269)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(107,905)</w:t>
            </w: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Proceeds from insurance claims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the sale of property and equipment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10,429</w:t>
            </w:r>
          </w:p>
        </w:tc>
      </w:tr>
      <w:tr>
        <w:trPr>
          <w:trHeight w:val="213"/>
        </w:trPr>
        <w:tc>
          <w:tcPr>
            <w:tcW w:w="59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Note receivable from member</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(4,144)</w:t>
            </w:r>
          </w:p>
        </w:tc>
      </w:tr>
      <w:tr>
        <w:trPr>
          <w:trHeight w:val="212"/>
        </w:trPr>
        <w:tc>
          <w:tcPr>
            <w:tcW w:w="5980" w:type="dxa"/>
            <w:vAlign w:val="bottom"/>
            <w:shd w:val="clear" w:color="auto" w:fill="CCEEFF"/>
          </w:tcPr>
          <w:p>
            <w:pPr>
              <w:ind w:left="900"/>
              <w:spacing w:after="0"/>
              <w:rPr>
                <w:sz w:val="20"/>
                <w:szCs w:val="20"/>
                <w:color w:val="auto"/>
              </w:rPr>
            </w:pPr>
            <w:r>
              <w:rPr>
                <w:rFonts w:ascii="Arial" w:cs="Arial" w:eastAsia="Arial" w:hAnsi="Arial"/>
                <w:sz w:val="16"/>
                <w:szCs w:val="16"/>
                <w:color w:val="auto"/>
              </w:rPr>
              <w:t>Net cash used in investing activities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(33,144)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(66,783)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(99,027)</w:t>
            </w:r>
          </w:p>
        </w:tc>
      </w:tr>
      <w:tr>
        <w:trPr>
          <w:trHeight w:val="34"/>
        </w:trPr>
        <w:tc>
          <w:tcPr>
            <w:tcW w:w="5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Proceeds from ABL Facility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502,500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526,812</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ABL Facility</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(561,812)</w:t>
            </w: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Proceeds from Term Loan, net of discount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396,000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Repayment of Term Loan</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(1,461,072)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(18,250)</w:t>
            </w: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Proceeds from Notes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400,000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Debt issuance fees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(14,147)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w:t>
            </w: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Share-Based Award Payments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(20,970)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Distribution</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Equity contributions from Managers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1,250</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Proceeds from issuance of common stock, net of Offering Costs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206,970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Repurchase of Redeemable Membership Units</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5980" w:type="dxa"/>
            <w:vAlign w:val="bottom"/>
            <w:tcBorders>
              <w:bottom w:val="single" w:sz="8" w:color="CCEEFF"/>
            </w:tcBorders>
          </w:tcPr>
          <w:p>
            <w:pPr>
              <w:ind w:left="900"/>
              <w:spacing w:after="0"/>
              <w:rPr>
                <w:sz w:val="20"/>
                <w:szCs w:val="20"/>
                <w:color w:val="auto"/>
              </w:rPr>
            </w:pPr>
            <w:r>
              <w:rPr>
                <w:rFonts w:ascii="Arial" w:cs="Arial" w:eastAsia="Arial" w:hAnsi="Arial"/>
                <w:sz w:val="16"/>
                <w:szCs w:val="16"/>
                <w:color w:val="auto"/>
              </w:rPr>
              <w:t>Net cash used in financing activities</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(750,234)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(123,192)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(54,808)</w:t>
            </w:r>
          </w:p>
        </w:tc>
      </w:tr>
      <w:tr>
        <w:trPr>
          <w:trHeight w:val="213"/>
        </w:trPr>
        <w:tc>
          <w:tcPr>
            <w:tcW w:w="59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6"/>
                <w:szCs w:val="16"/>
                <w:b w:val="1"/>
                <w:bCs w:val="1"/>
                <w:color w:val="auto"/>
              </w:rPr>
              <w:t>228,219</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73,694</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44,646</w:t>
            </w: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149,385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75,691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31,045</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377,604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149,385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75,691</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Cash paid for interest</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87,163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93,556</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108,208</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paid for income taxes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w:t>
            </w:r>
          </w:p>
        </w:tc>
      </w:tr>
      <w:tr>
        <w:trPr>
          <w:trHeight w:val="54"/>
        </w:trPr>
        <w:tc>
          <w:tcPr>
            <w:tcW w:w="5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5980" w:type="dxa"/>
            <w:vAlign w:val="bottom"/>
          </w:tcPr>
          <w:p>
            <w:pPr>
              <w:ind w:left="240"/>
              <w:spacing w:after="0"/>
              <w:rPr>
                <w:sz w:val="20"/>
                <w:szCs w:val="20"/>
                <w:color w:val="auto"/>
              </w:rPr>
            </w:pPr>
            <w:r>
              <w:rPr>
                <w:rFonts w:ascii="Arial" w:cs="Arial" w:eastAsia="Arial" w:hAnsi="Arial"/>
                <w:sz w:val="16"/>
                <w:szCs w:val="16"/>
                <w:color w:val="auto"/>
              </w:rPr>
              <w:t>Non-cash issuance of common stock</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2,646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capital expenditures in accounts payable and accrued 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bl>
    <w:p>
      <w:pPr>
        <w:spacing w:after="0" w:line="1" w:lineRule="exact"/>
        <w:rPr>
          <w:sz w:val="20"/>
          <w:szCs w:val="20"/>
          <w:color w:val="auto"/>
        </w:rPr>
      </w:pPr>
    </w:p>
    <w:p>
      <w:pPr>
        <w:sectPr>
          <w:pgSz w:w="11900" w:h="16838" w:orient="portrait"/>
          <w:cols w:equalWidth="0" w:num="1">
            <w:col w:w="11240"/>
          </w:cols>
          <w:pgMar w:left="320" w:top="445" w:right="339" w:bottom="1440" w:gutter="0" w:footer="0" w:header="0"/>
        </w:sectPr>
      </w:pPr>
    </w:p>
    <w:p>
      <w:pPr>
        <w:jc w:val="center"/>
        <w:ind w:right="-19"/>
        <w:spacing w:after="0" w:line="191" w:lineRule="auto"/>
        <w:rPr>
          <w:sz w:val="20"/>
          <w:szCs w:val="20"/>
          <w:color w:val="auto"/>
        </w:rPr>
      </w:pPr>
      <w:r>
        <w:rPr>
          <w:rFonts w:ascii="Arial" w:cs="Arial" w:eastAsia="Arial" w:hAnsi="Arial"/>
          <w:sz w:val="9"/>
          <w:szCs w:val="9"/>
          <w:color w:val="auto"/>
        </w:rPr>
        <w:t>See Notes to Consolidated Financial Statements</w:t>
      </w:r>
    </w:p>
    <w:p>
      <w:pPr>
        <w:jc w:val="center"/>
        <w:ind w:right="-1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left="340" w:firstLine="324"/>
        <w:spacing w:after="0" w:line="289" w:lineRule="auto"/>
        <w:rPr>
          <w:sz w:val="20"/>
          <w:szCs w:val="20"/>
          <w:color w:val="auto"/>
        </w:rPr>
      </w:pPr>
      <w:r>
        <w:rPr>
          <w:rFonts w:ascii="Arial" w:cs="Arial" w:eastAsia="Arial" w:hAnsi="Arial"/>
          <w:sz w:val="16"/>
          <w:szCs w:val="16"/>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Upon completion of our initial public offering (the "IPO"), the related over-allotment exercise (the "IPO Over-Allotment Exercise"), and the secondary offering on behalf of KKR (the "Secondary Offering") detailed below, affiliates of KKR held an 54.5% ownership interest in the Company.</w:t>
      </w:r>
    </w:p>
    <w:p>
      <w:pPr>
        <w:spacing w:after="0" w:line="112"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January 30, 2021,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252"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The Company’s fiscal year represents the 52 or 53 weeks ending on the Saturday closest to January 31 each year. References herein to 2020, 2019 and 2018 relate to the 52-week fiscal years ended January 30, 2021, February 1, 2020, and February 2, 2019, respectively.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71"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On October 6, 2020, ASO, Inc. completed an initial public offering (the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83" w:lineRule="exact"/>
        <w:rPr>
          <w:sz w:val="20"/>
          <w:szCs w:val="20"/>
          <w:color w:val="auto"/>
        </w:rPr>
      </w:pPr>
    </w:p>
    <w:p>
      <w:pPr>
        <w:ind w:left="1300" w:hanging="320"/>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8"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1" w:name="page82"/>
    <w:bookmarkEnd w:id="81"/>
    <w:p>
      <w:pPr>
        <w:ind w:left="332"/>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71" w:lineRule="exact"/>
        <w:rPr>
          <w:sz w:val="20"/>
          <w:szCs w:val="20"/>
          <w:color w:val="auto"/>
        </w:rPr>
      </w:pPr>
    </w:p>
    <w:p>
      <w:pPr>
        <w:jc w:val="both"/>
        <w:ind w:left="332" w:firstLine="324"/>
        <w:spacing w:after="0" w:line="296" w:lineRule="auto"/>
        <w:rPr>
          <w:sz w:val="20"/>
          <w:szCs w:val="20"/>
          <w:color w:val="auto"/>
        </w:rPr>
      </w:pPr>
      <w:r>
        <w:rPr>
          <w:rFonts w:ascii="Arial" w:cs="Arial" w:eastAsia="Arial" w:hAnsi="Arial"/>
          <w:sz w:val="16"/>
          <w:szCs w:val="16"/>
          <w:color w:val="auto"/>
        </w:rPr>
        <w:t>On November 3, 2020, ASO, Inc.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"IPO Over-Allotment Exercise"). The option has expired with respect to the remaining shares.</w:t>
      </w:r>
    </w:p>
    <w:p>
      <w:pPr>
        <w:spacing w:after="0" w:line="188"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71" w:lineRule="exact"/>
        <w:rPr>
          <w:sz w:val="20"/>
          <w:szCs w:val="20"/>
          <w:color w:val="auto"/>
        </w:rPr>
      </w:pPr>
    </w:p>
    <w:p>
      <w:pPr>
        <w:jc w:val="both"/>
        <w:ind w:left="332" w:firstLine="324"/>
        <w:spacing w:after="0" w:line="253" w:lineRule="auto"/>
        <w:rPr>
          <w:sz w:val="20"/>
          <w:szCs w:val="20"/>
          <w:color w:val="auto"/>
        </w:rPr>
      </w:pPr>
      <w:r>
        <w:rPr>
          <w:rFonts w:ascii="Arial" w:cs="Arial" w:eastAsia="Arial" w:hAnsi="Arial"/>
          <w:sz w:val="18"/>
          <w:szCs w:val="18"/>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(the “Secondary Offering”) of 12,000,000 shares of Common Stock, pursuant to the Company’s Registration Statement on Form S-1 (File No. 333-252390), filed on January 25, 2021 (the "Secondary Offering").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$20.69375 per share. The Company did not receive any proceeds from the Secondary Offering.</w:t>
      </w:r>
    </w:p>
    <w:p>
      <w:pPr>
        <w:spacing w:after="0" w:line="200" w:lineRule="exact"/>
        <w:rPr>
          <w:sz w:val="20"/>
          <w:szCs w:val="20"/>
          <w:color w:val="auto"/>
        </w:rPr>
      </w:pPr>
    </w:p>
    <w:p>
      <w:pPr>
        <w:spacing w:after="0" w:line="260" w:lineRule="exact"/>
        <w:rPr>
          <w:sz w:val="20"/>
          <w:szCs w:val="20"/>
          <w:color w:val="auto"/>
        </w:rPr>
      </w:pPr>
    </w:p>
    <w:p>
      <w:pPr>
        <w:ind w:left="332" w:hanging="332"/>
        <w:spacing w:after="0"/>
        <w:tabs>
          <w:tab w:leader="none" w:pos="332"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52" w:lineRule="exact"/>
        <w:rPr>
          <w:sz w:val="20"/>
          <w:szCs w:val="20"/>
          <w:color w:val="auto"/>
        </w:rPr>
      </w:pPr>
    </w:p>
    <w:p>
      <w:pPr>
        <w:jc w:val="both"/>
        <w:ind w:left="332" w:firstLine="324"/>
        <w:spacing w:after="0" w:line="253" w:lineRule="auto"/>
        <w:rPr>
          <w:sz w:val="20"/>
          <w:szCs w:val="20"/>
          <w:color w:val="auto"/>
        </w:rPr>
      </w:pPr>
      <w:r>
        <w:rPr>
          <w:rFonts w:ascii="Arial" w:cs="Arial" w:eastAsia="Arial" w:hAnsi="Arial"/>
          <w:sz w:val="18"/>
          <w:szCs w:val="18"/>
          <w:color w:val="auto"/>
        </w:rPr>
        <w:t>Critical accounting policies are those that we believe are both most important to the portrayal of our financial condition and results of operations and require our most difficult, subjective or complex judgments, often as a result of the need to make estimates about the effect of matters that are inherently uncertain. Judgments and uncertainties affecting the application of those policies may result in materially different amounts being reported under different conditions, using different assumptions or when actual results are known. Our critical accounting policies, which are described below, are as follows:</w:t>
      </w:r>
    </w:p>
    <w:p>
      <w:pPr>
        <w:spacing w:after="0" w:line="1" w:lineRule="exact"/>
        <w:rPr>
          <w:sz w:val="20"/>
          <w:szCs w:val="20"/>
          <w:color w:val="auto"/>
        </w:rPr>
      </w:pPr>
    </w:p>
    <w:p>
      <w:pPr>
        <w:ind w:left="1292" w:hanging="320"/>
        <w:spacing w:after="0"/>
        <w:tabs>
          <w:tab w:leader="none" w:pos="12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Merchandise Inventories, net;</w:t>
      </w:r>
    </w:p>
    <w:p>
      <w:pPr>
        <w:ind w:left="1292" w:hanging="320"/>
        <w:spacing w:after="0" w:line="234" w:lineRule="auto"/>
        <w:tabs>
          <w:tab w:leader="none" w:pos="12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Impairment of Long-Lived Assets;</w:t>
      </w:r>
    </w:p>
    <w:p>
      <w:pPr>
        <w:ind w:left="1292" w:hanging="320"/>
        <w:spacing w:after="0" w:line="234" w:lineRule="auto"/>
        <w:tabs>
          <w:tab w:leader="none" w:pos="12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Goodwill; and</w:t>
      </w:r>
    </w:p>
    <w:p>
      <w:pPr>
        <w:ind w:left="1292" w:hanging="320"/>
        <w:spacing w:after="0"/>
        <w:tabs>
          <w:tab w:leader="none" w:pos="12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23"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71"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These consolidated financial statements include the accounts of ASO, Inc. and, its subsidiaries, ASO Co-Invest Blocker Sub, L.P., ASO Blocker Sub, L.P., NAHC, Academy Managing Co., LLC, Associated Investors, LLC, Academy, Ltd., the Company's operating company, and Academy International Limited. ASO Co-Invest Blocker Sub, L.P., ASO Blocker Sub, L.P., NAHC, Academy Managing Co., LLC, and Associated Investors, LLC are intermediate holding companies. All intercompany balances and transactions have been eliminated in consolidation. ASO Co-Invest Blocker Sub, L.P. and ASO Blocker Sub, L.P. were dissolved on January 31, 2021.</w:t>
      </w:r>
    </w:p>
    <w:p>
      <w:pPr>
        <w:spacing w:after="0" w:line="215"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52"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w:t>
      </w:r>
    </w:p>
    <w:p>
      <w:pPr>
        <w:spacing w:after="0" w:line="27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65" w:right="339" w:bottom="1440" w:gutter="0" w:footer="0" w:header="0"/>
        </w:sectPr>
      </w:pPr>
    </w:p>
    <w:bookmarkStart w:id="82" w:name="page83"/>
    <w:bookmarkEnd w:id="82"/>
    <w:p>
      <w:pPr>
        <w:jc w:val="both"/>
        <w:spacing w:after="0" w:line="277" w:lineRule="auto"/>
        <w:rPr>
          <w:sz w:val="20"/>
          <w:szCs w:val="20"/>
          <w:color w:val="auto"/>
        </w:rPr>
      </w:pPr>
      <w:r>
        <w:rPr>
          <w:rFonts w:ascii="Arial" w:cs="Arial" w:eastAsia="Arial" w:hAnsi="Arial"/>
          <w:sz w:val="18"/>
          <w:szCs w:val="18"/>
          <w:color w:val="auto"/>
        </w:rPr>
        <w:t>climate and additional unforeseen effects from the COVID-19 pandemic, these estimates are becoming more challenging, and actual results could differ materially from our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Within the merchandise division sales table presented in Note 3, certain products and categories were recategorized amongst various categories and divisions, respectively, during 2020 to better align with our current merchandising strategy and view of the business. As a result, we have reclassified sales between divisions for 2019 and 2018 for comparability purposes. This reclassification is in presentation only and did not impact the overall net sales balances previously disclosed.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Balance Sheets, Statements of Income, Statements of Stockholders’ / Partners’ Equity, Note 9. Equity and Share-Based Compensation, Note 10. Earnings per Common Share and Note 16. Selected Quarterly Financial Data (Unaudited).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October 1, 2020, Allstar Managers LLC, a Delaware limited liability company ("Managers"), owned membership units in NAHC (each, a "NAHC Membership Unit"). Managers was dissolved and its assets were distributed to its members on December 23, 2020. Managers was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 (1) 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9). Each outstanding Redeemable Membership Unit in Managers corresponded to an outstanding NAHC Membership Unit, on a unit-for-unit basis.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equaled the number of shares of ASO, Inc. common stock held by Managers on a 1:1 basis.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NAHC was the sole managing member of Managers with a controlling voting interest, but no economic interest, in Managers. As the sole managing member of Managers, NAHC operated and controlled all business affairs of Managers.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terms and conditions of the agreements governing the Redeemable Membership Units included provisions by which the holder, or its heirs, had the right to require Managers or NAHC to purchase the holder's Redeemable Membership Units upon the holder’s termination of employment due to death or disability for cash at fair value. The carrying value of the Redeemable Membership Units was classified as temporary equity, initially at fair value, as redemption was an event that was not solely within our control. If redemption became probable, we were required to re-measure the Redeemable Membership Units to fair value. Periodically, these rights lapsed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200" w:lineRule="exact"/>
        <w:rPr>
          <w:sz w:val="20"/>
          <w:szCs w:val="20"/>
          <w:color w:val="auto"/>
        </w:rPr>
      </w:pPr>
    </w:p>
    <w:p>
      <w:pPr>
        <w:spacing w:after="0" w:line="33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5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purchase merchandise inventories from approximately 1,200 vendors. In 2020, 2019 and 2018, purchases from our largest vendor represented approximately 12%, 14% and 13% of our total inventory purchases, respectively. No other vendor in any of the aforementioned years exceeded 10% of our purchases. We typically do not enter into long-term inventory purchase commitments and there were none as of January 30, 2021 or February 1, 2020.</w:t>
      </w:r>
    </w:p>
    <w:p>
      <w:pPr>
        <w:spacing w:after="0" w:line="2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Merchandise inventories are valued at the lower of weighted average cost or net realizable value using the last-in first-out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January 30, 2021 and February 1, 2020,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2020, 2019 or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200" w:lineRule="exact"/>
        <w:rPr>
          <w:sz w:val="20"/>
          <w:szCs w:val="20"/>
          <w:color w:val="auto"/>
        </w:rPr>
      </w:pPr>
    </w:p>
    <w:p>
      <w:pPr>
        <w:spacing w:after="0" w:line="30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4" w:name="page85"/>
    <w:bookmarkEnd w:id="84"/>
    <w:p>
      <w:pPr>
        <w:ind w:left="320"/>
        <w:spacing w:after="0"/>
        <w:tabs>
          <w:tab w:leader="none" w:pos="2740" w:val="left"/>
        </w:tabs>
        <w:rPr>
          <w:sz w:val="20"/>
          <w:szCs w:val="20"/>
          <w:color w:val="auto"/>
        </w:rPr>
      </w:pPr>
      <w:r>
        <w:rPr>
          <w:rFonts w:ascii="Arial" w:cs="Arial" w:eastAsia="Arial" w:hAnsi="Arial"/>
          <w:sz w:val="18"/>
          <w:szCs w:val="18"/>
          <w:color w:val="auto"/>
        </w:rPr>
        <w:t>Leasehold improvements</w:t>
      </w:r>
      <w:r>
        <w:rPr>
          <w:sz w:val="20"/>
          <w:szCs w:val="20"/>
          <w:color w:val="auto"/>
        </w:rPr>
        <w:tab/>
      </w:r>
      <w:r>
        <w:rPr>
          <w:rFonts w:ascii="Arial" w:cs="Arial" w:eastAsia="Arial" w:hAnsi="Arial"/>
          <w:sz w:val="16"/>
          <w:szCs w:val="16"/>
          <w:color w:val="auto"/>
        </w:rPr>
        <w:t>Lesser of asset useful life or lease term</w:t>
      </w:r>
    </w:p>
    <w:p>
      <w:pPr>
        <w:spacing w:after="0" w:line="23" w:lineRule="exact"/>
        <w:rPr>
          <w:sz w:val="20"/>
          <w:szCs w:val="20"/>
          <w:color w:val="auto"/>
        </w:rPr>
      </w:pPr>
    </w:p>
    <w:p>
      <w:pPr>
        <w:ind w:left="320"/>
        <w:spacing w:after="0"/>
        <w:tabs>
          <w:tab w:leader="none" w:pos="3220" w:val="left"/>
        </w:tabs>
        <w:rPr>
          <w:sz w:val="20"/>
          <w:szCs w:val="20"/>
          <w:color w:val="auto"/>
        </w:rPr>
      </w:pPr>
      <w:r>
        <w:rPr>
          <w:rFonts w:ascii="Arial" w:cs="Arial" w:eastAsia="Arial" w:hAnsi="Arial"/>
          <w:sz w:val="18"/>
          <w:szCs w:val="18"/>
          <w:color w:val="auto"/>
        </w:rPr>
        <w:t>Software and computer equipment</w:t>
      </w:r>
      <w:r>
        <w:rPr>
          <w:sz w:val="20"/>
          <w:szCs w:val="20"/>
          <w:color w:val="auto"/>
        </w:rPr>
        <w:tab/>
      </w:r>
      <w:r>
        <w:rPr>
          <w:rFonts w:ascii="Arial" w:cs="Arial" w:eastAsia="Arial" w:hAnsi="Arial"/>
          <w:sz w:val="15"/>
          <w:szCs w:val="15"/>
          <w:color w:val="auto"/>
        </w:rPr>
        <w:t>2–5 years</w:t>
      </w:r>
    </w:p>
    <w:p>
      <w:pPr>
        <w:spacing w:after="0" w:line="9" w:lineRule="exact"/>
        <w:rPr>
          <w:sz w:val="20"/>
          <w:szCs w:val="20"/>
          <w:color w:val="auto"/>
        </w:rPr>
      </w:pPr>
    </w:p>
    <w:p>
      <w:pPr>
        <w:ind w:left="320"/>
        <w:spacing w:after="0"/>
        <w:tabs>
          <w:tab w:leader="none" w:pos="2320" w:val="left"/>
        </w:tabs>
        <w:rPr>
          <w:sz w:val="20"/>
          <w:szCs w:val="20"/>
          <w:color w:val="auto"/>
        </w:rPr>
      </w:pPr>
      <w:r>
        <w:rPr>
          <w:rFonts w:ascii="Arial" w:cs="Arial" w:eastAsia="Arial" w:hAnsi="Arial"/>
          <w:sz w:val="18"/>
          <w:szCs w:val="18"/>
          <w:color w:val="auto"/>
        </w:rPr>
        <w:t>Other equipment</w:t>
      </w:r>
      <w:r>
        <w:rPr>
          <w:sz w:val="20"/>
          <w:szCs w:val="20"/>
          <w:color w:val="auto"/>
        </w:rPr>
        <w:tab/>
      </w:r>
      <w:r>
        <w:rPr>
          <w:rFonts w:ascii="Arial" w:cs="Arial" w:eastAsia="Arial" w:hAnsi="Arial"/>
          <w:sz w:val="15"/>
          <w:szCs w:val="15"/>
          <w:color w:val="auto"/>
        </w:rPr>
        <w:t>5–10 years</w:t>
      </w:r>
    </w:p>
    <w:p>
      <w:pPr>
        <w:spacing w:after="0" w:line="9" w:lineRule="exact"/>
        <w:rPr>
          <w:sz w:val="20"/>
          <w:szCs w:val="20"/>
          <w:color w:val="auto"/>
        </w:rPr>
      </w:pPr>
    </w:p>
    <w:p>
      <w:pPr>
        <w:ind w:left="320"/>
        <w:spacing w:after="0"/>
        <w:tabs>
          <w:tab w:leader="none" w:pos="2500" w:val="left"/>
        </w:tabs>
        <w:rPr>
          <w:sz w:val="20"/>
          <w:szCs w:val="20"/>
          <w:color w:val="auto"/>
        </w:rPr>
      </w:pPr>
      <w:r>
        <w:rPr>
          <w:rFonts w:ascii="Arial" w:cs="Arial" w:eastAsia="Arial" w:hAnsi="Arial"/>
          <w:sz w:val="18"/>
          <w:szCs w:val="18"/>
          <w:color w:val="auto"/>
        </w:rPr>
        <w:t>Furniture and fixtures</w:t>
      </w:r>
      <w:r>
        <w:rPr>
          <w:sz w:val="20"/>
          <w:szCs w:val="20"/>
          <w:color w:val="auto"/>
        </w:rPr>
        <w:tab/>
      </w:r>
      <w:r>
        <w:rPr>
          <w:rFonts w:ascii="Arial" w:cs="Arial" w:eastAsia="Arial" w:hAnsi="Arial"/>
          <w:sz w:val="15"/>
          <w:szCs w:val="15"/>
          <w:color w:val="auto"/>
        </w:rPr>
        <w:t>7–10 years</w:t>
      </w:r>
    </w:p>
    <w:p>
      <w:pPr>
        <w:spacing w:after="0" w:line="2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or enhance the functionality of an asset are capitalized and amortized.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we acquire land and construct new stores to be sold to and leased from third party landlords. New stores completed but not yet sold to and leased from third parties are classified as assets held for sale and are expected to be sold within one year. Our intent is to sell the stores and land for approximately the total land and construction costs incurred (which approximate the fair market value of the property, net of selling costs) and simultaneously enter into operating leases.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Computer Software Costs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$14.5 million, $12.9 million and $13.8 million in 2020, 2019 and 2018,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capitalized interest primarily related to construction of new stores, store renovations, distribution centers and IT projects in the amount of $0.6 million, $0.6 million and $1.3 million in 2020, 2019 and 2018, respectively. Interest expense, net on the consolidated statement of income is shown net of capitalized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2020 and 2019. In 2018, we impaired $1.4 million of long-lived store assets. These charges are included in selling, general and administrative expenses on the consolidated statements of income (see Note 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21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 In 2020, we performed a qualitative assessment and determined a quantitative assessment was not necessary.</w:t>
      </w:r>
    </w:p>
    <w:p>
      <w:pPr>
        <w:spacing w:after="0" w:line="200" w:lineRule="exact"/>
        <w:rPr>
          <w:sz w:val="20"/>
          <w:szCs w:val="20"/>
          <w:color w:val="auto"/>
        </w:rPr>
      </w:pPr>
    </w:p>
    <w:p>
      <w:pPr>
        <w:spacing w:after="0" w:line="29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381" w:right="339" w:bottom="1440" w:gutter="0" w:footer="0" w:header="0"/>
        </w:sectPr>
      </w:pPr>
    </w:p>
    <w:bookmarkStart w:id="85" w:name="page86"/>
    <w:bookmarkEnd w:id="85"/>
    <w:p>
      <w:pPr>
        <w:jc w:val="both"/>
        <w:ind w:firstLine="324"/>
        <w:spacing w:after="0" w:line="279" w:lineRule="auto"/>
        <w:rPr>
          <w:sz w:val="20"/>
          <w:szCs w:val="20"/>
          <w:color w:val="auto"/>
        </w:rPr>
      </w:pPr>
      <w:r>
        <w:rPr>
          <w:rFonts w:ascii="Arial" w:cs="Arial" w:eastAsia="Arial" w:hAnsi="Arial"/>
          <w:sz w:val="17"/>
          <w:szCs w:val="17"/>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9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2019 and 2018, we performed a quantitative assessment for the determination of impairment. No impairment of goodwill existed for 2020, 2019 or 2018.</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Intangible assets consist of the trade name of "Academy Sports + Outdoors" (the "Trade Name") and our favorable leases. The favorable leases are accounted for as finite-lived assets and are amortized over their estimated useful economic lives. With the adoption of the New Lease Standard on February 3, 2019, the balance of the favorable lease rights, net was netted into the right-of-use assets on the balance sheet (see Note 12). Amortization expense on favorable lease rights was $3.5 million in 2018. The Trade Name is expected to generate cash flows indefinitely and, therefore, is accounted for as an indefinite-lived asset not subject to amortization.</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2020, 2019 and 2018 annual impairment tests indicated that the fair value of the Trade Name was in excess of its carrying value and no impairments existed.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Loan Costs</w:t>
      </w:r>
    </w:p>
    <w:p>
      <w:pPr>
        <w:spacing w:after="0" w:line="252" w:lineRule="exact"/>
        <w:rPr>
          <w:sz w:val="20"/>
          <w:szCs w:val="20"/>
          <w:color w:val="auto"/>
        </w:rPr>
      </w:pPr>
    </w:p>
    <w:p>
      <w:pPr>
        <w:jc w:val="both"/>
        <w:ind w:firstLine="369"/>
        <w:spacing w:after="0" w:line="257" w:lineRule="auto"/>
        <w:rPr>
          <w:sz w:val="20"/>
          <w:szCs w:val="20"/>
          <w:color w:val="auto"/>
        </w:rPr>
      </w:pPr>
      <w:r>
        <w:rPr>
          <w:rFonts w:ascii="Arial" w:cs="Arial" w:eastAsia="Arial" w:hAnsi="Arial"/>
          <w:sz w:val="18"/>
          <w:szCs w:val="18"/>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interest rate risk, primarily related to changes in interest rates on our term loan (see Note 4) and have historically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("AOCI"), net of tax effects, and are subsequently reclassified to earnings when the hedged transaction affects earnings. On January 19, 2021, we settled our three remaining outstanding interest rate swaps, which were scheduled to expire on various dates during 2021, for $4.1 million. As of January 30, 2021, we do not have any derivative financial instruments outstanding.</w:t>
      </w:r>
    </w:p>
    <w:p>
      <w:pPr>
        <w:spacing w:after="0" w:line="28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Effective February 3, 2019, we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a series of related Accounting Standards Updates that followed (collectively referred to as the "New Lease Standard"). The New Lease Standard requires that lessees recognize assets and liabilities arising from operating leases on the balance sheet and disclose key information about leasing arrangements. We elected the practical expedient available to us under ASU 2018-11, </w:t>
      </w:r>
      <w:r>
        <w:rPr>
          <w:rFonts w:ascii="Arial" w:cs="Arial" w:eastAsia="Arial" w:hAnsi="Arial"/>
          <w:sz w:val="17"/>
          <w:szCs w:val="17"/>
          <w:i w:val="1"/>
          <w:iCs w:val="1"/>
          <w:color w:val="auto"/>
        </w:rPr>
        <w:t>"Leases: Targeted Improvements"</w:t>
      </w:r>
      <w:r>
        <w:rPr>
          <w:rFonts w:ascii="Arial" w:cs="Arial" w:eastAsia="Arial" w:hAnsi="Arial"/>
          <w:sz w:val="17"/>
          <w:szCs w:val="17"/>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Cash received from a landlord for tenant improvement allowances in store lease transactions not considered a sale-leaseback transaction are a reduction to the right-of-use assets on the balance sheet, which are amortized ratably over the remaining terms of the corresponding leases.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each lease and non-lease components for our building leases as a single lease component which allows certain costs such as common area maintenance associated with these leases to be included as rent expense. We elected to exclude leases with contract terms of 12 months or less from the New Lease Standard accounting treatment, which results in straight-line recognition of the cost over the lease term with no associated balance sheet lease liability or right-of-use asset.</w:t>
      </w:r>
    </w:p>
    <w:p>
      <w:pPr>
        <w:spacing w:after="0" w:line="214"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Substantially all of our leases contain landlord incentives and escalation clauses. With the adoption of the New Lease Standard on February 3, 2019, the deferred rent balances were netted into the right-of-use assets on the balance sheet (see Note 12), which are amortized ratably over the remaining terms of the corresponding leases.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certain store construction cases, we may be deemed the owner of the property during construction, after which we then sell the property to a landlord and concurrently enter into a lease of the property to operate the store (“sale-leaseback”). We report the cash received for construction allowances as construction allowance receipts within the financing activities section of our consolidated statements of cash flows when such amounts are received prior to completion of a sale-leaseback transaction, and we report the cash received for construction allowances as proceeds from the sale of property and equipment within the investing activities section of our consolidated statements of cash flows when such amounts are received after the completion of a sale-leaseback transaction.</w:t>
      </w:r>
    </w:p>
    <w:p>
      <w:pPr>
        <w:spacing w:after="0" w:line="21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If we are deemed the owner of the property during the construction period and the sale-leaseback criteria is met, the losses and gains from sale-leaseback transactions are recognized immediately. To date, the Company has not executed a sale-leaseback transaction under the New Lease Standard, which we adopted on February 3, 2019.</w:t>
      </w: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 of goods sold includes the direct cost of merchandise and costs related to procurement, warehousing and distribution. These costs consist primarily of payroll and benefits, occupancy costs and freight.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and other store and administrative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are expensed as incurred. Advertising expenses, net of specific vendor allowances, were $122.8 million, $142.3 million and $139.1 million in 2020, 2019 and 2018,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Non-capital expenditures associated with opening new stores and distribution centers, which consist primarily of occupancy costs, marketing, payroll and recruiting costs, are expensed as incurred. There were no pre-opening expenses in 2020. Pre-opening expenses for our new stores were $3.2 million and $3.4 million in 2019 and 2018, respectively.</w:t>
      </w: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account for equity compensation in accordance with Financial Accounting Standards Board ("FASB") Accounting Standards Codification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subject to U.S. federal, state and foreign income taxes.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Comprehensive income represents the net income for the period plus the results of certain changes to stockholders' equity (other comprehensive income) that are not reflected in the consolidated statements of income. Other comprehensive income consists of adjustments, net of tax, related to the Company’s interest rate swaps.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Arial" w:cs="Arial" w:eastAsia="Arial" w:hAnsi="Arial"/>
          <w:sz w:val="18"/>
          <w:szCs w:val="18"/>
          <w:i w:val="1"/>
          <w:iCs w:val="1"/>
          <w:color w:val="auto"/>
        </w:rPr>
        <w:t>academy.com</w:t>
      </w:r>
      <w:r>
        <w:rPr>
          <w:rFonts w:ascii="Arial" w:cs="Arial" w:eastAsia="Arial" w:hAnsi="Arial"/>
          <w:sz w:val="18"/>
          <w:szCs w:val="18"/>
          <w:color w:val="auto"/>
        </w:rPr>
        <w:t xml:space="preserve"> website, we report our financial results as one reportable segment. Substantially all of the Company’s identifiable assets are located in the United States.</w:t>
      </w:r>
    </w:p>
    <w:p>
      <w:pPr>
        <w:spacing w:after="0" w:line="27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9" w:name="page90"/>
    <w:bookmarkEnd w:id="89"/>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sets forth the approximate amount of sales by merchandise divisions for the periods presented (amounts in thousands):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2020</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2019</w:t>
            </w:r>
          </w:p>
        </w:tc>
      </w:tr>
      <w:tr>
        <w:trPr>
          <w:trHeight w:val="210"/>
        </w:trPr>
        <w:tc>
          <w:tcPr>
            <w:tcW w:w="498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23"/>
                <w:szCs w:val="23"/>
                <w:color w:val="auto"/>
                <w:vertAlign w:val="superscript"/>
              </w:rPr>
              <w:t>(1)</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4980" w:type="dxa"/>
            <w:vAlign w:val="bottom"/>
          </w:tcPr>
          <w:p>
            <w:pPr>
              <w:ind w:left="240"/>
              <w:spacing w:after="0"/>
              <w:rPr>
                <w:sz w:val="20"/>
                <w:szCs w:val="20"/>
                <w:color w:val="auto"/>
              </w:rPr>
            </w:pPr>
            <w:r>
              <w:rPr>
                <w:rFonts w:ascii="Arial" w:cs="Arial" w:eastAsia="Arial" w:hAnsi="Arial"/>
                <w:sz w:val="18"/>
                <w:szCs w:val="18"/>
                <w:color w:val="auto"/>
              </w:rPr>
              <w:t>Outdoors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1,968,514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1,455,080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1,473,403</w:t>
            </w:r>
          </w:p>
        </w:tc>
      </w:tr>
      <w:tr>
        <w:trPr>
          <w:trHeight w:val="230"/>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Sports and recreation</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1,258,913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1,017,670</w:t>
            </w: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Apparel</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1,387,963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1,357,320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1,274,330</w:t>
            </w:r>
          </w:p>
        </w:tc>
      </w:tr>
      <w:tr>
        <w:trPr>
          <w:trHeight w:val="229"/>
        </w:trPr>
        <w:tc>
          <w:tcPr>
            <w:tcW w:w="4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Footwear</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1,044,502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997,692</w:t>
            </w:r>
          </w:p>
        </w:tc>
      </w:tr>
      <w:tr>
        <w:trPr>
          <w:trHeight w:val="223"/>
        </w:trPr>
        <w:tc>
          <w:tcPr>
            <w:tcW w:w="4980" w:type="dxa"/>
            <w:vAlign w:val="bottom"/>
          </w:tcPr>
          <w:p>
            <w:pPr>
              <w:ind w:left="36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5,659,892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4,809,714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4,763,095</w:t>
            </w:r>
          </w:p>
        </w:tc>
      </w:tr>
      <w:tr>
        <w:trPr>
          <w:trHeight w:val="229"/>
        </w:trPr>
        <w:tc>
          <w:tcPr>
            <w:tcW w:w="4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29,341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r>
      <w:tr>
        <w:trPr>
          <w:trHeight w:val="223"/>
        </w:trPr>
        <w:tc>
          <w:tcPr>
            <w:tcW w:w="4980" w:type="dxa"/>
            <w:vAlign w:val="bottom"/>
          </w:tcPr>
          <w:p>
            <w:pPr>
              <w:ind w:left="26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5,689,233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4,829,897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4,783,893</w:t>
            </w: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hanging="328"/>
        <w:spacing w:after="0" w:line="238" w:lineRule="auto"/>
        <w:tabs>
          <w:tab w:leader="none" w:pos="648"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for 2020, 2019 and 2018 for comparability purposes. This reclassification is in divisional presentation only and did not impact the overall net sales balances previously disclosed (see Note 2).</w:t>
      </w:r>
    </w:p>
    <w:p>
      <w:pPr>
        <w:ind w:left="640" w:hanging="308"/>
        <w:spacing w:after="0" w:line="196" w:lineRule="auto"/>
        <w:tabs>
          <w:tab w:leader="none" w:pos="640"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E-commerce sales consisted of 10.4%, 5.1% and 4.9% of merchandise sales for 2020, 2019 and 2018, respectively.</w:t>
      </w:r>
    </w:p>
    <w:p>
      <w:pPr>
        <w:spacing w:after="0" w:line="1" w:lineRule="exact"/>
        <w:rPr>
          <w:rFonts w:ascii="Arial" w:cs="Arial" w:eastAsia="Arial" w:hAnsi="Arial"/>
          <w:sz w:val="23"/>
          <w:szCs w:val="23"/>
          <w:color w:val="auto"/>
          <w:vertAlign w:val="superscript"/>
        </w:rPr>
      </w:pPr>
    </w:p>
    <w:p>
      <w:pPr>
        <w:ind w:left="660" w:hanging="328"/>
        <w:spacing w:after="0" w:line="219" w:lineRule="auto"/>
        <w:tabs>
          <w:tab w:leader="none" w:pos="648" w:val="left"/>
        </w:tabs>
        <w:numPr>
          <w:ilvl w:val="0"/>
          <w:numId w:val="53"/>
        </w:numPr>
        <w:rPr>
          <w:rFonts w:ascii="Arial" w:cs="Arial" w:eastAsia="Arial" w:hAnsi="Arial"/>
          <w:sz w:val="23"/>
          <w:szCs w:val="23"/>
          <w:color w:val="auto"/>
          <w:vertAlign w:val="superscript"/>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8"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sell gift cards in stores, online and in third-party retail locations. The gift cards we sell have no expiration dates. A liability for gift cards, which is recorded in accrued expenses and other liabilities on our balance sheets, is established at the time of sale and revenues are recognized as the gift cards are redeemed in stores or on our website.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February 1, 2020</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2019</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Gift card liability, beginning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920" w:type="dxa"/>
            <w:vAlign w:val="bottom"/>
          </w:tcPr>
          <w:p>
            <w:pPr>
              <w:ind w:left="220"/>
              <w:spacing w:after="0"/>
              <w:rPr>
                <w:sz w:val="20"/>
                <w:szCs w:val="20"/>
                <w:color w:val="auto"/>
              </w:rPr>
            </w:pPr>
            <w:r>
              <w:rPr>
                <w:rFonts w:ascii="Arial" w:cs="Arial" w:eastAsia="Arial" w:hAnsi="Arial"/>
                <w:sz w:val="18"/>
                <w:szCs w:val="18"/>
                <w:color w:val="auto"/>
              </w:rPr>
              <w:t>Issued</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111,160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134,839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153,429</w:t>
            </w:r>
          </w:p>
        </w:tc>
        <w:tc>
          <w:tcPr>
            <w:tcW w:w="3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Redeemed</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(142,742)</w:t>
            </w:r>
          </w:p>
        </w:tc>
        <w:tc>
          <w:tcPr>
            <w:tcW w:w="3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as breakage income</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38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Gift card liability, ending balance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38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852"/>
        </w:trPr>
        <w:tc>
          <w:tcPr>
            <w:tcW w:w="3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117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6760" w:type="dxa"/>
            <w:vAlign w:val="bottom"/>
          </w:tcPr>
          <w:p>
            <w:pPr>
              <w:ind w:left="320"/>
              <w:spacing w:after="0"/>
              <w:rPr>
                <w:sz w:val="20"/>
                <w:szCs w:val="20"/>
                <w:color w:val="auto"/>
              </w:rPr>
            </w:pPr>
            <w:r>
              <w:rPr>
                <w:rFonts w:ascii="Arial" w:cs="Arial" w:eastAsia="Arial" w:hAnsi="Arial"/>
                <w:sz w:val="18"/>
                <w:szCs w:val="18"/>
                <w:color w:val="auto"/>
              </w:rPr>
              <w:t>Our debt consisted of the following (amounts in thousands) as of:</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6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80" w:type="dxa"/>
            <w:vAlign w:val="bottom"/>
          </w:tcPr>
          <w:p>
            <w:pPr>
              <w:spacing w:after="0"/>
              <w:rPr>
                <w:sz w:val="22"/>
                <w:szCs w:val="22"/>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2020</w:t>
            </w:r>
          </w:p>
        </w:tc>
      </w:tr>
      <w:tr>
        <w:trPr>
          <w:trHeight w:val="223"/>
        </w:trPr>
        <w:tc>
          <w:tcPr>
            <w:tcW w:w="340" w:type="dxa"/>
            <w:vAlign w:val="bottom"/>
          </w:tcPr>
          <w:p>
            <w:pPr>
              <w:spacing w:after="0"/>
              <w:rPr>
                <w:sz w:val="19"/>
                <w:szCs w:val="19"/>
                <w:color w:val="auto"/>
              </w:rPr>
            </w:pPr>
          </w:p>
        </w:tc>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ABL Facility, due November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Term Loan, due November 2027</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400,000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1,468,993</w:t>
            </w:r>
          </w:p>
        </w:tc>
      </w:tr>
      <w:tr>
        <w:trPr>
          <w:trHeight w:val="229"/>
        </w:trPr>
        <w:tc>
          <w:tcPr>
            <w:tcW w:w="34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November 2027</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1,468,993</w:t>
            </w:r>
          </w:p>
        </w:tc>
      </w:tr>
      <w:tr>
        <w:trPr>
          <w:trHeight w:val="229"/>
        </w:trPr>
        <w:tc>
          <w:tcPr>
            <w:tcW w:w="34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(34,116)</w:t>
            </w:r>
          </w:p>
        </w:tc>
      </w:tr>
      <w:tr>
        <w:trPr>
          <w:trHeight w:val="230"/>
        </w:trPr>
        <w:tc>
          <w:tcPr>
            <w:tcW w:w="34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Less unamortized discount on Term Loan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(3,861)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(2,591)</w:t>
            </w:r>
          </w:p>
        </w:tc>
      </w:tr>
      <w:tr>
        <w:trPr>
          <w:trHeight w:val="229"/>
        </w:trPr>
        <w:tc>
          <w:tcPr>
            <w:tcW w:w="340" w:type="dxa"/>
            <w:vAlign w:val="bottom"/>
          </w:tcPr>
          <w:p>
            <w:pPr>
              <w:spacing w:after="0"/>
              <w:rPr>
                <w:sz w:val="19"/>
                <w:szCs w:val="19"/>
                <w:color w:val="auto"/>
              </w:rPr>
            </w:pPr>
          </w:p>
        </w:tc>
        <w:tc>
          <w:tcPr>
            <w:tcW w:w="6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w:t>
            </w:r>
          </w:p>
        </w:tc>
      </w:tr>
      <w:tr>
        <w:trPr>
          <w:trHeight w:val="223"/>
        </w:trPr>
        <w:tc>
          <w:tcPr>
            <w:tcW w:w="340" w:type="dxa"/>
            <w:vAlign w:val="bottom"/>
          </w:tcPr>
          <w:p>
            <w:pPr>
              <w:spacing w:after="0"/>
              <w:rPr>
                <w:sz w:val="19"/>
                <w:szCs w:val="19"/>
                <w:color w:val="auto"/>
              </w:rPr>
            </w:pPr>
          </w:p>
        </w:tc>
        <w:tc>
          <w:tcPr>
            <w:tcW w:w="676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781,489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1,428,542</w:t>
            </w:r>
          </w:p>
        </w:tc>
      </w:tr>
      <w:tr>
        <w:trPr>
          <w:trHeight w:val="20"/>
        </w:trPr>
        <w:tc>
          <w:tcPr>
            <w:tcW w:w="3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ind w:left="34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Deferred loan costs are related to the Term Loan and Notes.</w:t>
      </w:r>
    </w:p>
    <w:p>
      <w:pPr>
        <w:spacing w:after="0" w:line="200"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As of January 30, 2021 and February 1, 2020, the balance in deferred loan costs related to the ABL Facility (as defined below) was approximately $5.5 million and $3.4 million, respectively, and was included in other noncurrent assets on our consolidated balance sheets. Total amortization of deferred loan costs was $2.6 million, $2.6 million and $3.0 million in 2020, 2019 and 2018, respectively. Total expenses related to accretion of original issuance discount were $1.0 million, $1.1 million and $1.2 million in 2020, 2019 and 2018, respectively.</w:t>
      </w:r>
    </w:p>
    <w:p>
      <w:pPr>
        <w:spacing w:after="0" w:line="117" w:lineRule="exact"/>
        <w:rPr>
          <w:sz w:val="20"/>
          <w:szCs w:val="20"/>
          <w:color w:val="auto"/>
        </w:rPr>
      </w:pPr>
    </w:p>
    <w:p>
      <w:pPr>
        <w:jc w:val="both"/>
        <w:ind w:left="340" w:right="20" w:firstLine="324"/>
        <w:spacing w:after="0" w:line="311" w:lineRule="auto"/>
        <w:rPr>
          <w:sz w:val="20"/>
          <w:szCs w:val="20"/>
          <w:color w:val="auto"/>
        </w:rPr>
      </w:pPr>
      <w:r>
        <w:rPr>
          <w:rFonts w:ascii="Arial" w:cs="Arial" w:eastAsia="Arial" w:hAnsi="Arial"/>
          <w:sz w:val="16"/>
          <w:szCs w:val="16"/>
          <w:color w:val="auto"/>
        </w:rPr>
        <w:t>On November 6, 2020, the Company issued the Notes (as defined below), entered into the 2020 Term Loan (as defined below), and entered into the 2020 ABL Facility (the "Refinancing Transactions"). The Company used the net proceeds from the Notes and the net proceeds from the 2020 Term Loan, together with cash on hand, to repay in full outstanding borrowings under its then-existing term loan, in the amount of $1,431.4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refer to the 2015 Term Loan and the 2020 Term Loan collectively as the "Term Loan".</w:t>
      </w:r>
    </w:p>
    <w:p>
      <w:pPr>
        <w:spacing w:after="0" w:line="252"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On July 2, 2015, Academy, Ltd. entered into a seven-year $1.8 billion senior secured term loan (the "2015 Term Loan") with Morgan Stanley Senior Funding, Inc., as the administrative and collateral agent, and other lenders, and a five-year $650 million secured asset-based revolving credit facility (the "2015 ABL Facility") with JPMorgan Chase Bank, N.A., as administrative agent, and other lenders. Academy, Ltd. received proceeds from the 2015 Term Loan of $1.8 billion, which was net of discount of $9.1 million. The 2015 Term Loan bore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were required through June 30, 2022, with the balance due in full on the maturity date of July 2, 2022.</w:t>
      </w:r>
    </w:p>
    <w:p>
      <w:pPr>
        <w:spacing w:after="0" w:line="193" w:lineRule="exact"/>
        <w:rPr>
          <w:sz w:val="20"/>
          <w:szCs w:val="20"/>
          <w:color w:val="auto"/>
        </w:rPr>
      </w:pPr>
    </w:p>
    <w:p>
      <w:pPr>
        <w:jc w:val="both"/>
        <w:ind w:left="340" w:firstLine="324"/>
        <w:spacing w:after="0" w:line="288" w:lineRule="auto"/>
        <w:rPr>
          <w:sz w:val="20"/>
          <w:szCs w:val="20"/>
          <w:color w:val="auto"/>
        </w:rPr>
      </w:pPr>
      <w:r>
        <w:rPr>
          <w:rFonts w:ascii="Arial" w:cs="Arial" w:eastAsia="Arial" w:hAnsi="Arial"/>
          <w:sz w:val="16"/>
          <w:szCs w:val="16"/>
          <w:color w:val="auto"/>
        </w:rPr>
        <w:t>On November 6, 2020, Academy, Ltd., as borrower, and the Guarantors, as guarantors, entered into the Second Amended and Restated Credit Agreement (the "2020 Term Loan Agreement"), with Credit Suisse AG, Cayman Island Branch ("Credit Suisse"), as the administrative agent and collateral agent (the "Term Loan Agent"), the several lenders from time to time parties thereto and the several other parties named therein, which established a new $400.0 million first lien term loan (the "2020 Term Loan"). The 2020 Term Loan will mature on November 6, 2027. The 2020 Term Loan bears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are required through September 30, 2027, with the balance due in full on the maturity date of November 6, 2027. As of January 30, 2021, the weighted average interest rate was 5.75%, with interest payable monthly. The terms and conditions of the 2020 Term Loan also require that the outstanding balance under the 2020 Term Loan is prepaid under certain circumstances. In connection with the 2020 Term Loan, the Company capitalized related professional fees of $5.8 million as deferred loan costs.</w:t>
      </w: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1" w:name="page92"/>
    <w:bookmarkEnd w:id="91"/>
    <w:p>
      <w:pPr>
        <w:jc w:val="both"/>
        <w:ind w:firstLine="324"/>
        <w:spacing w:after="0" w:line="259" w:lineRule="auto"/>
        <w:rPr>
          <w:sz w:val="20"/>
          <w:szCs w:val="20"/>
          <w:color w:val="auto"/>
        </w:rPr>
      </w:pPr>
      <w:r>
        <w:rPr>
          <w:rFonts w:ascii="Arial" w:cs="Arial" w:eastAsia="Arial" w:hAnsi="Arial"/>
          <w:sz w:val="18"/>
          <w:szCs w:val="18"/>
          <w:color w:val="auto"/>
        </w:rPr>
        <w:t>The 2020 Term Loan Agreement contains customary events of default including, but not limited to,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 As of January 30, 2021, no prepayment was due under the terms and conditions of the Term Loan.</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Refinancing Transactions in 2020 and 2019, we repurchased principal on our Term Loan. The following table provides further detail regarding these repurchases (amounts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4460" w:type="dxa"/>
            <w:vAlign w:val="bottom"/>
            <w:tcBorders>
              <w:bottom w:val="single" w:sz="8" w:color="auto"/>
            </w:tcBorders>
            <w:gridSpan w:val="5"/>
          </w:tcPr>
          <w:p>
            <w:pPr>
              <w:jc w:val="right"/>
              <w:ind w:right="143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604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30, 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February 1, 2020</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principal repurchased</w:t>
            </w:r>
          </w:p>
        </w:tc>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Reacquisition price of debt</w:t>
            </w:r>
          </w:p>
        </w:tc>
        <w:tc>
          <w:tcPr>
            <w:tcW w:w="1780" w:type="dxa"/>
            <w:vAlign w:val="bottom"/>
          </w:tcPr>
          <w:p>
            <w:pPr>
              <w:jc w:val="right"/>
              <w:ind w:right="15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1"/>
              </w:rPr>
              <w:t>16.0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104.6</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recognized</w:t>
            </w:r>
          </w:p>
        </w:tc>
        <w:tc>
          <w:tcPr>
            <w:tcW w:w="1780" w:type="dxa"/>
            <w:vAlign w:val="bottom"/>
            <w:shd w:val="clear" w:color="auto" w:fill="CCEEFF"/>
          </w:tcPr>
          <w:p>
            <w:pPr>
              <w:jc w:val="right"/>
              <w:ind w:right="159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Refinancing Transactions, the Company recognized a non-cash loss on early retirement of debt of $4.2 million from the write-off of deferred loan costs and expense related to the original issuance discount associated with our 2015 Term Loan.</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Notes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November 6, 2020, Academy, Ltd. issued $400.0 million of 6.00% senior secured notes which are due November 15, 2027 (the "Notes"), pursuant to an indenture, dated as of November 6, 2020 (the "Indenture"), by and among Academy, Ltd. the Guarantors (as defined below) and The Bank of New York Mellon Trust Company, N.A., as trustee and collateral agent (in such capacity, the "Notes Collateral Agent"). The Notes will pay interest semi-annually in arrears in cash on May 15 and November 15 of each year at a rate of 6.00% per year, commencing on May 15, 2021. The Notes were sold in the United States to persons reasonably believed to be "qualified institutional buyers" pursuant to Rule 144A under the Securities Act of 1933, as amended (the "Securities Act"), and outside the United States to non-U.S. persons pursuant to Regulation S under the Securities Act. In connection with issuance of the Notes, the Company capitalized related professional fees of $5.2 million as deferred loan costs.</w:t>
      </w:r>
    </w:p>
    <w:p>
      <w:pPr>
        <w:spacing w:after="0" w:line="1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Notes are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13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Notes at a price equal to 101% of the principal amount thereof, plus accrued and unpaid interest, if any, to, but excluding, the repurchase date.</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spacing w:after="0" w:line="200" w:lineRule="exact"/>
        <w:rPr>
          <w:sz w:val="20"/>
          <w:szCs w:val="20"/>
          <w:color w:val="auto"/>
        </w:rPr>
      </w:pPr>
    </w:p>
    <w:p>
      <w:pPr>
        <w:spacing w:after="0" w:line="31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92" w:name="page93"/>
    <w:bookmarkEnd w:id="92"/>
    <w:p>
      <w:pPr>
        <w:ind w:left="320"/>
        <w:spacing w:after="0"/>
        <w:rPr>
          <w:sz w:val="20"/>
          <w:szCs w:val="20"/>
          <w:color w:val="auto"/>
        </w:rPr>
      </w:pPr>
      <w:r>
        <w:rPr>
          <w:rFonts w:ascii="Arial" w:cs="Arial" w:eastAsia="Arial" w:hAnsi="Arial"/>
          <w:sz w:val="18"/>
          <w:szCs w:val="18"/>
          <w:b w:val="1"/>
          <w:bCs w:val="1"/>
          <w:i w:val="1"/>
          <w:iCs w:val="1"/>
          <w:u w:val="single" w:color="auto"/>
          <w:color w:val="auto"/>
        </w:rPr>
        <w:t>ABL Facility</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refer to the 2015 ABL Facility and the 2020 ABL Facility collectively as the "ABL Facility".</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2, 2015, Academy, Ltd. entered into a five-year $650 million secured asset-based revolving credit facility (the "2015 ABL Facility"). On May 22, 2018, the Company amended the agreement governing the 2015 ABL Facility, to increase the commitment on the facility from $650 million to $1 billion. In connection with the amendment to the 2015 ABL Facility, the Company capitalized related professional fees of $2.8 million as deferred loan costs and wrote of $0.1 million in previously capitalized deferred loan costs. The 2015 ABL Facility was scheduled to mature on May 22, 2023, subject to a springing maturity clause which could have been triggered 91 days before the July 2, 2022 maturity of the 2015 Term Loan Facility.</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6, 2020, Academy, Ltd., as borrower, and the Guarantors, as guarantors, amended the 2015 ABL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 Ltd.’s asset-based revolving credit facility thereunder to November 6, 2025 (the "2020 ABL Facility"). In connection with the 2020 ABL Facility, the Company capitalized related professional fees of $3.1 million as deferred loan costs.</w:t>
      </w:r>
    </w:p>
    <w:p>
      <w:pPr>
        <w:spacing w:after="0" w:line="21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January 30, 2021, we had outstanding letters of credit of approximately $25.4 million, of which $20.1 million were issued under the ABL Facility, and we had no borrowings outstanding under the ABL Facility, leaving the available borrowing capacity under the ABL Facility of $718.8 million.</w:t>
      </w:r>
    </w:p>
    <w:p>
      <w:pPr>
        <w:spacing w:after="0" w:line="20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January 30, 2021, no future prepayments of outstanding loans have been triggered under the terms and conditions of the ABL Facility.</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u w:val="single" w:color="auto"/>
          <w:color w:val="auto"/>
        </w:rPr>
        <w:t>Liens and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ABL Facility has a first priority lien on all Academy, Ltd.'s cash, accounts receivable, inventory, deposit and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and proceeds therefrom (the "ABL Collateral"). Additionally, the ABL Facility has a second priority lien on all other collateral of the Term Loan. All obligations under the Term Loan and the guarantees of those obligations are secured by:</w:t>
      </w:r>
    </w:p>
    <w:p>
      <w:pPr>
        <w:spacing w:after="0" w:line="211" w:lineRule="exact"/>
        <w:rPr>
          <w:sz w:val="20"/>
          <w:szCs w:val="20"/>
          <w:color w:val="auto"/>
        </w:rPr>
      </w:pPr>
    </w:p>
    <w:p>
      <w:pPr>
        <w:ind w:left="720" w:hanging="323"/>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23" w:lineRule="exact"/>
        <w:rPr>
          <w:rFonts w:ascii="Arial" w:cs="Arial" w:eastAsia="Arial" w:hAnsi="Arial"/>
          <w:sz w:val="18"/>
          <w:szCs w:val="18"/>
          <w:color w:val="auto"/>
        </w:rPr>
      </w:pPr>
    </w:p>
    <w:p>
      <w:pPr>
        <w:ind w:left="720" w:right="20" w:hanging="323"/>
        <w:spacing w:after="0" w:line="250" w:lineRule="auto"/>
        <w:tabs>
          <w:tab w:leader="none" w:pos="7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 the Guarantors.; and</w:t>
      </w:r>
    </w:p>
    <w:p>
      <w:pPr>
        <w:ind w:left="720" w:right="20" w:hanging="323"/>
        <w:spacing w:after="0" w:line="290" w:lineRule="auto"/>
        <w:tabs>
          <w:tab w:leader="none" w:pos="7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1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Term Loan is guaranteed by the Guarantors on a senior secured basis. All obligations under the Term Loan and the guarantees of those obligations will be secured by:</w:t>
      </w:r>
    </w:p>
    <w:p>
      <w:pPr>
        <w:spacing w:after="0" w:line="197" w:lineRule="exact"/>
        <w:rPr>
          <w:sz w:val="20"/>
          <w:szCs w:val="20"/>
          <w:color w:val="auto"/>
        </w:rPr>
      </w:pPr>
    </w:p>
    <w:p>
      <w:pPr>
        <w:ind w:left="720" w:hanging="323"/>
        <w:spacing w:after="0"/>
        <w:tabs>
          <w:tab w:leader="none" w:pos="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second-priority security interest in the ABL Priority Collateral;</w:t>
      </w:r>
    </w:p>
    <w:p>
      <w:pPr>
        <w:spacing w:after="0" w:line="23" w:lineRule="exact"/>
        <w:rPr>
          <w:rFonts w:ascii="Arial" w:cs="Arial" w:eastAsia="Arial" w:hAnsi="Arial"/>
          <w:sz w:val="18"/>
          <w:szCs w:val="18"/>
          <w:color w:val="auto"/>
        </w:rPr>
      </w:pPr>
    </w:p>
    <w:p>
      <w:pPr>
        <w:ind w:left="720" w:hanging="323"/>
        <w:spacing w:after="0" w:line="250" w:lineRule="auto"/>
        <w:tabs>
          <w:tab w:leader="none" w:pos="7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and the Guarantors; and</w:t>
      </w:r>
    </w:p>
    <w:p>
      <w:pPr>
        <w:ind w:left="720" w:hanging="323"/>
        <w:spacing w:after="0" w:line="260" w:lineRule="auto"/>
        <w:tabs>
          <w:tab w:leader="none" w:pos="7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first-priority pledge of 100% of the capital stock of Academy and its domestic subsidiaries and 66% of the voting capital stock of each of Academy’s foreign subsidiaries, if any, that are directly owned by Academy or a future U.S. guarantor, if any.</w:t>
      </w:r>
    </w:p>
    <w:p>
      <w:pPr>
        <w:spacing w:after="0" w:line="28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93" w:name="page94"/>
    <w:bookmarkEnd w:id="93"/>
    <w:p>
      <w:pPr>
        <w:jc w:val="both"/>
        <w:ind w:left="332" w:firstLine="324"/>
        <w:spacing w:after="0" w:line="263" w:lineRule="auto"/>
        <w:rPr>
          <w:sz w:val="20"/>
          <w:szCs w:val="20"/>
          <w:color w:val="auto"/>
        </w:rPr>
      </w:pPr>
      <w:r>
        <w:rPr>
          <w:rFonts w:ascii="Arial" w:cs="Arial" w:eastAsia="Arial" w:hAnsi="Arial"/>
          <w:sz w:val="18"/>
          <w:szCs w:val="18"/>
          <w:color w:val="auto"/>
        </w:rPr>
        <w:t>In order to secure the Notes and the guarantees, Academy, Ltd. and the Guarantors entered into certain security documents with the Notes Collateral Agent, including a security agreement and a pledge agreement, each dated as of November 6, 2020. The Notes and the guarantees are secured by</w:t>
      </w:r>
    </w:p>
    <w:p>
      <w:pPr>
        <w:spacing w:after="0" w:line="211" w:lineRule="exact"/>
        <w:rPr>
          <w:sz w:val="20"/>
          <w:szCs w:val="20"/>
          <w:color w:val="auto"/>
        </w:rPr>
      </w:pPr>
    </w:p>
    <w:p>
      <w:pPr>
        <w:ind w:left="1052" w:hanging="323"/>
        <w:spacing w:after="0"/>
        <w:tabs>
          <w:tab w:leader="none" w:pos="1052"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first-priority lien on all of Academy, Ltd.’s and the Guarantors’ personal property that secure the Term Loan on a first-priority basis; and</w:t>
      </w:r>
    </w:p>
    <w:p>
      <w:pPr>
        <w:spacing w:after="0" w:line="46" w:lineRule="exact"/>
        <w:rPr>
          <w:rFonts w:ascii="Arial" w:cs="Arial" w:eastAsia="Arial" w:hAnsi="Arial"/>
          <w:sz w:val="16"/>
          <w:szCs w:val="16"/>
          <w:color w:val="auto"/>
        </w:rPr>
      </w:pPr>
    </w:p>
    <w:p>
      <w:pPr>
        <w:jc w:val="both"/>
        <w:ind w:left="1052" w:hanging="323"/>
        <w:spacing w:after="0" w:line="277" w:lineRule="auto"/>
        <w:tabs>
          <w:tab w:leader="none" w:pos="10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second-priority lien on Academy, Ltd.’s and the Guarantors’ personal property consisting of accounts and all other rights to payment, inventory, tax refunds, cash, deposit accounts, securities and commodities accounts, and documents and supporting obligations, securing the ABL Facility on a first-priority basis and the Term Loan on a second-priority basis (the "ABL Priority Collateral").</w:t>
      </w:r>
    </w:p>
    <w:p>
      <w:pPr>
        <w:spacing w:after="0" w:line="200"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b w:val="1"/>
          <w:bCs w:val="1"/>
          <w:i w:val="1"/>
          <w:iCs w:val="1"/>
          <w:u w:val="single" w:color="auto"/>
          <w:color w:val="auto"/>
        </w:rPr>
        <w:t>Covenants.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ABL Facility, Term Loan and Notes agreements contain covenants, including, among other things, covenants that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January 30, 2021.</w:t>
      </w:r>
    </w:p>
    <w:p>
      <w:pPr>
        <w:spacing w:after="0" w:line="215" w:lineRule="exact"/>
        <w:rPr>
          <w:sz w:val="20"/>
          <w:szCs w:val="20"/>
          <w:color w:val="auto"/>
        </w:rPr>
      </w:pPr>
    </w:p>
    <w:tbl>
      <w:tblPr>
        <w:tblLayout w:type="fixed"/>
        <w:tblInd w:w="41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160" w:type="dxa"/>
            <w:vAlign w:val="bottom"/>
            <w:gridSpan w:val="2"/>
          </w:tcPr>
          <w:p>
            <w:pPr>
              <w:ind w:left="220"/>
              <w:spacing w:after="0"/>
              <w:rPr>
                <w:sz w:val="20"/>
                <w:szCs w:val="20"/>
                <w:color w:val="auto"/>
              </w:rPr>
            </w:pPr>
            <w:r>
              <w:rPr>
                <w:rFonts w:ascii="Arial" w:cs="Arial" w:eastAsia="Arial" w:hAnsi="Arial"/>
                <w:sz w:val="18"/>
                <w:szCs w:val="18"/>
                <w:color w:val="auto"/>
              </w:rPr>
              <w:t>As of January 30, 2021, scheduled principal payments on our debt are as follows (amounts in thousands):</w:t>
            </w:r>
          </w:p>
        </w:tc>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918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Year</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3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8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91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780,000</w:t>
            </w:r>
          </w:p>
        </w:tc>
      </w:tr>
      <w:tr>
        <w:trPr>
          <w:trHeight w:val="248"/>
        </w:trPr>
        <w:tc>
          <w:tcPr>
            <w:tcW w:w="9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800,000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2" w:hanging="332"/>
        <w:spacing w:after="0"/>
        <w:tabs>
          <w:tab w:leader="none" w:pos="33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We have historically used interest rate swap agreements to hedge market risk relating to possible adverse changes in interest rates.</w:t>
      </w:r>
    </w:p>
    <w:p>
      <w:pPr>
        <w:spacing w:after="0" w:line="171"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All interest rate swaps had been designated as cash flow hedges of variable rate interest payments on borrowings under the Term Loan. On October 28, 2020, we determined that a portion of the underlying cash flows related to $100.0 million of swap notional principal amount was no longer probable of occurring over the remaining term of the interest rate swaps as a result of the Company's refinancing transactions (see Note 4). As a result, we reclassified approximately $1.3 million of losses from accumulated other comprehensive loss ("AOCI") to other (income) expense, net in the third quarter of 2020 related to the portion of the forecasted transaction no longer considered probable of occurring. On January 19, 2021, we settled our three remaining outstanding interest rate swaps in full, which were scheduled to expire on various dates during 2021, for $4.1 million. As of January 30, 2021, we do not have any derivative financial instruments outstanding.</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57" w:right="339" w:bottom="1440" w:gutter="0" w:footer="0" w:header="0"/>
        </w:sectPr>
      </w:pPr>
    </w:p>
    <w:bookmarkStart w:id="94" w:name="page95"/>
    <w:bookmarkEnd w:id="94"/>
    <w:tbl>
      <w:tblPr>
        <w:tblLayout w:type="fixed"/>
        <w:tblInd w:w="332" w:type="dxa"/>
        <w:tblCellMar>
          <w:top w:w="0" w:type="dxa"/>
          <w:left w:w="0" w:type="dxa"/>
          <w:bottom w:w="0" w:type="dxa"/>
          <w:right w:w="0" w:type="dxa"/>
        </w:tblCellMar>
      </w:tblPr>
      <w:tr>
        <w:trPr>
          <w:trHeight w:val="230"/>
        </w:trPr>
        <w:tc>
          <w:tcPr>
            <w:tcW w:w="6980" w:type="dxa"/>
            <w:vAlign w:val="bottom"/>
            <w:gridSpan w:val="2"/>
          </w:tcPr>
          <w:p>
            <w:pPr>
              <w:ind w:left="320"/>
              <w:spacing w:after="0"/>
              <w:rPr>
                <w:sz w:val="20"/>
                <w:szCs w:val="20"/>
                <w:color w:val="auto"/>
              </w:rPr>
            </w:pPr>
            <w:r>
              <w:rPr>
                <w:rFonts w:ascii="Arial" w:cs="Arial" w:eastAsia="Arial" w:hAnsi="Arial"/>
                <w:sz w:val="18"/>
                <w:szCs w:val="18"/>
                <w:color w:val="auto"/>
              </w:rPr>
              <w:t>The fair value of the interest rate swaps is as follows (amounts in thousands) as of:</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356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22"/>
                <w:szCs w:val="22"/>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February 1, 2020</w:t>
            </w:r>
          </w:p>
        </w:tc>
      </w:tr>
      <w:tr>
        <w:trPr>
          <w:trHeight w:val="190"/>
        </w:trPr>
        <w:tc>
          <w:tcPr>
            <w:tcW w:w="6980" w:type="dxa"/>
            <w:vAlign w:val="bottom"/>
            <w:tcBorders>
              <w:top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Derivatives designated as hedging instruments</w:t>
            </w:r>
          </w:p>
        </w:tc>
        <w:tc>
          <w:tcPr>
            <w:tcW w:w="16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29"/>
        </w:trPr>
        <w:tc>
          <w:tcPr>
            <w:tcW w:w="3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34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r>
      <w:tr>
        <w:trPr>
          <w:trHeight w:val="229"/>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included in other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gridSpan w:val="2"/>
          </w:tcPr>
          <w:p>
            <w:pPr>
              <w:ind w:left="220"/>
              <w:spacing w:after="0"/>
              <w:rPr>
                <w:sz w:val="20"/>
                <w:szCs w:val="20"/>
                <w:color w:val="auto"/>
              </w:rPr>
            </w:pPr>
            <w:r>
              <w:rPr>
                <w:rFonts w:ascii="Arial" w:cs="Arial" w:eastAsia="Arial" w:hAnsi="Arial"/>
                <w:sz w:val="18"/>
                <w:szCs w:val="18"/>
                <w:color w:val="auto"/>
              </w:rPr>
              <w:t>Amounts included in other noncurrent assets</w:t>
            </w:r>
          </w:p>
        </w:tc>
        <w:tc>
          <w:tcPr>
            <w:tcW w:w="16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Liabilities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6980" w:type="dxa"/>
            <w:vAlign w:val="bottom"/>
            <w:gridSpan w:val="2"/>
          </w:tcPr>
          <w:p>
            <w:pPr>
              <w:ind w:left="220"/>
              <w:spacing w:after="0"/>
              <w:rPr>
                <w:sz w:val="20"/>
                <w:szCs w:val="20"/>
                <w:color w:val="auto"/>
              </w:rPr>
            </w:pPr>
            <w:r>
              <w:rPr>
                <w:rFonts w:ascii="Arial" w:cs="Arial" w:eastAsia="Arial" w:hAnsi="Arial"/>
                <w:sz w:val="18"/>
                <w:szCs w:val="18"/>
                <w:color w:val="auto"/>
              </w:rPr>
              <w:t>Amounts included in accrued expenses and other current liabilities</w:t>
            </w:r>
          </w:p>
        </w:tc>
        <w:tc>
          <w:tcPr>
            <w:tcW w:w="160" w:type="dxa"/>
            <w:vAlign w:val="bottom"/>
          </w:tcPr>
          <w:p>
            <w:pPr>
              <w:spacing w:after="0"/>
              <w:rPr>
                <w:sz w:val="19"/>
                <w:szCs w:val="19"/>
                <w:color w:val="auto"/>
              </w:rPr>
            </w:pPr>
          </w:p>
        </w:tc>
        <w:tc>
          <w:tcPr>
            <w:tcW w:w="1660" w:type="dxa"/>
            <w:vAlign w:val="bottom"/>
            <w:gridSpan w:val="2"/>
          </w:tcPr>
          <w:p>
            <w:pPr>
              <w:ind w:left="1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6,130</w:t>
            </w:r>
          </w:p>
        </w:tc>
      </w:tr>
      <w:tr>
        <w:trPr>
          <w:trHeight w:val="229"/>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Amounts included in other long-term liabilities</w:t>
            </w: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r>
      <w:tr>
        <w:trPr>
          <w:trHeight w:val="223"/>
        </w:trPr>
        <w:tc>
          <w:tcPr>
            <w:tcW w:w="69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derivatives designated as hedging instruments net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(8,106)</w:t>
            </w:r>
          </w:p>
        </w:tc>
      </w:tr>
      <w:tr>
        <w:trPr>
          <w:trHeight w:val="20"/>
        </w:trPr>
        <w:tc>
          <w:tcPr>
            <w:tcW w:w="3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32" w:right="20" w:firstLine="324"/>
        <w:spacing w:after="0" w:line="277" w:lineRule="auto"/>
        <w:rPr>
          <w:sz w:val="20"/>
          <w:szCs w:val="20"/>
          <w:color w:val="auto"/>
        </w:rPr>
      </w:pPr>
      <w:r>
        <w:rPr>
          <w:rFonts w:ascii="Arial" w:cs="Arial" w:eastAsia="Arial" w:hAnsi="Arial"/>
          <w:sz w:val="18"/>
          <w:szCs w:val="18"/>
          <w:color w:val="auto"/>
        </w:rPr>
        <w:t>For derivatives designated as hedging instruments, amounts included in AOCI are reclassified to interest expense in the same period during which the hedged transaction affects earnings, which is as interest expense is recorded on the underlying Term Loan.</w:t>
      </w:r>
    </w:p>
    <w:p>
      <w:pPr>
        <w:spacing w:after="0" w:line="197" w:lineRule="exact"/>
        <w:rPr>
          <w:sz w:val="20"/>
          <w:szCs w:val="20"/>
          <w:color w:val="auto"/>
        </w:rPr>
      </w:pPr>
    </w:p>
    <w:p>
      <w:pPr>
        <w:ind w:left="332" w:right="20" w:firstLine="324"/>
        <w:spacing w:after="0" w:line="271"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expense as follows (amounts in thousands):</w:t>
      </w:r>
    </w:p>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February 1, 2020</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2019</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Accumulated Other Comprehensive Income (Loss), beginning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Loss deferred into AOCI (net of tax impact of $350)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(6,303)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(16,096)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Increase (decrease) to interest expense (net of tax impact of</w:t>
            </w:r>
          </w:p>
        </w:tc>
        <w:tc>
          <w:tcPr>
            <w:tcW w:w="18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rPr>
              <w:t>Loss on swaps from debt refinancing in other (income)</w:t>
            </w:r>
          </w:p>
        </w:tc>
        <w:tc>
          <w:tcPr>
            <w:tcW w:w="18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8"/>
                <w:szCs w:val="18"/>
                <w:color w:val="auto"/>
              </w:rPr>
              <w:t>expense, net (net of tax impact of $330)</w:t>
            </w:r>
          </w:p>
        </w:tc>
        <w:tc>
          <w:tcPr>
            <w:tcW w:w="18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ending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32" w:hanging="332"/>
        <w:spacing w:after="0"/>
        <w:tabs>
          <w:tab w:leader="none" w:pos="332"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left="332" w:firstLine="324"/>
        <w:spacing w:after="0" w:line="254"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fair value measurements are classified as either:</w:t>
      </w:r>
    </w:p>
    <w:p>
      <w:pPr>
        <w:spacing w:after="0" w:line="238" w:lineRule="exact"/>
        <w:rPr>
          <w:sz w:val="20"/>
          <w:szCs w:val="20"/>
          <w:color w:val="auto"/>
        </w:rPr>
      </w:pPr>
    </w:p>
    <w:p>
      <w:pPr>
        <w:ind w:left="892" w:right="580" w:hanging="244"/>
        <w:spacing w:after="0" w:line="277" w:lineRule="auto"/>
        <w:tabs>
          <w:tab w:leader="none" w:pos="8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197" w:lineRule="exact"/>
        <w:rPr>
          <w:rFonts w:ascii="Arial" w:cs="Arial" w:eastAsia="Arial" w:hAnsi="Arial"/>
          <w:sz w:val="18"/>
          <w:szCs w:val="18"/>
          <w:color w:val="auto"/>
        </w:rPr>
      </w:pPr>
    </w:p>
    <w:p>
      <w:pPr>
        <w:ind w:left="892" w:right="280" w:hanging="244"/>
        <w:spacing w:after="0" w:line="263" w:lineRule="auto"/>
        <w:tabs>
          <w:tab w:leader="none" w:pos="8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210" w:lineRule="exact"/>
        <w:rPr>
          <w:rFonts w:ascii="Arial" w:cs="Arial" w:eastAsia="Arial" w:hAnsi="Arial"/>
          <w:sz w:val="18"/>
          <w:szCs w:val="18"/>
          <w:color w:val="auto"/>
        </w:rPr>
      </w:pPr>
    </w:p>
    <w:p>
      <w:pPr>
        <w:ind w:left="892" w:right="600" w:hanging="244"/>
        <w:spacing w:after="0" w:line="277" w:lineRule="auto"/>
        <w:tabs>
          <w:tab w:leader="none" w:pos="887" w:val="left"/>
        </w:tabs>
        <w:numPr>
          <w:ilvl w:val="0"/>
          <w:numId w:val="59"/>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97"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200" w:lineRule="exact"/>
        <w:rPr>
          <w:sz w:val="20"/>
          <w:szCs w:val="20"/>
          <w:color w:val="auto"/>
        </w:rPr>
      </w:pPr>
    </w:p>
    <w:p>
      <w:pPr>
        <w:spacing w:after="0" w:line="325"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5"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Fair Value Hierarchy</w:t>
            </w:r>
          </w:p>
        </w:tc>
        <w:tc>
          <w:tcPr>
            <w:tcW w:w="260" w:type="dxa"/>
            <w:vAlign w:val="bottom"/>
          </w:tcPr>
          <w:p>
            <w:pPr>
              <w:spacing w:after="0"/>
              <w:rPr>
                <w:sz w:val="20"/>
                <w:szCs w:val="20"/>
                <w:color w:val="auto"/>
              </w:rPr>
            </w:pPr>
          </w:p>
        </w:tc>
        <w:tc>
          <w:tcPr>
            <w:tcW w:w="196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30, 2021</w:t>
            </w:r>
          </w:p>
        </w:tc>
        <w:tc>
          <w:tcPr>
            <w:tcW w:w="260" w:type="dxa"/>
            <w:vAlign w:val="bottom"/>
          </w:tcPr>
          <w:p>
            <w:pPr>
              <w:spacing w:after="0"/>
              <w:rPr>
                <w:sz w:val="20"/>
                <w:szCs w:val="20"/>
                <w:color w:val="auto"/>
              </w:rPr>
            </w:pPr>
          </w:p>
        </w:tc>
        <w:tc>
          <w:tcPr>
            <w:tcW w:w="1860" w:type="dxa"/>
            <w:vAlign w:val="bottom"/>
          </w:tcPr>
          <w:p>
            <w:pPr>
              <w:jc w:val="right"/>
              <w:ind w:right="310"/>
              <w:spacing w:after="0"/>
              <w:rPr>
                <w:sz w:val="20"/>
                <w:szCs w:val="20"/>
                <w:color w:val="auto"/>
              </w:rPr>
            </w:pPr>
            <w:r>
              <w:rPr>
                <w:rFonts w:ascii="Arial" w:cs="Arial" w:eastAsia="Arial" w:hAnsi="Arial"/>
                <w:sz w:val="18"/>
                <w:szCs w:val="18"/>
                <w:b w:val="1"/>
                <w:bCs w:val="1"/>
                <w:color w:val="auto"/>
              </w:rPr>
              <w:t>February 1, 2020</w:t>
            </w:r>
          </w:p>
        </w:tc>
      </w:tr>
      <w:tr>
        <w:trPr>
          <w:trHeight w:val="169"/>
        </w:trPr>
        <w:tc>
          <w:tcPr>
            <w:tcW w:w="3960" w:type="dxa"/>
            <w:vAlign w:val="bottom"/>
            <w:tcBorders>
              <w:top w:val="single" w:sz="8" w:color="CCEEFF"/>
            </w:tcBorders>
            <w:gridSpan w:val="3"/>
            <w:shd w:val="clear" w:color="auto" w:fill="CCEEFF"/>
          </w:tcPr>
          <w:p>
            <w:pPr>
              <w:ind w:left="20"/>
              <w:spacing w:after="0" w:line="169" w:lineRule="exact"/>
              <w:rPr>
                <w:sz w:val="20"/>
                <w:szCs w:val="20"/>
                <w:color w:val="auto"/>
              </w:rPr>
            </w:pPr>
            <w:r>
              <w:rPr>
                <w:rFonts w:ascii="Arial" w:cs="Arial" w:eastAsia="Arial" w:hAnsi="Arial"/>
                <w:sz w:val="18"/>
                <w:szCs w:val="18"/>
                <w:b w:val="1"/>
                <w:bCs w:val="1"/>
                <w:i w:val="1"/>
                <w:iCs w:val="1"/>
                <w:color w:val="auto"/>
              </w:rPr>
              <w:t>Assets</w:t>
            </w:r>
          </w:p>
        </w:tc>
        <w:tc>
          <w:tcPr>
            <w:tcW w:w="2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3960" w:type="dxa"/>
            <w:vAlign w:val="bottom"/>
            <w:gridSpan w:val="3"/>
          </w:tcPr>
          <w:p>
            <w:pPr>
              <w:ind w:left="220"/>
              <w:spacing w:after="0"/>
              <w:rPr>
                <w:sz w:val="20"/>
                <w:szCs w:val="20"/>
                <w:color w:val="auto"/>
              </w:rPr>
            </w:pPr>
            <w:r>
              <w:rPr>
                <w:rFonts w:ascii="Arial" w:cs="Arial" w:eastAsia="Arial" w:hAnsi="Arial"/>
                <w:sz w:val="18"/>
                <w:szCs w:val="18"/>
                <w:color w:val="auto"/>
              </w:rPr>
              <w:t>Interest rate swap</w:t>
            </w: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r>
      <w:tr>
        <w:trPr>
          <w:trHeight w:val="189"/>
        </w:trPr>
        <w:tc>
          <w:tcPr>
            <w:tcW w:w="3960" w:type="dxa"/>
            <w:vAlign w:val="bottom"/>
            <w:gridSpan w:val="3"/>
          </w:tcPr>
          <w:p>
            <w:pPr>
              <w:ind w:left="20"/>
              <w:spacing w:after="0" w:line="189" w:lineRule="exact"/>
              <w:rPr>
                <w:sz w:val="20"/>
                <w:szCs w:val="20"/>
                <w:color w:val="auto"/>
              </w:rPr>
            </w:pPr>
            <w:r>
              <w:rPr>
                <w:rFonts w:ascii="Arial" w:cs="Arial" w:eastAsia="Arial" w:hAnsi="Arial"/>
                <w:sz w:val="18"/>
                <w:szCs w:val="18"/>
                <w:b w:val="1"/>
                <w:bCs w:val="1"/>
                <w:i w:val="1"/>
                <w:iCs w:val="1"/>
                <w:color w:val="auto"/>
              </w:rPr>
              <w:t>Liabilities</w:t>
            </w: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230"/>
        </w:trPr>
        <w:tc>
          <w:tcPr>
            <w:tcW w:w="3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rate swap</w:t>
            </w:r>
          </w:p>
        </w:tc>
        <w:tc>
          <w:tcPr>
            <w:tcW w:w="22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Level 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60" w:type="dxa"/>
            <w:vAlign w:val="bottom"/>
            <w:gridSpan w:val="2"/>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r>
    </w:tbl>
    <w:p>
      <w:pPr>
        <w:spacing w:after="0" w:line="337"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Non-Financial Assets Measured on a Non-Recurring Basis</w:t>
      </w:r>
    </w:p>
    <w:p>
      <w:pPr>
        <w:spacing w:after="0" w:line="252"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Certain non-financial assets are subject to periodic impairment tests and are not measured to fair value on a recurring basis. These assets include property and equipment, goodwill and our Trade Name. During 2018, we recorded full property and equipment impairment charges of $1.4 million on one project and one store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52"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We held investments in money market funds of $284.0 million and $113.3 million as of January 30, 2021 and February 1, 2020, respectively.</w:t>
      </w:r>
    </w:p>
    <w:p>
      <w:pPr>
        <w:spacing w:after="0" w:line="211"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 of the Term Loan is estimated using a discounted cash flow analysis based on quoted market prices for the instrument in an inactive market and is therefore classified as Level 2 within the fair value hierarchy. As of January 30, 2021 and February 1, 2020, the estimated fair value of the Term Loan was $0.8 billion and $1.2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6760" w:type="dxa"/>
            <w:vAlign w:val="bottom"/>
          </w:tcPr>
          <w:p>
            <w:pPr>
              <w:ind w:left="320"/>
              <w:spacing w:after="0"/>
              <w:rPr>
                <w:sz w:val="20"/>
                <w:szCs w:val="20"/>
                <w:color w:val="auto"/>
              </w:rPr>
            </w:pPr>
            <w:r>
              <w:rPr>
                <w:rFonts w:ascii="Arial" w:cs="Arial" w:eastAsia="Arial" w:hAnsi="Arial"/>
                <w:sz w:val="18"/>
                <w:szCs w:val="18"/>
                <w:color w:val="auto"/>
              </w:rPr>
              <w:t>Property and equipment consists of the following (amounts in thousands) as of:</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80" w:type="dxa"/>
            <w:vAlign w:val="bottom"/>
          </w:tcPr>
          <w:p>
            <w:pPr>
              <w:spacing w:after="0"/>
              <w:rPr>
                <w:sz w:val="24"/>
                <w:szCs w:val="24"/>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2020</w:t>
            </w:r>
          </w:p>
        </w:tc>
      </w:tr>
      <w:tr>
        <w:trPr>
          <w:trHeight w:val="223"/>
        </w:trPr>
        <w:tc>
          <w:tcPr>
            <w:tcW w:w="340" w:type="dxa"/>
            <w:vAlign w:val="bottom"/>
          </w:tcPr>
          <w:p>
            <w:pPr>
              <w:spacing w:after="0"/>
              <w:rPr>
                <w:sz w:val="19"/>
                <w:szCs w:val="19"/>
                <w:color w:val="auto"/>
              </w:rPr>
            </w:pPr>
          </w:p>
        </w:tc>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438,287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436,807</w:t>
            </w:r>
          </w:p>
        </w:tc>
      </w:tr>
      <w:tr>
        <w:trPr>
          <w:trHeight w:val="229"/>
        </w:trPr>
        <w:tc>
          <w:tcPr>
            <w:tcW w:w="34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Equipment and software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561,333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537,364</w:t>
            </w:r>
          </w:p>
        </w:tc>
      </w:tr>
      <w:tr>
        <w:trPr>
          <w:trHeight w:val="230"/>
        </w:trPr>
        <w:tc>
          <w:tcPr>
            <w:tcW w:w="34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319,764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316,420</w:t>
            </w:r>
          </w:p>
        </w:tc>
      </w:tr>
      <w:tr>
        <w:trPr>
          <w:trHeight w:val="230"/>
        </w:trPr>
        <w:tc>
          <w:tcPr>
            <w:tcW w:w="340" w:type="dxa"/>
            <w:vAlign w:val="bottom"/>
          </w:tcPr>
          <w:p>
            <w:pPr>
              <w:spacing w:after="0"/>
              <w:rPr>
                <w:sz w:val="19"/>
                <w:szCs w:val="19"/>
                <w:color w:val="auto"/>
              </w:rPr>
            </w:pPr>
          </w:p>
        </w:tc>
        <w:tc>
          <w:tcPr>
            <w:tcW w:w="67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23,575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17,639</w:t>
            </w:r>
          </w:p>
        </w:tc>
      </w:tr>
      <w:tr>
        <w:trPr>
          <w:trHeight w:val="230"/>
        </w:trPr>
        <w:tc>
          <w:tcPr>
            <w:tcW w:w="34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r>
      <w:tr>
        <w:trPr>
          <w:trHeight w:val="223"/>
        </w:trPr>
        <w:tc>
          <w:tcPr>
            <w:tcW w:w="340" w:type="dxa"/>
            <w:vAlign w:val="bottom"/>
          </w:tcPr>
          <w:p>
            <w:pPr>
              <w:spacing w:after="0"/>
              <w:rPr>
                <w:sz w:val="19"/>
                <w:szCs w:val="19"/>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1,346,658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1,311,928</w:t>
            </w:r>
          </w:p>
        </w:tc>
      </w:tr>
      <w:tr>
        <w:trPr>
          <w:trHeight w:val="229"/>
        </w:trPr>
        <w:tc>
          <w:tcPr>
            <w:tcW w:w="340" w:type="dxa"/>
            <w:vAlign w:val="bottom"/>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(968,398)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(870,521)</w:t>
            </w:r>
          </w:p>
        </w:tc>
      </w:tr>
      <w:tr>
        <w:trPr>
          <w:trHeight w:val="223"/>
        </w:trPr>
        <w:tc>
          <w:tcPr>
            <w:tcW w:w="340" w:type="dxa"/>
            <w:vAlign w:val="bottom"/>
          </w:tcPr>
          <w:p>
            <w:pPr>
              <w:spacing w:after="0"/>
              <w:rPr>
                <w:sz w:val="19"/>
                <w:szCs w:val="19"/>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378,260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441,407</w:t>
            </w:r>
          </w:p>
        </w:tc>
      </w:tr>
      <w:tr>
        <w:trPr>
          <w:trHeight w:val="21"/>
        </w:trPr>
        <w:tc>
          <w:tcPr>
            <w:tcW w:w="34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was $105.5 million, $117.3 million and $130.4 million in 2020, 2019 and 2018, respectively.</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p>
      <w:pPr>
        <w:ind w:left="332" w:hanging="332"/>
        <w:spacing w:after="0"/>
        <w:tabs>
          <w:tab w:leader="none" w:pos="3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89"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2020</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7,835</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Accrued personnel costs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113,032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54,065</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Accrued sales and use tax</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14,980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12,651</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Deferred revenue - gift cards and other</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76,778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70,220</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6,129</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taxes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16,919</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Sales return allowance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5,800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16,351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16,563</w:t>
            </w:r>
          </w:p>
        </w:tc>
      </w:tr>
      <w:tr>
        <w:trPr>
          <w:trHeight w:val="223"/>
        </w:trPr>
        <w:tc>
          <w:tcPr>
            <w:tcW w:w="676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291,351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211,381</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32" w:hanging="332"/>
        <w:spacing w:after="0"/>
        <w:tabs>
          <w:tab w:leader="none" w:pos="3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Share-Based Compensation</w:t>
      </w:r>
    </w:p>
    <w:p>
      <w:pPr>
        <w:spacing w:after="0" w:line="175"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reserves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January 30, 2021, there were 4,940,723 shares that were authorized and available for grant under the 2020 Omnibus Incentive Plan.</w:t>
      </w:r>
    </w:p>
    <w:p>
      <w:pPr>
        <w:spacing w:after="0" w:line="134"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71" w:lineRule="exact"/>
        <w:rPr>
          <w:sz w:val="20"/>
          <w:szCs w:val="20"/>
          <w:color w:val="auto"/>
        </w:rPr>
      </w:pPr>
    </w:p>
    <w:p>
      <w:pPr>
        <w:jc w:val="both"/>
        <w:ind w:left="332" w:right="20" w:firstLine="324"/>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30" w:lineRule="exact"/>
        <w:rPr>
          <w:sz w:val="20"/>
          <w:szCs w:val="20"/>
          <w:color w:val="auto"/>
        </w:rPr>
      </w:pPr>
    </w:p>
    <w:p>
      <w:pPr>
        <w:jc w:val="both"/>
        <w:ind w:left="332" w:right="20" w:firstLine="324"/>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30"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34" w:lineRule="exact"/>
        <w:rPr>
          <w:sz w:val="20"/>
          <w:szCs w:val="20"/>
          <w:color w:val="auto"/>
        </w:rPr>
      </w:pPr>
    </w:p>
    <w:p>
      <w:pPr>
        <w:jc w:val="both"/>
        <w:ind w:left="332" w:firstLine="324"/>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16"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71"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30" w:lineRule="exact"/>
        <w:rPr>
          <w:sz w:val="20"/>
          <w:szCs w:val="20"/>
          <w:color w:val="auto"/>
        </w:rPr>
      </w:pPr>
    </w:p>
    <w:p>
      <w:pPr>
        <w:jc w:val="both"/>
        <w:ind w:left="332" w:firstLine="324"/>
        <w:spacing w:after="0" w:line="277" w:lineRule="auto"/>
        <w:rPr>
          <w:sz w:val="20"/>
          <w:szCs w:val="20"/>
          <w:color w:val="auto"/>
        </w:rPr>
      </w:pPr>
      <w:r>
        <w:rPr>
          <w:rFonts w:ascii="Arial" w:cs="Arial" w:eastAsia="Arial" w:hAnsi="Arial"/>
          <w:sz w:val="18"/>
          <w:szCs w:val="18"/>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265"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1" w:right="339" w:bottom="1440" w:gutter="0" w:footer="0" w:header="0"/>
        </w:sectPr>
      </w:pPr>
    </w:p>
    <w:bookmarkStart w:id="97" w:name="page98"/>
    <w:bookmarkEnd w:id="97"/>
    <w:p>
      <w:pPr>
        <w:jc w:val="both"/>
        <w:ind w:firstLine="324"/>
        <w:spacing w:after="0" w:line="301" w:lineRule="auto"/>
        <w:rPr>
          <w:sz w:val="20"/>
          <w:szCs w:val="20"/>
          <w:color w:val="auto"/>
        </w:rPr>
      </w:pPr>
      <w:r>
        <w:rPr>
          <w:rFonts w:ascii="Arial" w:cs="Arial" w:eastAsia="Arial" w:hAnsi="Arial"/>
          <w:sz w:val="16"/>
          <w:szCs w:val="16"/>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 Holders of the outstanding granted equity Awards are entitled to receive value equal to $1.1257 per Award (or $3.5460 as converted using the Contribution Ratio), which was or will be made in the form of cash payments, additional Restricted Unit grants or Unit Option exercise price adjustments. Cash payments due for unvested Awards will be payable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111" w:lineRule="exact"/>
        <w:rPr>
          <w:sz w:val="20"/>
          <w:szCs w:val="20"/>
          <w:color w:val="auto"/>
        </w:rPr>
      </w:pPr>
    </w:p>
    <w:p>
      <w:pPr>
        <w:ind w:left="960" w:hanging="320"/>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63" w:lineRule="exact"/>
        <w:rPr>
          <w:rFonts w:ascii="Arial" w:cs="Arial" w:eastAsia="Arial" w:hAnsi="Arial"/>
          <w:sz w:val="18"/>
          <w:szCs w:val="18"/>
          <w:color w:val="auto"/>
        </w:rPr>
      </w:pPr>
    </w:p>
    <w:p>
      <w:pPr>
        <w:jc w:val="both"/>
        <w:ind w:left="960" w:hanging="320"/>
        <w:spacing w:after="0" w:line="311" w:lineRule="auto"/>
        <w:tabs>
          <w:tab w:leader="none" w:pos="9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Cash payments for vested Unit Options and vested Restricted Units ("Share-Based Award Payments") of $21.0 million were paid through January 30, 2021. Share-Based Award Payments payable as of January 30, 2021 for unvested awards is $11.2 million, which is reflected within accrued expenses and other current liabilities and other long-term liabilities on the Company's consolidated balance sheets.</w:t>
      </w:r>
    </w:p>
    <w:p>
      <w:pPr>
        <w:spacing w:after="0" w:line="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exercise price adjustments did not increase the value of the Unit Options and no related additional equity compensation expense was or will be incurred.</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compensation expense was $31.6 million in 2020, which includes approximately $19.9 million of equity compensation expense associated with the expensing of certain outstanding restricted stock units as a result of the liquidity condition being achieved upon completion of our IPO. Equity compensation expense was $7.9 million and $4.6 million in 2019 and 2018, respectively. These costs are included in selling, general and administrative expenses in the statements of income.</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January 30, 2021, unrecognized compensation cost related to Unit Options and Restricted Units of $31.5 million is expected to be recognized over a weighted average life of 2.2 years. The total fair value of Restricted Units vested was $14.4 million, $0.3 million and $0.2 million for 2020, 2019 and 2018, respectively.</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Service Option and Performance Option Fair Value Assumptions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2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98" w:name="page99"/>
    <w:bookmarkEnd w:id="98"/>
    <w:p>
      <w:pPr>
        <w:ind w:left="400"/>
        <w:spacing w:after="0"/>
        <w:rPr>
          <w:sz w:val="20"/>
          <w:szCs w:val="20"/>
          <w:color w:val="auto"/>
        </w:rPr>
      </w:pPr>
      <w:r>
        <w:rPr>
          <w:rFonts w:ascii="Arial" w:cs="Arial" w:eastAsia="Arial" w:hAnsi="Arial"/>
          <w:sz w:val="18"/>
          <w:szCs w:val="18"/>
          <w:color w:val="auto"/>
        </w:rPr>
        <w:t>The following table presents the assumptions and grant date fair values for Service Options granted in 2020, 2019 and 2018:</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w w:val="90"/>
              </w:rPr>
              <w:t>Fiscal Year Ended</w:t>
            </w: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23"/>
        </w:trPr>
        <w:tc>
          <w:tcPr>
            <w:tcW w:w="5760" w:type="dxa"/>
            <w:vAlign w:val="bottom"/>
          </w:tcPr>
          <w:p>
            <w:pPr>
              <w:spacing w:after="0"/>
              <w:rPr>
                <w:sz w:val="19"/>
                <w:szCs w:val="19"/>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b w:val="1"/>
                <w:bCs w:val="1"/>
                <w:color w:val="auto"/>
              </w:rPr>
              <w:t>January 30, 2021</w:t>
            </w: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February 1, 2020</w:t>
            </w:r>
          </w:p>
        </w:tc>
        <w:tc>
          <w:tcPr>
            <w:tcW w:w="120" w:type="dxa"/>
            <w:vAlign w:val="bottom"/>
          </w:tcPr>
          <w:p>
            <w:pPr>
              <w:spacing w:after="0"/>
              <w:rPr>
                <w:sz w:val="19"/>
                <w:szCs w:val="19"/>
                <w:color w:val="auto"/>
              </w:rPr>
            </w:pPr>
          </w:p>
        </w:tc>
        <w:tc>
          <w:tcPr>
            <w:tcW w:w="1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1"/>
              </w:rPr>
              <w:t>February 2, 2019</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88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95"/>
              </w:rPr>
              <w:t>6.2</w:t>
            </w: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5"/>
              </w:rPr>
              <w:t>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5"/>
              </w:rPr>
              <w:t>6.2</w:t>
            </w:r>
          </w:p>
        </w:tc>
        <w:tc>
          <w:tcPr>
            <w:tcW w:w="640" w:type="dxa"/>
            <w:vAlign w:val="bottom"/>
            <w:tcBorders>
              <w:top w:val="single" w:sz="8" w:color="auto"/>
            </w:tcBorders>
            <w:shd w:val="clear" w:color="auto" w:fill="CCEEFF"/>
          </w:tcPr>
          <w:p>
            <w:pPr>
              <w:spacing w:after="0"/>
              <w:rPr>
                <w:sz w:val="19"/>
                <w:szCs w:val="19"/>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53% to</w:t>
            </w:r>
          </w:p>
        </w:tc>
        <w:tc>
          <w:tcPr>
            <w:tcW w:w="620" w:type="dxa"/>
            <w:vAlign w:val="bottom"/>
          </w:tcPr>
          <w:p>
            <w:pPr>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88"/>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 to</w:t>
            </w:r>
          </w:p>
        </w:tc>
        <w:tc>
          <w:tcPr>
            <w:tcW w:w="640" w:type="dxa"/>
            <w:vAlign w:val="bottom"/>
          </w:tcPr>
          <w:p>
            <w:pPr>
              <w:spacing w:after="0"/>
              <w:rPr>
                <w:sz w:val="20"/>
                <w:szCs w:val="20"/>
                <w:color w:val="auto"/>
              </w:rPr>
            </w:pPr>
            <w:r>
              <w:rPr>
                <w:rFonts w:ascii="Arial" w:cs="Arial" w:eastAsia="Arial" w:hAnsi="Arial"/>
                <w:sz w:val="18"/>
                <w:szCs w:val="18"/>
                <w:color w:val="auto"/>
              </w:rPr>
              <w:t>55%</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volatility</w:t>
            </w:r>
          </w:p>
        </w:tc>
        <w:tc>
          <w:tcPr>
            <w:tcW w:w="15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53.1%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3"/>
              </w:rPr>
              <w:t>54.1%</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 to</w:t>
            </w:r>
          </w:p>
        </w:tc>
        <w:tc>
          <w:tcPr>
            <w:tcW w:w="620" w:type="dxa"/>
            <w:vAlign w:val="bottom"/>
          </w:tcPr>
          <w:p>
            <w:pPr>
              <w:spacing w:after="0"/>
              <w:rPr>
                <w:sz w:val="20"/>
                <w:szCs w:val="20"/>
                <w:color w:val="auto"/>
              </w:rPr>
            </w:pPr>
            <w:r>
              <w:rPr>
                <w:rFonts w:ascii="Arial" w:cs="Arial" w:eastAsia="Arial" w:hAnsi="Arial"/>
                <w:sz w:val="18"/>
                <w:szCs w:val="18"/>
                <w:b w:val="1"/>
                <w:bCs w:val="1"/>
                <w:color w:val="auto"/>
              </w:rPr>
              <w:t>.76%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1.4% to 2.5%</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 to</w:t>
            </w:r>
          </w:p>
        </w:tc>
        <w:tc>
          <w:tcPr>
            <w:tcW w:w="640" w:type="dxa"/>
            <w:vAlign w:val="bottom"/>
          </w:tcPr>
          <w:p>
            <w:pPr>
              <w:spacing w:after="0"/>
              <w:rPr>
                <w:sz w:val="20"/>
                <w:szCs w:val="20"/>
                <w:color w:val="auto"/>
              </w:rPr>
            </w:pPr>
            <w:r>
              <w:rPr>
                <w:rFonts w:ascii="Arial" w:cs="Arial" w:eastAsia="Arial" w:hAnsi="Arial"/>
                <w:sz w:val="18"/>
                <w:szCs w:val="18"/>
                <w:color w:val="auto"/>
              </w:rPr>
              <w:t>2.9%</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880" w:type="dxa"/>
            <w:vAlign w:val="bottom"/>
            <w:shd w:val="clear" w:color="auto" w:fill="CCEEFF"/>
          </w:tcPr>
          <w:p>
            <w:pPr>
              <w:jc w:val="center"/>
              <w:ind w:left="530"/>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spacing w:after="0"/>
              <w:rPr>
                <w:sz w:val="19"/>
                <w:szCs w:val="19"/>
                <w:color w:val="auto"/>
              </w:rPr>
            </w:pPr>
          </w:p>
        </w:tc>
      </w:tr>
      <w:tr>
        <w:trPr>
          <w:trHeight w:val="230"/>
        </w:trPr>
        <w:tc>
          <w:tcPr>
            <w:tcW w:w="5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Weighted-average grant date fair value - Service Options </w:t>
            </w:r>
            <w:r>
              <w:rPr>
                <w:rFonts w:ascii="Arial" w:cs="Arial" w:eastAsia="Arial" w:hAnsi="Arial"/>
                <w:sz w:val="23"/>
                <w:szCs w:val="23"/>
                <w:color w:val="auto"/>
                <w:vertAlign w:val="superscript"/>
              </w:rPr>
              <w:t>(1)</w:t>
            </w:r>
          </w:p>
        </w:tc>
        <w:tc>
          <w:tcPr>
            <w:tcW w:w="880" w:type="dxa"/>
            <w:vAlign w:val="bottom"/>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8.49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5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Weighted-average grant date fair value - Performance Options </w:t>
            </w:r>
            <w:r>
              <w:rPr>
                <w:rFonts w:ascii="Arial" w:cs="Arial" w:eastAsia="Arial" w:hAnsi="Arial"/>
                <w:sz w:val="23"/>
                <w:szCs w:val="23"/>
                <w:color w:val="auto"/>
                <w:vertAlign w:val="superscript"/>
              </w:rPr>
              <w:t>(1)</w:t>
            </w: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bl>
    <w:p>
      <w:pPr>
        <w:spacing w:after="0" w:line="65" w:lineRule="exact"/>
        <w:rPr>
          <w:sz w:val="20"/>
          <w:szCs w:val="20"/>
          <w:color w:val="auto"/>
        </w:rPr>
      </w:pPr>
    </w:p>
    <w:p>
      <w:pPr>
        <w:ind w:left="220" w:hanging="148"/>
        <w:spacing w:after="0"/>
        <w:tabs>
          <w:tab w:leader="none" w:pos="220"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Unit Option Activity</w:t>
      </w:r>
    </w:p>
    <w:p>
      <w:pPr>
        <w:spacing w:after="0" w:line="171" w:lineRule="exact"/>
        <w:rPr>
          <w:sz w:val="20"/>
          <w:szCs w:val="20"/>
          <w:color w:val="auto"/>
        </w:rPr>
      </w:pPr>
    </w:p>
    <w:p>
      <w:pPr>
        <w:jc w:val="both"/>
        <w:ind w:left="80" w:firstLine="324"/>
        <w:spacing w:after="0" w:line="263" w:lineRule="auto"/>
        <w:rPr>
          <w:sz w:val="20"/>
          <w:szCs w:val="20"/>
          <w:color w:val="auto"/>
        </w:rPr>
      </w:pPr>
      <w:r>
        <w:rPr>
          <w:rFonts w:ascii="Arial" w:cs="Arial" w:eastAsia="Arial" w:hAnsi="Arial"/>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30" w:lineRule="exact"/>
        <w:rPr>
          <w:sz w:val="20"/>
          <w:szCs w:val="20"/>
          <w:color w:val="auto"/>
        </w:rPr>
      </w:pPr>
    </w:p>
    <w:p>
      <w:pPr>
        <w:jc w:val="both"/>
        <w:ind w:left="80" w:firstLine="324"/>
        <w:spacing w:after="0" w:line="254" w:lineRule="auto"/>
        <w:rPr>
          <w:sz w:val="20"/>
          <w:szCs w:val="20"/>
          <w:color w:val="auto"/>
        </w:rPr>
      </w:pPr>
      <w:r>
        <w:rPr>
          <w:rFonts w:ascii="Arial" w:cs="Arial" w:eastAsia="Arial" w:hAnsi="Arial"/>
          <w:sz w:val="18"/>
          <w:szCs w:val="18"/>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ASO, Inc. stock price target on a specified date, or the Company completing a change in control.</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gridSpan w:val="2"/>
          </w:tcPr>
          <w:p>
            <w:pPr>
              <w:ind w:left="400"/>
              <w:spacing w:after="0"/>
              <w:rPr>
                <w:sz w:val="20"/>
                <w:szCs w:val="20"/>
                <w:color w:val="auto"/>
              </w:rPr>
            </w:pPr>
            <w:r>
              <w:rPr>
                <w:rFonts w:ascii="Arial" w:cs="Arial" w:eastAsia="Arial" w:hAnsi="Arial"/>
                <w:sz w:val="18"/>
                <w:szCs w:val="18"/>
                <w:color w:val="auto"/>
              </w:rPr>
              <w:t>Unit Option activity is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Service-Based Unit Options </w:t>
            </w:r>
            <w:r>
              <w:rPr>
                <w:rFonts w:ascii="Arial" w:cs="Arial" w:eastAsia="Arial" w:hAnsi="Arial"/>
                <w:sz w:val="23"/>
                <w:szCs w:val="23"/>
                <w:b w:val="1"/>
                <w:bCs w:val="1"/>
                <w:i w:val="1"/>
                <w:iCs w:val="1"/>
                <w:color w:val="auto"/>
                <w:vertAlign w:val="superscript"/>
              </w:rPr>
              <w:t>(1)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100" w:type="dxa"/>
            <w:vAlign w:val="bottom"/>
            <w:tcBorders>
              <w:top w:val="single" w:sz="8" w:color="auto"/>
            </w:tcBorders>
          </w:tcPr>
          <w:p>
            <w:pPr>
              <w:spacing w:after="0"/>
              <w:rPr>
                <w:sz w:val="6"/>
                <w:szCs w:val="6"/>
                <w:color w:val="auto"/>
              </w:rPr>
            </w:pPr>
          </w:p>
        </w:tc>
        <w:tc>
          <w:tcPr>
            <w:tcW w:w="18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Unit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9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1"/>
              </w:rPr>
              <w:t>Remaining</w:t>
            </w:r>
          </w:p>
        </w:tc>
        <w:tc>
          <w:tcPr>
            <w:tcW w:w="15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920" w:type="dxa"/>
            <w:vAlign w:val="bottom"/>
            <w:gridSpan w:val="2"/>
          </w:tcPr>
          <w:p>
            <w:pPr>
              <w:ind w:left="240"/>
              <w:spacing w:after="0" w:line="176" w:lineRule="exact"/>
              <w:rPr>
                <w:sz w:val="20"/>
                <w:szCs w:val="20"/>
                <w:color w:val="auto"/>
              </w:rPr>
            </w:pPr>
            <w:r>
              <w:rPr>
                <w:rFonts w:ascii="Arial" w:cs="Arial" w:eastAsia="Arial" w:hAnsi="Arial"/>
                <w:sz w:val="18"/>
                <w:szCs w:val="18"/>
                <w:b w:val="1"/>
                <w:bCs w:val="1"/>
                <w:color w:val="auto"/>
              </w:rPr>
              <w:t>Contractual Life</w:t>
            </w:r>
          </w:p>
        </w:tc>
        <w:tc>
          <w:tcPr>
            <w:tcW w:w="220" w:type="dxa"/>
            <w:vAlign w:val="bottom"/>
          </w:tcPr>
          <w:p>
            <w:pPr>
              <w:spacing w:after="0"/>
              <w:rPr>
                <w:sz w:val="15"/>
                <w:szCs w:val="15"/>
                <w:color w:val="auto"/>
              </w:rPr>
            </w:pPr>
          </w:p>
        </w:tc>
        <w:tc>
          <w:tcPr>
            <w:tcW w:w="1300" w:type="dxa"/>
            <w:vAlign w:val="bottom"/>
          </w:tcPr>
          <w:p>
            <w:pPr>
              <w:jc w:val="right"/>
              <w:ind w:right="330"/>
              <w:spacing w:after="0" w:line="176" w:lineRule="exact"/>
              <w:rPr>
                <w:sz w:val="20"/>
                <w:szCs w:val="20"/>
                <w:color w:val="auto"/>
              </w:rPr>
            </w:pPr>
            <w:r>
              <w:rPr>
                <w:rFonts w:ascii="Arial" w:cs="Arial" w:eastAsia="Arial" w:hAnsi="Arial"/>
                <w:sz w:val="18"/>
                <w:szCs w:val="18"/>
                <w:b w:val="1"/>
                <w:bCs w:val="1"/>
                <w:color w:val="auto"/>
              </w:rPr>
              <w:t>Value (in</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80" w:type="dxa"/>
            <w:vAlign w:val="bottom"/>
          </w:tcPr>
          <w:p>
            <w:pPr>
              <w:jc w:val="right"/>
              <w:ind w:right="270"/>
              <w:spacing w:after="0" w:line="230"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3"/>
                <w:szCs w:val="23"/>
                <w:b w:val="1"/>
                <w:bCs w:val="1"/>
                <w:color w:val="auto"/>
                <w:vertAlign w:val="superscript"/>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200"/>
              <w:spacing w:after="0" w:line="230" w:lineRule="exact"/>
              <w:rPr>
                <w:sz w:val="20"/>
                <w:szCs w:val="20"/>
                <w:color w:val="auto"/>
              </w:rPr>
            </w:pPr>
            <w:r>
              <w:rPr>
                <w:rFonts w:ascii="Arial" w:cs="Arial" w:eastAsia="Arial" w:hAnsi="Arial"/>
                <w:sz w:val="18"/>
                <w:szCs w:val="18"/>
                <w:b w:val="1"/>
                <w:bCs w:val="1"/>
                <w:color w:val="auto"/>
                <w:w w:val="87"/>
              </w:rPr>
              <w:t xml:space="preserve">Exercise Price </w:t>
            </w:r>
            <w:r>
              <w:rPr>
                <w:rFonts w:ascii="Arial" w:cs="Arial" w:eastAsia="Arial" w:hAnsi="Arial"/>
                <w:sz w:val="23"/>
                <w:szCs w:val="23"/>
                <w:b w:val="1"/>
                <w:bCs w:val="1"/>
                <w:color w:val="auto"/>
                <w:w w:val="87"/>
                <w:vertAlign w:val="superscript"/>
              </w:rPr>
              <w:t>(2)</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thousands)</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3, 2018</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4,552,667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18,415</w:t>
            </w: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80" w:type="dxa"/>
            <w:vAlign w:val="bottom"/>
          </w:tcPr>
          <w:p>
            <w:pPr>
              <w:jc w:val="right"/>
              <w:spacing w:after="0"/>
              <w:rPr>
                <w:sz w:val="20"/>
                <w:szCs w:val="20"/>
                <w:color w:val="auto"/>
              </w:rPr>
            </w:pPr>
            <w:r>
              <w:rPr>
                <w:rFonts w:ascii="Arial" w:cs="Arial" w:eastAsia="Arial" w:hAnsi="Arial"/>
                <w:sz w:val="18"/>
                <w:szCs w:val="18"/>
                <w:color w:val="auto"/>
              </w:rPr>
              <w:t>3,064,943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(1,872,502)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(789,464)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480" w:type="dxa"/>
            <w:vAlign w:val="bottom"/>
          </w:tcPr>
          <w:p>
            <w:pPr>
              <w:jc w:val="right"/>
              <w:spacing w:after="0"/>
              <w:rPr>
                <w:sz w:val="20"/>
                <w:szCs w:val="20"/>
                <w:color w:val="auto"/>
              </w:rPr>
            </w:pPr>
            <w:r>
              <w:rPr>
                <w:rFonts w:ascii="Arial" w:cs="Arial" w:eastAsia="Arial" w:hAnsi="Arial"/>
                <w:sz w:val="18"/>
                <w:szCs w:val="18"/>
                <w:color w:val="auto"/>
              </w:rPr>
              <w:t>4,955,644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33,157</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 or modified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1,385,760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Canceled or modified</w:t>
            </w:r>
          </w:p>
        </w:tc>
        <w:tc>
          <w:tcPr>
            <w:tcW w:w="1480" w:type="dxa"/>
            <w:vAlign w:val="bottom"/>
          </w:tcPr>
          <w:p>
            <w:pPr>
              <w:jc w:val="right"/>
              <w:spacing w:after="0"/>
              <w:rPr>
                <w:sz w:val="20"/>
                <w:szCs w:val="20"/>
                <w:color w:val="auto"/>
              </w:rPr>
            </w:pPr>
            <w:r>
              <w:rPr>
                <w:rFonts w:ascii="Arial" w:cs="Arial" w:eastAsia="Arial" w:hAnsi="Arial"/>
                <w:sz w:val="18"/>
                <w:szCs w:val="18"/>
                <w:color w:val="auto"/>
              </w:rPr>
              <w:t>(191,103)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(359,993)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5,790,308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1,449,900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(205,894)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(327,836)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(423,696)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8"/>
                <w:szCs w:val="18"/>
                <w:b w:val="1"/>
                <w:bCs w:val="1"/>
                <w:color w:val="auto"/>
              </w:rPr>
              <w:t xml:space="preserve">Outstanding as of January 30, 2021 </w:t>
            </w:r>
            <w:r>
              <w:rPr>
                <w:rFonts w:ascii="Arial" w:cs="Arial" w:eastAsia="Arial" w:hAnsi="Arial"/>
                <w:sz w:val="23"/>
                <w:szCs w:val="23"/>
                <w:b w:val="1"/>
                <w:bCs w:val="1"/>
                <w:color w:val="auto"/>
                <w:vertAlign w:val="superscript"/>
              </w:rPr>
              <w:t>(3)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6,282,782</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50,055</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Exercisable as of January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3,755,459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37,941</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0" w:hanging="128"/>
        <w:spacing w:after="0"/>
        <w:tabs>
          <w:tab w:leader="none" w:pos="200" w:val="left"/>
        </w:tabs>
        <w:numPr>
          <w:ilvl w:val="0"/>
          <w:numId w:val="64"/>
        </w:numPr>
        <w:rPr>
          <w:rFonts w:ascii="Arial" w:cs="Arial" w:eastAsia="Arial" w:hAnsi="Arial"/>
          <w:sz w:val="15"/>
          <w:szCs w:val="15"/>
          <w:color w:val="auto"/>
          <w:vertAlign w:val="superscript"/>
        </w:rPr>
      </w:pPr>
      <w:r>
        <w:rPr>
          <w:rFonts w:ascii="Arial" w:cs="Arial" w:eastAsia="Arial" w:hAnsi="Arial"/>
          <w:sz w:val="11"/>
          <w:szCs w:val="11"/>
          <w:color w:val="auto"/>
        </w:rPr>
        <w:t>The fair value of a membership unit</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as of each period end was $13.86, $18.62, $17.61 and $21.50 for the fiscal years 2017, 2018, 2019 and 2020.</w:t>
      </w:r>
    </w:p>
    <w:p>
      <w:pPr>
        <w:spacing w:after="0" w:line="6" w:lineRule="exact"/>
        <w:rPr>
          <w:rFonts w:ascii="Arial" w:cs="Arial" w:eastAsia="Arial" w:hAnsi="Arial"/>
          <w:sz w:val="15"/>
          <w:szCs w:val="15"/>
          <w:color w:val="auto"/>
          <w:vertAlign w:val="superscript"/>
        </w:rPr>
      </w:pPr>
    </w:p>
    <w:p>
      <w:pPr>
        <w:ind w:left="220" w:hanging="148"/>
        <w:spacing w:after="0" w:line="187" w:lineRule="auto"/>
        <w:tabs>
          <w:tab w:leader="none" w:pos="2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ind w:left="220" w:hanging="148"/>
        <w:spacing w:after="0" w:line="197" w:lineRule="auto"/>
        <w:tabs>
          <w:tab w:leader="none" w:pos="220"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The Company has elected to recognize forfeitures as they occur. Therefore, the number of awards vested and expected to vest is equal to the awards outstanding.</w:t>
      </w:r>
    </w:p>
    <w:p>
      <w:pPr>
        <w:spacing w:after="0" w:line="2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224790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580" w:top="1057"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64"/>
        </w:trPr>
        <w:tc>
          <w:tcPr>
            <w:tcW w:w="3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Performance-Based Unit Options </w:t>
            </w:r>
            <w:r>
              <w:rPr>
                <w:rFonts w:ascii="Arial" w:cs="Arial" w:eastAsia="Arial" w:hAnsi="Arial"/>
                <w:sz w:val="23"/>
                <w:szCs w:val="23"/>
                <w:b w:val="1"/>
                <w:bCs w:val="1"/>
                <w:i w:val="1"/>
                <w:iCs w:val="1"/>
                <w:color w:val="auto"/>
                <w:vertAlign w:val="superscript"/>
              </w:rPr>
              <w:t>(1)</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2480" w:type="dxa"/>
            <w:vAlign w:val="bottom"/>
            <w:tcBorders>
              <w:top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Unit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Weighted Average</w:t>
            </w:r>
          </w:p>
        </w:tc>
        <w:tc>
          <w:tcPr>
            <w:tcW w:w="192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Remaining</w:t>
            </w: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920" w:type="dxa"/>
            <w:vAlign w:val="bottom"/>
            <w:gridSpan w:val="2"/>
          </w:tcPr>
          <w:p>
            <w:pPr>
              <w:ind w:left="240"/>
              <w:spacing w:after="0" w:line="176" w:lineRule="exact"/>
              <w:rPr>
                <w:sz w:val="20"/>
                <w:szCs w:val="20"/>
                <w:color w:val="auto"/>
              </w:rPr>
            </w:pPr>
            <w:r>
              <w:rPr>
                <w:rFonts w:ascii="Arial" w:cs="Arial" w:eastAsia="Arial" w:hAnsi="Arial"/>
                <w:sz w:val="18"/>
                <w:szCs w:val="18"/>
                <w:b w:val="1"/>
                <w:bCs w:val="1"/>
                <w:color w:val="auto"/>
              </w:rPr>
              <w:t>Contractual Life</w:t>
            </w:r>
          </w:p>
        </w:tc>
        <w:tc>
          <w:tcPr>
            <w:tcW w:w="220" w:type="dxa"/>
            <w:vAlign w:val="bottom"/>
          </w:tcPr>
          <w:p>
            <w:pPr>
              <w:spacing w:after="0"/>
              <w:rPr>
                <w:sz w:val="15"/>
                <w:szCs w:val="15"/>
                <w:color w:val="auto"/>
              </w:rPr>
            </w:pPr>
          </w:p>
        </w:tc>
        <w:tc>
          <w:tcPr>
            <w:tcW w:w="1300" w:type="dxa"/>
            <w:vAlign w:val="bottom"/>
          </w:tcPr>
          <w:p>
            <w:pPr>
              <w:jc w:val="right"/>
              <w:ind w:right="330"/>
              <w:spacing w:after="0" w:line="176" w:lineRule="exact"/>
              <w:rPr>
                <w:sz w:val="20"/>
                <w:szCs w:val="20"/>
                <w:color w:val="auto"/>
              </w:rPr>
            </w:pPr>
            <w:r>
              <w:rPr>
                <w:rFonts w:ascii="Arial" w:cs="Arial" w:eastAsia="Arial" w:hAnsi="Arial"/>
                <w:sz w:val="18"/>
                <w:szCs w:val="18"/>
                <w:b w:val="1"/>
                <w:bCs w:val="1"/>
                <w:color w:val="auto"/>
              </w:rPr>
              <w:t>Value (in</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80" w:type="dxa"/>
            <w:vAlign w:val="bottom"/>
          </w:tcPr>
          <w:p>
            <w:pPr>
              <w:jc w:val="right"/>
              <w:ind w:right="250"/>
              <w:spacing w:after="0" w:line="230"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3"/>
                <w:szCs w:val="23"/>
                <w:b w:val="1"/>
                <w:bCs w:val="1"/>
                <w:color w:val="auto"/>
                <w:vertAlign w:val="superscript"/>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right="200"/>
              <w:spacing w:after="0" w:line="230" w:lineRule="exact"/>
              <w:rPr>
                <w:sz w:val="20"/>
                <w:szCs w:val="20"/>
                <w:color w:val="auto"/>
              </w:rPr>
            </w:pPr>
            <w:r>
              <w:rPr>
                <w:rFonts w:ascii="Arial" w:cs="Arial" w:eastAsia="Arial" w:hAnsi="Arial"/>
                <w:sz w:val="18"/>
                <w:szCs w:val="18"/>
                <w:b w:val="1"/>
                <w:bCs w:val="1"/>
                <w:color w:val="auto"/>
                <w:w w:val="87"/>
              </w:rPr>
              <w:t xml:space="preserve">Exercise Price </w:t>
            </w:r>
            <w:r>
              <w:rPr>
                <w:rFonts w:ascii="Arial" w:cs="Arial" w:eastAsia="Arial" w:hAnsi="Arial"/>
                <w:sz w:val="23"/>
                <w:szCs w:val="23"/>
                <w:b w:val="1"/>
                <w:bCs w:val="1"/>
                <w:color w:val="auto"/>
                <w:w w:val="87"/>
                <w:vertAlign w:val="superscript"/>
              </w:rPr>
              <w:t>(2)</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thousands)</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3, 2018</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3,143,605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18,658</w:t>
            </w: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80" w:type="dxa"/>
            <w:vAlign w:val="bottom"/>
          </w:tcPr>
          <w:p>
            <w:pPr>
              <w:jc w:val="right"/>
              <w:spacing w:after="0"/>
              <w:rPr>
                <w:sz w:val="20"/>
                <w:szCs w:val="20"/>
                <w:color w:val="auto"/>
              </w:rPr>
            </w:pPr>
            <w:r>
              <w:rPr>
                <w:rFonts w:ascii="Arial" w:cs="Arial" w:eastAsia="Arial" w:hAnsi="Arial"/>
                <w:sz w:val="18"/>
                <w:szCs w:val="18"/>
                <w:color w:val="auto"/>
              </w:rPr>
              <w:t>1,038,837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(716,869)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(391,069)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480" w:type="dxa"/>
            <w:vAlign w:val="bottom"/>
          </w:tcPr>
          <w:p>
            <w:pPr>
              <w:jc w:val="right"/>
              <w:spacing w:after="0"/>
              <w:rPr>
                <w:sz w:val="20"/>
                <w:szCs w:val="20"/>
                <w:color w:val="auto"/>
              </w:rPr>
            </w:pPr>
            <w:r>
              <w:rPr>
                <w:rFonts w:ascii="Arial" w:cs="Arial" w:eastAsia="Arial" w:hAnsi="Arial"/>
                <w:sz w:val="18"/>
                <w:szCs w:val="18"/>
                <w:color w:val="auto"/>
              </w:rPr>
              <w:t>3,074,504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29,960</w:t>
            </w:r>
          </w:p>
        </w:tc>
        <w:tc>
          <w:tcPr>
            <w:tcW w:w="0" w:type="dxa"/>
            <w:vAlign w:val="bottom"/>
          </w:tcPr>
          <w:p>
            <w:pPr>
              <w:spacing w:after="0"/>
              <w:rPr>
                <w:sz w:val="1"/>
                <w:szCs w:val="1"/>
                <w:color w:val="auto"/>
              </w:rPr>
            </w:pPr>
          </w:p>
        </w:tc>
      </w:tr>
      <w:tr>
        <w:trPr>
          <w:trHeight w:val="230"/>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 or modified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423,948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Canceled or modified</w:t>
            </w:r>
          </w:p>
        </w:tc>
        <w:tc>
          <w:tcPr>
            <w:tcW w:w="1480" w:type="dxa"/>
            <w:vAlign w:val="bottom"/>
          </w:tcPr>
          <w:p>
            <w:pPr>
              <w:jc w:val="right"/>
              <w:spacing w:after="0"/>
              <w:rPr>
                <w:sz w:val="20"/>
                <w:szCs w:val="20"/>
                <w:color w:val="auto"/>
              </w:rPr>
            </w:pPr>
            <w:r>
              <w:rPr>
                <w:rFonts w:ascii="Arial" w:cs="Arial" w:eastAsia="Arial" w:hAnsi="Arial"/>
                <w:sz w:val="18"/>
                <w:szCs w:val="18"/>
                <w:color w:val="auto"/>
              </w:rPr>
              <w:t>(72,609)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3,246,849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26,838</w:t>
            </w: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(97,480)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(85,564)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CEEFF"/>
            </w:tcBorders>
            <w:gridSpan w:val="2"/>
          </w:tcPr>
          <w:p>
            <w:pPr>
              <w:spacing w:after="0" w:line="223" w:lineRule="exact"/>
              <w:rPr>
                <w:sz w:val="20"/>
                <w:szCs w:val="20"/>
                <w:color w:val="auto"/>
              </w:rPr>
            </w:pPr>
            <w:r>
              <w:rPr>
                <w:rFonts w:ascii="Arial" w:cs="Arial" w:eastAsia="Arial" w:hAnsi="Arial"/>
                <w:sz w:val="18"/>
                <w:szCs w:val="18"/>
                <w:b w:val="1"/>
                <w:bCs w:val="1"/>
                <w:color w:val="auto"/>
              </w:rPr>
              <w:t xml:space="preserve">Outstanding as of January 30, 2021 </w:t>
            </w:r>
            <w:r>
              <w:rPr>
                <w:rFonts w:ascii="Arial" w:cs="Arial" w:eastAsia="Arial" w:hAnsi="Arial"/>
                <w:sz w:val="23"/>
                <w:szCs w:val="23"/>
                <w:b w:val="1"/>
                <w:bCs w:val="1"/>
                <w:color w:val="auto"/>
                <w:vertAlign w:val="superscript"/>
              </w:rPr>
              <w:t>(3)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2,948,621</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37,422</w:t>
            </w:r>
          </w:p>
        </w:tc>
        <w:tc>
          <w:tcPr>
            <w:tcW w:w="0" w:type="dxa"/>
            <w:vAlign w:val="bottom"/>
          </w:tcPr>
          <w:p>
            <w:pPr>
              <w:spacing w:after="0"/>
              <w:rPr>
                <w:sz w:val="1"/>
                <w:szCs w:val="1"/>
                <w:color w:val="auto"/>
              </w:rPr>
            </w:pPr>
          </w:p>
        </w:tc>
      </w:tr>
      <w:tr>
        <w:trPr>
          <w:trHeight w:val="248"/>
        </w:trPr>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Exercisable as of January 30,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2,395,315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34,746</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0" w:hanging="128"/>
        <w:spacing w:after="0"/>
        <w:tabs>
          <w:tab w:leader="none" w:pos="200" w:val="left"/>
        </w:tabs>
        <w:numPr>
          <w:ilvl w:val="0"/>
          <w:numId w:val="65"/>
        </w:numPr>
        <w:rPr>
          <w:rFonts w:ascii="Arial" w:cs="Arial" w:eastAsia="Arial" w:hAnsi="Arial"/>
          <w:sz w:val="15"/>
          <w:szCs w:val="15"/>
          <w:color w:val="auto"/>
          <w:vertAlign w:val="superscript"/>
        </w:rPr>
      </w:pPr>
      <w:r>
        <w:rPr>
          <w:rFonts w:ascii="Arial" w:cs="Arial" w:eastAsia="Arial" w:hAnsi="Arial"/>
          <w:sz w:val="11"/>
          <w:szCs w:val="11"/>
          <w:color w:val="auto"/>
        </w:rPr>
        <w:t>The fair value of a membership unit</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as of each period end was $13.86, $18.62, $17.61 and $21.50 for the fiscal years 2017, 2018, 2019 and 2020.</w:t>
      </w:r>
    </w:p>
    <w:p>
      <w:pPr>
        <w:spacing w:after="0" w:line="6" w:lineRule="exact"/>
        <w:rPr>
          <w:rFonts w:ascii="Arial" w:cs="Arial" w:eastAsia="Arial" w:hAnsi="Arial"/>
          <w:sz w:val="15"/>
          <w:szCs w:val="15"/>
          <w:color w:val="auto"/>
          <w:vertAlign w:val="superscript"/>
        </w:rPr>
      </w:pPr>
    </w:p>
    <w:p>
      <w:pPr>
        <w:ind w:left="220" w:hanging="148"/>
        <w:spacing w:after="0" w:line="187" w:lineRule="auto"/>
        <w:tabs>
          <w:tab w:leader="none" w:pos="2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ind w:left="220" w:hanging="148"/>
        <w:spacing w:after="0" w:line="197" w:lineRule="auto"/>
        <w:tabs>
          <w:tab w:leader="none" w:pos="22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The Company has elected to recognize forfeitures as they occur. Therefore, the number of awards vested and expected to vest is equal to the awards outstanding.</w:t>
      </w:r>
    </w:p>
    <w:p>
      <w:pPr>
        <w:spacing w:after="0" w:line="227"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220" w:type="dxa"/>
            <w:vAlign w:val="bottom"/>
          </w:tcPr>
          <w:p>
            <w:pPr>
              <w:ind w:left="320"/>
              <w:spacing w:after="0"/>
              <w:rPr>
                <w:sz w:val="20"/>
                <w:szCs w:val="20"/>
                <w:color w:val="auto"/>
              </w:rPr>
            </w:pPr>
            <w:r>
              <w:rPr>
                <w:rFonts w:ascii="Arial" w:cs="Arial" w:eastAsia="Arial" w:hAnsi="Arial"/>
                <w:sz w:val="18"/>
                <w:szCs w:val="18"/>
                <w:b w:val="1"/>
                <w:bCs w:val="1"/>
                <w:i w:val="1"/>
                <w:iCs w:val="1"/>
                <w:color w:val="auto"/>
              </w:rPr>
              <w:t>Restricted Unit Activity</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220" w:type="dxa"/>
            <w:vAlign w:val="bottom"/>
          </w:tcPr>
          <w:p>
            <w:pPr>
              <w:ind w:left="320"/>
              <w:spacing w:after="0"/>
              <w:rPr>
                <w:sz w:val="20"/>
                <w:szCs w:val="20"/>
                <w:color w:val="auto"/>
              </w:rPr>
            </w:pPr>
            <w:r>
              <w:rPr>
                <w:rFonts w:ascii="Arial" w:cs="Arial" w:eastAsia="Arial" w:hAnsi="Arial"/>
                <w:sz w:val="18"/>
                <w:szCs w:val="18"/>
                <w:color w:val="auto"/>
              </w:rPr>
              <w:t>Restricted Unit activity is as follows:</w:t>
            </w: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20" w:type="dxa"/>
            <w:vAlign w:val="bottom"/>
          </w:tcPr>
          <w:p>
            <w:pPr>
              <w:spacing w:after="0"/>
              <w:rPr>
                <w:sz w:val="24"/>
                <w:szCs w:val="24"/>
                <w:color w:val="auto"/>
              </w:rPr>
            </w:pPr>
          </w:p>
        </w:tc>
        <w:tc>
          <w:tcPr>
            <w:tcW w:w="2380" w:type="dxa"/>
            <w:vAlign w:val="bottom"/>
            <w:gridSpan w:val="5"/>
            <w:vMerge w:val="restart"/>
          </w:tcPr>
          <w:p>
            <w:pPr>
              <w:jc w:val="right"/>
              <w:ind w:right="432"/>
              <w:spacing w:after="0"/>
              <w:rPr>
                <w:sz w:val="20"/>
                <w:szCs w:val="20"/>
                <w:color w:val="auto"/>
              </w:rPr>
            </w:pPr>
            <w:r>
              <w:rPr>
                <w:rFonts w:ascii="Arial" w:cs="Arial" w:eastAsia="Arial" w:hAnsi="Arial"/>
                <w:sz w:val="18"/>
                <w:szCs w:val="18"/>
                <w:b w:val="1"/>
                <w:bCs w:val="1"/>
                <w:color w:val="auto"/>
                <w:w w:val="88"/>
              </w:rPr>
              <w:t>Service Restricted Units</w:t>
            </w:r>
          </w:p>
        </w:tc>
        <w:tc>
          <w:tcPr>
            <w:tcW w:w="80" w:type="dxa"/>
            <w:vAlign w:val="bottom"/>
            <w:vMerge w:val="restart"/>
          </w:tcPr>
          <w:p>
            <w:pPr>
              <w:spacing w:after="0"/>
              <w:rPr>
                <w:sz w:val="24"/>
                <w:szCs w:val="24"/>
                <w:color w:val="auto"/>
              </w:rPr>
            </w:pPr>
          </w:p>
        </w:tc>
        <w:tc>
          <w:tcPr>
            <w:tcW w:w="2480" w:type="dxa"/>
            <w:vAlign w:val="bottom"/>
            <w:gridSpan w:val="5"/>
          </w:tcPr>
          <w:p>
            <w:pPr>
              <w:ind w:left="180"/>
              <w:spacing w:after="0"/>
              <w:rPr>
                <w:sz w:val="20"/>
                <w:szCs w:val="20"/>
                <w:color w:val="auto"/>
              </w:rPr>
            </w:pPr>
            <w:r>
              <w:rPr>
                <w:rFonts w:ascii="Arial" w:cs="Arial" w:eastAsia="Arial" w:hAnsi="Arial"/>
                <w:sz w:val="18"/>
                <w:szCs w:val="18"/>
                <w:b w:val="1"/>
                <w:bCs w:val="1"/>
                <w:color w:val="auto"/>
              </w:rPr>
              <w:t>Liquidity Event Restricted</w:t>
            </w:r>
          </w:p>
        </w:tc>
        <w:tc>
          <w:tcPr>
            <w:tcW w:w="23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1"/>
              </w:rPr>
              <w:t>Performance Restricted Units</w:t>
            </w:r>
          </w:p>
        </w:tc>
        <w:tc>
          <w:tcPr>
            <w:tcW w:w="0" w:type="dxa"/>
            <w:vAlign w:val="bottom"/>
          </w:tcPr>
          <w:p>
            <w:pPr>
              <w:spacing w:after="0"/>
              <w:rPr>
                <w:sz w:val="1"/>
                <w:szCs w:val="1"/>
                <w:color w:val="auto"/>
              </w:rPr>
            </w:pPr>
          </w:p>
        </w:tc>
      </w:tr>
      <w:tr>
        <w:trPr>
          <w:trHeight w:val="229"/>
        </w:trPr>
        <w:tc>
          <w:tcPr>
            <w:tcW w:w="3220" w:type="dxa"/>
            <w:vAlign w:val="bottom"/>
          </w:tcPr>
          <w:p>
            <w:pPr>
              <w:spacing w:after="0"/>
              <w:rPr>
                <w:sz w:val="19"/>
                <w:szCs w:val="19"/>
                <w:color w:val="auto"/>
              </w:rPr>
            </w:pPr>
          </w:p>
        </w:tc>
        <w:tc>
          <w:tcPr>
            <w:tcW w:w="2380" w:type="dxa"/>
            <w:vAlign w:val="bottom"/>
            <w:tcBorders>
              <w:bottom w:val="single" w:sz="8" w:color="auto"/>
            </w:tcBorders>
            <w:gridSpan w:val="5"/>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892"/>
              <w:spacing w:after="0"/>
              <w:rPr>
                <w:sz w:val="20"/>
                <w:szCs w:val="20"/>
                <w:color w:val="auto"/>
              </w:rPr>
            </w:pPr>
            <w:r>
              <w:rPr>
                <w:rFonts w:ascii="Arial" w:cs="Arial" w:eastAsia="Arial" w:hAnsi="Arial"/>
                <w:sz w:val="18"/>
                <w:szCs w:val="18"/>
                <w:b w:val="1"/>
                <w:bCs w:val="1"/>
                <w:color w:val="auto"/>
                <w:w w:val="93"/>
              </w:rPr>
              <w:t>Units</w:t>
            </w:r>
          </w:p>
        </w:tc>
        <w:tc>
          <w:tcPr>
            <w:tcW w:w="100" w:type="dxa"/>
            <w:vAlign w:val="bottom"/>
          </w:tcPr>
          <w:p>
            <w:pPr>
              <w:spacing w:after="0"/>
              <w:rPr>
                <w:sz w:val="19"/>
                <w:szCs w:val="19"/>
                <w:color w:val="auto"/>
              </w:rPr>
            </w:pPr>
          </w:p>
        </w:tc>
        <w:tc>
          <w:tcPr>
            <w:tcW w:w="238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12"/>
              <w:spacing w:after="0" w:line="182"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center"/>
              <w:ind w:right="300"/>
              <w:spacing w:after="0" w:line="182" w:lineRule="exact"/>
              <w:rPr>
                <w:sz w:val="20"/>
                <w:szCs w:val="20"/>
                <w:color w:val="auto"/>
              </w:rPr>
            </w:pPr>
            <w:r>
              <w:rPr>
                <w:rFonts w:ascii="Arial" w:cs="Arial" w:eastAsia="Arial" w:hAnsi="Arial"/>
                <w:sz w:val="18"/>
                <w:szCs w:val="18"/>
                <w:b w:val="1"/>
                <w:bCs w:val="1"/>
                <w:color w:val="auto"/>
                <w:w w:val="88"/>
              </w:rPr>
              <w:t>Weighted</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center"/>
              <w:ind w:right="112"/>
              <w:spacing w:after="0" w:line="182"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2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gridSpan w:val="2"/>
          </w:tcPr>
          <w:p>
            <w:pPr>
              <w:jc w:val="center"/>
              <w:ind w:left="30"/>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176"/>
        </w:trPr>
        <w:tc>
          <w:tcPr>
            <w:tcW w:w="3220" w:type="dxa"/>
            <w:vAlign w:val="bottom"/>
          </w:tcPr>
          <w:p>
            <w:pPr>
              <w:spacing w:after="0"/>
              <w:rPr>
                <w:sz w:val="15"/>
                <w:szCs w:val="15"/>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88"/>
              </w:rPr>
              <w:t>Units</w:t>
            </w:r>
          </w:p>
        </w:tc>
        <w:tc>
          <w:tcPr>
            <w:tcW w:w="340" w:type="dxa"/>
            <w:vAlign w:val="bottom"/>
          </w:tcPr>
          <w:p>
            <w:pPr>
              <w:jc w:val="right"/>
              <w:ind w:right="98"/>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Pr>
          <w:p>
            <w:pPr>
              <w:spacing w:after="0"/>
              <w:rPr>
                <w:sz w:val="15"/>
                <w:szCs w:val="15"/>
                <w:color w:val="auto"/>
              </w:rPr>
            </w:pPr>
          </w:p>
        </w:tc>
        <w:tc>
          <w:tcPr>
            <w:tcW w:w="14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Date Fair Value</w:t>
            </w:r>
          </w:p>
        </w:tc>
        <w:tc>
          <w:tcPr>
            <w:tcW w:w="620" w:type="dxa"/>
            <w:vAlign w:val="bottom"/>
            <w:vMerge w:val="restart"/>
          </w:tcPr>
          <w:p>
            <w:pPr>
              <w:ind w:left="200"/>
              <w:spacing w:after="0"/>
              <w:rPr>
                <w:sz w:val="20"/>
                <w:szCs w:val="20"/>
                <w:color w:val="auto"/>
              </w:rPr>
            </w:pPr>
            <w:r>
              <w:rPr>
                <w:rFonts w:ascii="Arial" w:cs="Arial" w:eastAsia="Arial" w:hAnsi="Arial"/>
                <w:sz w:val="18"/>
                <w:szCs w:val="18"/>
                <w:b w:val="1"/>
                <w:bCs w:val="1"/>
                <w:color w:val="auto"/>
                <w:w w:val="88"/>
              </w:rPr>
              <w:t>Units</w:t>
            </w:r>
          </w:p>
        </w:tc>
        <w:tc>
          <w:tcPr>
            <w:tcW w:w="340" w:type="dxa"/>
            <w:vAlign w:val="bottom"/>
          </w:tcPr>
          <w:p>
            <w:pPr>
              <w:jc w:val="right"/>
              <w:ind w:right="101"/>
              <w:spacing w:after="0"/>
              <w:rPr>
                <w:sz w:val="20"/>
                <w:szCs w:val="20"/>
                <w:color w:val="auto"/>
              </w:rPr>
            </w:pPr>
            <w:r>
              <w:rPr>
                <w:rFonts w:ascii="Arial" w:cs="Arial" w:eastAsia="Arial" w:hAnsi="Arial"/>
                <w:sz w:val="12"/>
                <w:szCs w:val="12"/>
                <w:b w:val="1"/>
                <w:bCs w:val="1"/>
                <w:color w:val="auto"/>
                <w:w w:val="95"/>
              </w:rPr>
              <w:t>(1)</w:t>
            </w:r>
          </w:p>
        </w:tc>
        <w:tc>
          <w:tcPr>
            <w:tcW w:w="1520" w:type="dxa"/>
            <w:vAlign w:val="bottom"/>
            <w:gridSpan w:val="3"/>
          </w:tcPr>
          <w:p>
            <w:pPr>
              <w:jc w:val="center"/>
              <w:spacing w:after="0" w:line="176" w:lineRule="exact"/>
              <w:rPr>
                <w:sz w:val="20"/>
                <w:szCs w:val="20"/>
                <w:color w:val="auto"/>
              </w:rPr>
            </w:pPr>
            <w:r>
              <w:rPr>
                <w:rFonts w:ascii="Arial" w:cs="Arial" w:eastAsia="Arial" w:hAnsi="Arial"/>
                <w:sz w:val="18"/>
                <w:szCs w:val="18"/>
                <w:b w:val="1"/>
                <w:bCs w:val="1"/>
                <w:color w:val="auto"/>
                <w:w w:val="93"/>
              </w:rPr>
              <w:t>Date Fair Value</w:t>
            </w:r>
          </w:p>
        </w:tc>
        <w:tc>
          <w:tcPr>
            <w:tcW w:w="62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3"/>
              </w:rPr>
              <w:t>Units</w:t>
            </w:r>
          </w:p>
        </w:tc>
        <w:tc>
          <w:tcPr>
            <w:tcW w:w="340" w:type="dxa"/>
            <w:vAlign w:val="bottom"/>
          </w:tcPr>
          <w:p>
            <w:pPr>
              <w:jc w:val="right"/>
              <w:ind w:right="93"/>
              <w:spacing w:after="0"/>
              <w:rPr>
                <w:sz w:val="20"/>
                <w:szCs w:val="20"/>
                <w:color w:val="auto"/>
              </w:rPr>
            </w:pPr>
            <w:r>
              <w:rPr>
                <w:rFonts w:ascii="Arial" w:cs="Arial" w:eastAsia="Arial" w:hAnsi="Arial"/>
                <w:sz w:val="12"/>
                <w:szCs w:val="12"/>
                <w:b w:val="1"/>
                <w:bCs w:val="1"/>
                <w:color w:val="auto"/>
                <w:w w:val="95"/>
              </w:rPr>
              <w:t>(1)</w:t>
            </w:r>
          </w:p>
        </w:tc>
        <w:tc>
          <w:tcPr>
            <w:tcW w:w="1420" w:type="dxa"/>
            <w:vAlign w:val="bottom"/>
            <w:gridSpan w:val="2"/>
          </w:tcPr>
          <w:p>
            <w:pPr>
              <w:jc w:val="center"/>
              <w:ind w:left="10"/>
              <w:spacing w:after="0" w:line="176" w:lineRule="exact"/>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155"/>
        </w:trPr>
        <w:tc>
          <w:tcPr>
            <w:tcW w:w="32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w w:val="95"/>
              </w:rPr>
              <w:t>(1)</w:t>
            </w:r>
          </w:p>
        </w:tc>
        <w:tc>
          <w:tcPr>
            <w:tcW w:w="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12"/>
              <w:spacing w:after="0"/>
              <w:rPr>
                <w:sz w:val="20"/>
                <w:szCs w:val="20"/>
                <w:color w:val="auto"/>
              </w:rPr>
            </w:pPr>
            <w:r>
              <w:rPr>
                <w:rFonts w:ascii="Arial" w:cs="Arial" w:eastAsia="Arial" w:hAnsi="Arial"/>
                <w:sz w:val="12"/>
                <w:szCs w:val="12"/>
                <w:b w:val="1"/>
                <w:bCs w:val="1"/>
                <w:color w:val="auto"/>
                <w:w w:val="81"/>
              </w:rPr>
              <w:t>(1)</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February 3, 2018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433,685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859,133</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(248,347)</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February 2, 2019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1,044,471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45,265</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(44,923)</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February 1, 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1,044,813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32,049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17.01</w:t>
            </w:r>
          </w:p>
        </w:tc>
        <w:tc>
          <w:tcPr>
            <w:tcW w:w="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1,185,474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16,328</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(802,498)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6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(88,459)</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January 30, 2021</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32,049</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1,339,330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16,328</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200" w:hanging="128"/>
        <w:spacing w:after="0"/>
        <w:tabs>
          <w:tab w:leader="none" w:pos="200" w:val="left"/>
        </w:tabs>
        <w:numPr>
          <w:ilvl w:val="0"/>
          <w:numId w:val="66"/>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224790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580" w:top="1104" w:right="619" w:bottom="1440" w:gutter="0" w:footer="0" w:header="0"/>
        </w:sectPr>
      </w:pPr>
    </w:p>
    <w:bookmarkStart w:id="100" w:name="page101"/>
    <w:bookmarkEnd w:id="100"/>
    <w:p>
      <w:pPr>
        <w:jc w:val="both"/>
        <w:ind w:firstLine="324"/>
        <w:spacing w:after="0" w:line="263" w:lineRule="auto"/>
        <w:rPr>
          <w:sz w:val="20"/>
          <w:szCs w:val="20"/>
          <w:color w:val="auto"/>
        </w:rPr>
      </w:pPr>
      <w:r>
        <w:rPr>
          <w:rFonts w:ascii="Arial" w:cs="Arial" w:eastAsia="Arial" w:hAnsi="Arial"/>
          <w:sz w:val="18"/>
          <w:szCs w:val="18"/>
          <w:color w:val="auto"/>
        </w:rPr>
        <w:t>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The Company’s outstanding and unvested Liquidity Event Restricted Units began being expensed on October 6, 2020, concurrent with the completion of the IPO and the performance objective was met in accordance with ASC 718. Additionally, in connection with the completion of the IPO, the Company issued performance restricted units to key team members which will vest 25% on the first anniversary of the grant date and 75% on the second anniversary of the grant date.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outstanding and unvested Performance Restricted Units typically vest either (i) over a four-year period at rates of 25%, 25%, 25% and 25% per anniversary of the Performance Restricted Unit holder’s grant date, so long as the Company achieves the performance metric for the grant year, (ii) achieves a stated target share price, or (iii) a change of control occurring during the grant year the company offering prior to the fifth anniversary of their grant date, or (ii) immediately at a rate of 100%, upon the completion of certain Company change of control transactions, so long as during the twenty-four month period following such change of control the unit holder's service is terminated without cause or they submit their resignation for good reason, as defined in the award agreement.</w:t>
      </w:r>
    </w:p>
    <w:p>
      <w:pPr>
        <w:sectPr>
          <w:pgSz w:w="11900" w:h="16838" w:orient="portrait"/>
          <w:cols w:equalWidth="0" w:num="1">
            <w:col w:w="10900"/>
          </w:cols>
          <w:pgMar w:left="66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247015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03"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75"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dilutive shares outstanding are calculated as follows (amounts in thousands):</w:t>
      </w:r>
    </w:p>
    <w:p>
      <w:pPr>
        <w:spacing w:after="0" w:line="20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Fiscal Year Ended</w:t>
            </w:r>
          </w:p>
        </w:tc>
        <w:tc>
          <w:tcPr>
            <w:tcW w:w="2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January 30, 2021</w:t>
            </w:r>
          </w:p>
        </w:tc>
        <w:tc>
          <w:tcPr>
            <w:tcW w:w="260" w:type="dxa"/>
            <w:vAlign w:val="bottom"/>
          </w:tcPr>
          <w:p>
            <w:pPr>
              <w:spacing w:after="0"/>
              <w:rPr>
                <w:sz w:val="19"/>
                <w:szCs w:val="19"/>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February 1, 2020</w:t>
            </w:r>
          </w:p>
        </w:tc>
        <w:tc>
          <w:tcPr>
            <w:tcW w:w="280" w:type="dxa"/>
            <w:vAlign w:val="bottom"/>
          </w:tcPr>
          <w:p>
            <w:pPr>
              <w:spacing w:after="0"/>
              <w:rPr>
                <w:sz w:val="19"/>
                <w:szCs w:val="19"/>
                <w:color w:val="auto"/>
              </w:rPr>
            </w:pP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February 2, 2019</w:t>
            </w: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308,764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Weighted average common shares outstanding -</w:t>
            </w:r>
          </w:p>
        </w:tc>
        <w:tc>
          <w:tcPr>
            <w:tcW w:w="26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77,994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72,432</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220"/>
              <w:spacing w:after="0" w:line="176" w:lineRule="exact"/>
              <w:rPr>
                <w:sz w:val="20"/>
                <w:szCs w:val="20"/>
                <w:color w:val="auto"/>
              </w:rPr>
            </w:pPr>
            <w:r>
              <w:rPr>
                <w:rFonts w:ascii="Arial" w:cs="Arial" w:eastAsia="Arial" w:hAnsi="Arial"/>
                <w:sz w:val="18"/>
                <w:szCs w:val="18"/>
                <w:color w:val="auto"/>
              </w:rPr>
              <w:t>Dilutive effect of Service Restricted Units and</w:t>
            </w:r>
          </w:p>
        </w:tc>
        <w:tc>
          <w:tcPr>
            <w:tcW w:w="26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Service Restricted Stock Units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Dilutive effect of Liquidity Event Restricted</w:t>
            </w:r>
          </w:p>
        </w:tc>
        <w:tc>
          <w:tcPr>
            <w:tcW w:w="26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1,224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w w:val="94"/>
              </w:rPr>
              <w:t xml:space="preserve">Units and Performance Restricted Stock Units </w:t>
            </w:r>
            <w:r>
              <w:rPr>
                <w:rFonts w:ascii="Arial" w:cs="Arial" w:eastAsia="Arial" w:hAnsi="Arial"/>
                <w:sz w:val="23"/>
                <w:szCs w:val="23"/>
                <w:color w:val="auto"/>
                <w:w w:val="94"/>
                <w:vertAlign w:val="superscript"/>
              </w:rPr>
              <w:t>(1)</w:t>
            </w:r>
          </w:p>
        </w:tc>
        <w:tc>
          <w:tcPr>
            <w:tcW w:w="26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773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176"/>
        </w:trPr>
        <w:tc>
          <w:tcPr>
            <w:tcW w:w="39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Dilutive effect of Performance Unit Options and</w:t>
            </w:r>
          </w:p>
        </w:tc>
        <w:tc>
          <w:tcPr>
            <w:tcW w:w="26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1,433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Performance Stock Options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line="156" w:lineRule="exact"/>
              <w:rPr>
                <w:sz w:val="20"/>
                <w:szCs w:val="20"/>
                <w:color w:val="auto"/>
              </w:rPr>
            </w:pPr>
            <w:r>
              <w:rPr>
                <w:rFonts w:ascii="Arial" w:cs="Arial" w:eastAsia="Arial" w:hAnsi="Arial"/>
                <w:sz w:val="18"/>
                <w:szCs w:val="18"/>
                <w:color w:val="auto"/>
              </w:rPr>
              <w:t>Weighted average common shares outstanding -</w:t>
            </w:r>
          </w:p>
        </w:tc>
        <w:tc>
          <w:tcPr>
            <w:tcW w:w="260" w:type="dxa"/>
            <w:vAlign w:val="bottom"/>
          </w:tcPr>
          <w:p>
            <w:pPr>
              <w:spacing w:after="0"/>
              <w:rPr>
                <w:sz w:val="13"/>
                <w:szCs w:val="13"/>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81,431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74,795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75,198</w:t>
            </w:r>
          </w:p>
        </w:tc>
        <w:tc>
          <w:tcPr>
            <w:tcW w:w="0" w:type="dxa"/>
            <w:vAlign w:val="bottom"/>
          </w:tcPr>
          <w:p>
            <w:pPr>
              <w:spacing w:after="0"/>
              <w:rPr>
                <w:sz w:val="1"/>
                <w:szCs w:val="1"/>
                <w:color w:val="auto"/>
              </w:rPr>
            </w:pPr>
          </w:p>
        </w:tc>
      </w:tr>
      <w:tr>
        <w:trPr>
          <w:trHeight w:val="203"/>
        </w:trPr>
        <w:tc>
          <w:tcPr>
            <w:tcW w:w="3940" w:type="dxa"/>
            <w:vAlign w:val="bottom"/>
          </w:tcPr>
          <w:p>
            <w:pPr>
              <w:spacing w:after="0" w:line="202"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3.96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Anti-dilutive stock-based awards excluded from</w:t>
            </w:r>
          </w:p>
        </w:tc>
        <w:tc>
          <w:tcPr>
            <w:tcW w:w="26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diluted calculation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460" w:hanging="128"/>
        <w:spacing w:after="0"/>
        <w:tabs>
          <w:tab w:leader="none" w:pos="460" w:val="left"/>
        </w:tabs>
        <w:numPr>
          <w:ilvl w:val="1"/>
          <w:numId w:val="67"/>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200" w:lineRule="exact"/>
        <w:rPr>
          <w:rFonts w:ascii="Arial" w:cs="Arial" w:eastAsia="Arial" w:hAnsi="Arial"/>
          <w:sz w:val="15"/>
          <w:szCs w:val="15"/>
          <w:color w:val="auto"/>
          <w:vertAlign w:val="superscript"/>
        </w:rPr>
      </w:pPr>
    </w:p>
    <w:p>
      <w:pPr>
        <w:spacing w:after="0" w:line="200" w:lineRule="exact"/>
        <w:rPr>
          <w:rFonts w:ascii="Arial" w:cs="Arial" w:eastAsia="Arial" w:hAnsi="Arial"/>
          <w:sz w:val="15"/>
          <w:szCs w:val="15"/>
          <w:color w:val="auto"/>
          <w:vertAlign w:val="superscript"/>
        </w:rPr>
      </w:pPr>
    </w:p>
    <w:p>
      <w:pPr>
        <w:spacing w:after="0" w:line="237" w:lineRule="exact"/>
        <w:rPr>
          <w:rFonts w:ascii="Arial" w:cs="Arial" w:eastAsia="Arial" w:hAnsi="Arial"/>
          <w:sz w:val="15"/>
          <w:szCs w:val="15"/>
          <w:color w:val="auto"/>
          <w:vertAlign w:val="superscript"/>
        </w:rPr>
      </w:pPr>
    </w:p>
    <w:p>
      <w:pPr>
        <w:ind w:left="320" w:hanging="312"/>
        <w:spacing w:after="0"/>
        <w:tabs>
          <w:tab w:leader="none" w:pos="3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(see Note 1) completed on October 1, 2020, as described further in the Prospectus,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124"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As a result of the Reorganization Transactions, the Company recorded a net deferred tax liability position of $137.3 million, which consisted of the Company’s difference between the Company's financial statement carrying value and the outside tax basis in its NAHC membership units, immediately following the completion of the Reorganization Transactions, measured at the enacted federal and state income tax rates. Additionally, $4.6 million in current tax liability was assumed by the Company as part of the Reorganization Transactions. The combined entry was recorded as a</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color w:val="auto"/>
        </w:rPr>
        <w:t>cumulative adjustment to additional paid-in capital for the year equal to $141.9 million, as reflected in the statement of stockholders' equity.</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Coronavirus Aid, Relief, and Economic Security Act ("CARES Act") was enacted in the U.S. on March 27, 2020, and the Consolidated Appropriations Act of 2021 was enacted on December 27, 2020. These legislative actions did not significantly impact our full year effective tax rate in fiscal 2020.</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income tax provision consists of the following (amounts in thousands)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r>
      <w:tr>
        <w:trPr>
          <w:trHeight w:val="223"/>
        </w:trPr>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6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February 1, 2020</w:t>
            </w:r>
          </w:p>
        </w:tc>
        <w:tc>
          <w:tcPr>
            <w:tcW w:w="18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2, 2019</w:t>
            </w: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expense:</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48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23,403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r>
      <w:tr>
        <w:trPr>
          <w:trHeight w:val="230"/>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expense</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r>
      <w:tr>
        <w:trPr>
          <w:trHeight w:val="128"/>
        </w:trPr>
        <w:tc>
          <w:tcPr>
            <w:tcW w:w="4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expense (benefit):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9"/>
        </w:trPr>
        <w:tc>
          <w:tcPr>
            <w:tcW w:w="4880" w:type="dxa"/>
            <w:vAlign w:val="bottom"/>
          </w:tcPr>
          <w:p>
            <w:pPr>
              <w:ind w:left="14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23"/>
        </w:trPr>
        <w:tc>
          <w:tcPr>
            <w:tcW w:w="48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r>
      <w:tr>
        <w:trPr>
          <w:trHeight w:val="21"/>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statutory U.S. federal income tax rate to our effective income tax rate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90"/>
              </w:rPr>
              <w:t>Fiscal Year Ended</w:t>
            </w:r>
          </w:p>
        </w:tc>
        <w:tc>
          <w:tcPr>
            <w:tcW w:w="1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020" w:type="dxa"/>
            <w:vAlign w:val="bottom"/>
            <w:gridSpan w:val="2"/>
          </w:tcPr>
          <w:p>
            <w:pPr>
              <w:ind w:left="300"/>
              <w:spacing w:after="0"/>
              <w:rPr>
                <w:sz w:val="20"/>
                <w:szCs w:val="20"/>
                <w:color w:val="auto"/>
              </w:rPr>
            </w:pPr>
            <w:r>
              <w:rPr>
                <w:rFonts w:ascii="Arial" w:cs="Arial" w:eastAsia="Arial" w:hAnsi="Arial"/>
                <w:sz w:val="18"/>
                <w:szCs w:val="18"/>
                <w:b w:val="1"/>
                <w:bCs w:val="1"/>
                <w:color w:val="auto"/>
              </w:rPr>
              <w:t>January 30, 2021</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February 1, 2020</w:t>
            </w: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rPr>
              <w:t>February 2, 2019</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income tax at the statutory rate</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pre-IPO pass-through income allocated to our</w:t>
            </w:r>
          </w:p>
        </w:tc>
        <w:tc>
          <w:tcPr>
            <w:tcW w:w="19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(13.7)</w:t>
            </w: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w:t>
            </w:r>
          </w:p>
        </w:tc>
        <w:tc>
          <w:tcPr>
            <w:tcW w:w="1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Effect of permanent items</w:t>
            </w: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0.0</w:t>
            </w:r>
          </w:p>
        </w:tc>
        <w:tc>
          <w:tcPr>
            <w:tcW w:w="12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including foreign</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0.0</w:t>
            </w:r>
          </w:p>
        </w:tc>
        <w:tc>
          <w:tcPr>
            <w:tcW w:w="12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9.0 %</w:t>
            </w:r>
          </w:p>
        </w:tc>
        <w:tc>
          <w:tcPr>
            <w:tcW w:w="12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2.3 %</w:t>
            </w:r>
          </w:p>
        </w:tc>
        <w:tc>
          <w:tcPr>
            <w:tcW w:w="8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effective tax rate for the periods reflected is less than the U.S. federal tax rate on corporations primarily as a result of the Company’s status as a flow-through entity prior to October 1, 2020. The fiscal year ended January 30, 2021 includes four months of activity subject to U.S. federal and state income tax in addition to the historically reported Texas franchise tax as a result of the Reorganization Transactions. For complete annual periods on and after October 1, 2020, no portion of the Company’s income remains flow-through to the prior members of NAHC and our estimated effective tax rate is between 24% and 25% for the full year.</w:t>
      </w:r>
    </w:p>
    <w:p>
      <w:pPr>
        <w:spacing w:after="0" w:line="200" w:lineRule="exact"/>
        <w:rPr>
          <w:sz w:val="20"/>
          <w:szCs w:val="20"/>
          <w:color w:val="auto"/>
        </w:rPr>
      </w:pPr>
    </w:p>
    <w:p>
      <w:pPr>
        <w:spacing w:after="0" w:line="3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Components of deferred tax assets and liabilities consist of the following (amounts in thousands) as of:</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 2021</w:t>
            </w:r>
          </w:p>
        </w:tc>
        <w:tc>
          <w:tcPr>
            <w:tcW w:w="18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February 1, 2020</w:t>
            </w:r>
          </w:p>
        </w:tc>
      </w:tr>
      <w:tr>
        <w:trPr>
          <w:trHeight w:val="209"/>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720" w:type="dxa"/>
            <w:vAlign w:val="bottom"/>
            <w:gridSpan w:val="2"/>
          </w:tcPr>
          <w:p>
            <w:pPr>
              <w:ind w:left="13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6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142"/>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NAHC</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(138,358)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(138,703)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asset (liability)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(138,703)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firstLine="324"/>
        <w:spacing w:after="0" w:line="301" w:lineRule="auto"/>
        <w:rPr>
          <w:sz w:val="20"/>
          <w:szCs w:val="20"/>
          <w:color w:val="auto"/>
        </w:rPr>
      </w:pPr>
      <w:r>
        <w:rPr>
          <w:rFonts w:ascii="Arial" w:cs="Arial" w:eastAsia="Arial" w:hAnsi="Arial"/>
          <w:sz w:val="16"/>
          <w:szCs w:val="16"/>
          <w:color w:val="auto"/>
        </w:rPr>
        <w:t>The Reorganization Transactions (see Note 1) resulted in ASO, Inc.'s ownership of 100% of NAHC which operated as a tax partnership through the fiscal year ended January 30, 2021. The deferred tax liability as of January 30, 2021 reflects the excess of financial statement carrying value over our tax basis in NAHC membership units measured using the federal income tax rate of 21% and our weighted average state income tax rate equal to approximately 2.4% net of federal tax benefit. For the year ended February 1, 2020, the net deferred tax asset is included in other noncurrent assets.</w:t>
      </w:r>
    </w:p>
    <w:p>
      <w:pPr>
        <w:spacing w:after="0" w:line="157"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Management evaluates the realizability of the deferred tax assets and the need for additional valuation allowances annually. As of January 30, 2021, based on current facts and circumstances, management believes that it is more likely than not that the Company will realize benefit for its gross deferred tax assets.</w:t>
      </w:r>
    </w:p>
    <w:p>
      <w:pPr>
        <w:spacing w:after="0" w:line="211"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As of January 30, 2021,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2018 through 2020, and 2017 through 2020,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56"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such events require a re-measurement of the lease liability at current discount rates. The life of leasehold improvement assets are limited by the expected lease term. Additionally, we have certain agreements for equipment rentals, which are typically 12 months or less in duration. As of January 30, 2021, all of our leases are classified as operating leases.</w:t>
      </w:r>
    </w:p>
    <w:p>
      <w:pPr>
        <w:spacing w:after="0" w:line="215"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In addition, in certain situations, we may sublease real estate to third parties. Our sublease portfolio consists mainly of former store locations for which we are still under lease and existing store leases in which we have excess or unused space.</w:t>
      </w:r>
    </w:p>
    <w:p>
      <w:pPr>
        <w:spacing w:after="0" w:line="116"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 xml:space="preserve">In April 2020, the Financial Accounting Standards Board issued </w:t>
      </w:r>
      <w:r>
        <w:rPr>
          <w:rFonts w:ascii="Arial" w:cs="Arial" w:eastAsia="Arial" w:hAnsi="Arial"/>
          <w:sz w:val="16"/>
          <w:szCs w:val="16"/>
          <w:i w:val="1"/>
          <w:iCs w:val="1"/>
          <w:color w:val="auto"/>
        </w:rPr>
        <w:t>Staff Q&amp;A - Topic 842 and Topic 840: Accounting For Lease Concessions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the Effects of the COVID-19 Pandemic</w:t>
      </w:r>
      <w:r>
        <w:rPr>
          <w:rFonts w:ascii="Arial" w:cs="Arial" w:eastAsia="Arial" w:hAnsi="Arial"/>
          <w:sz w:val="16"/>
          <w:szCs w:val="16"/>
          <w:color w:val="auto"/>
        </w:rPr>
        <w:t>. This guidance provides entities with the option to elect to account for certain lease concessions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 to those contracts. During the year ended January 30, 2021, the Company received $2.5 million in lease expense credit related to landlord abated rent as a result of the elections made under this guidance. Additionally, during the year ended January 30, 2021, the Company signed 46 lease extensions requiring lease modification accounting treatment.</w:t>
      </w: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4" w:name="page105"/>
    <w:bookmarkEnd w:id="104"/>
    <w:p>
      <w:pPr>
        <w:ind w:left="652"/>
        <w:spacing w:after="0"/>
        <w:rPr>
          <w:sz w:val="20"/>
          <w:szCs w:val="20"/>
          <w:color w:val="auto"/>
        </w:rPr>
      </w:pPr>
      <w:r>
        <w:rPr>
          <w:rFonts w:ascii="Arial" w:cs="Arial" w:eastAsia="Arial" w:hAnsi="Arial"/>
          <w:sz w:val="16"/>
          <w:szCs w:val="16"/>
          <w:color w:val="auto"/>
        </w:rPr>
        <w:t>The components of lease expense and sublease income included in selling, general and administrative ("SG&amp;A") expenses on our statement of</w:t>
      </w:r>
    </w:p>
    <w:p>
      <w:pPr>
        <w:spacing w:after="0" w:line="46"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income is as follows (amounts in thousands):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42"/>
        </w:trPr>
        <w:tc>
          <w:tcPr>
            <w:tcW w:w="6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8"/>
                <w:szCs w:val="18"/>
                <w:b w:val="1"/>
                <w:bCs w:val="1"/>
                <w:color w:val="auto"/>
                <w:w w:val="88"/>
              </w:rPr>
              <w:t>Fiscal year ended</w:t>
            </w:r>
          </w:p>
        </w:tc>
      </w:tr>
      <w:tr>
        <w:trPr>
          <w:trHeight w:val="223"/>
        </w:trPr>
        <w:tc>
          <w:tcPr>
            <w:tcW w:w="6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January 30, 2021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February 1, 2020</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196,794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195,301</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Short-term lease expense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5,410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(756)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r>
      <w:tr>
        <w:trPr>
          <w:trHeight w:val="223"/>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lease expense</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201,448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201,446</w:t>
            </w:r>
          </w:p>
        </w:tc>
      </w:tr>
      <w:tr>
        <w:trPr>
          <w:trHeight w:val="560"/>
        </w:trPr>
        <w:tc>
          <w:tcPr>
            <w:tcW w:w="6520" w:type="dxa"/>
            <w:vAlign w:val="bottom"/>
          </w:tcPr>
          <w:p>
            <w:pPr>
              <w:ind w:left="320"/>
              <w:spacing w:after="0"/>
              <w:rPr>
                <w:sz w:val="20"/>
                <w:szCs w:val="20"/>
                <w:color w:val="auto"/>
              </w:rPr>
            </w:pPr>
            <w:r>
              <w:rPr>
                <w:rFonts w:ascii="Arial" w:cs="Arial" w:eastAsia="Arial" w:hAnsi="Arial"/>
                <w:sz w:val="18"/>
                <w:szCs w:val="18"/>
                <w:color w:val="auto"/>
                <w:w w:val="94"/>
              </w:rPr>
              <w:t>Information about our operating leases is as follows (dollar amounts in thousands):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6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gridSpan w:val="6"/>
          </w:tcPr>
          <w:p>
            <w:pPr>
              <w:jc w:val="right"/>
              <w:ind w:right="117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4"/>
          </w:tcPr>
          <w:p>
            <w:pPr>
              <w:ind w:left="40"/>
              <w:spacing w:after="0"/>
              <w:rPr>
                <w:sz w:val="20"/>
                <w:szCs w:val="20"/>
                <w:color w:val="auto"/>
              </w:rPr>
            </w:pPr>
            <w:r>
              <w:rPr>
                <w:rFonts w:ascii="Arial" w:cs="Arial" w:eastAsia="Arial" w:hAnsi="Arial"/>
                <w:sz w:val="18"/>
                <w:szCs w:val="18"/>
                <w:b w:val="1"/>
                <w:bCs w:val="1"/>
                <w:color w:val="auto"/>
              </w:rPr>
              <w:t>January 30, 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February 1, 2020</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86,782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57,383</w:t>
            </w:r>
          </w:p>
        </w:tc>
      </w:tr>
      <w:tr>
        <w:trPr>
          <w:trHeight w:val="234"/>
        </w:trPr>
        <w:tc>
          <w:tcPr>
            <w:tcW w:w="652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179,723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2"/>
          </w:tcPr>
          <w:p>
            <w:pPr>
              <w:jc w:val="center"/>
              <w:ind w:right="5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192,849</w:t>
            </w:r>
          </w:p>
        </w:tc>
      </w:tr>
      <w:tr>
        <w:trPr>
          <w:trHeight w:val="495"/>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gridSpan w:val="4"/>
          </w:tcPr>
          <w:p>
            <w:pPr>
              <w:ind w:left="40"/>
              <w:spacing w:after="0"/>
              <w:rPr>
                <w:sz w:val="20"/>
                <w:szCs w:val="20"/>
                <w:color w:val="auto"/>
              </w:rPr>
            </w:pPr>
            <w:r>
              <w:rPr>
                <w:rFonts w:ascii="Arial" w:cs="Arial" w:eastAsia="Arial" w:hAnsi="Arial"/>
                <w:sz w:val="18"/>
                <w:szCs w:val="18"/>
                <w:b w:val="1"/>
                <w:bCs w:val="1"/>
                <w:color w:val="auto"/>
              </w:rPr>
              <w:t>January 30, 2021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February 1, 2020</w:t>
            </w:r>
          </w:p>
        </w:tc>
      </w:tr>
      <w:tr>
        <w:trPr>
          <w:trHeight w:val="223"/>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4"/>
        </w:trPr>
        <w:tc>
          <w:tcPr>
            <w:tcW w:w="6520" w:type="dxa"/>
            <w:vAlign w:val="bottom"/>
          </w:tcPr>
          <w:p>
            <w:pPr>
              <w:ind w:left="20"/>
              <w:spacing w:after="0"/>
              <w:rPr>
                <w:sz w:val="20"/>
                <w:szCs w:val="20"/>
                <w:color w:val="auto"/>
              </w:rPr>
            </w:pPr>
            <w:r>
              <w:rPr>
                <w:rFonts w:ascii="Arial" w:cs="Arial" w:eastAsia="Arial" w:hAnsi="Arial"/>
                <w:sz w:val="18"/>
                <w:szCs w:val="18"/>
                <w:color w:val="auto"/>
              </w:rPr>
              <w:t>Weighted-average incremental borrowing rate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9.09 %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8.89 %</w:t>
            </w:r>
          </w:p>
        </w:tc>
      </w:tr>
    </w:tbl>
    <w:p>
      <w:pPr>
        <w:spacing w:after="0" w:line="332" w:lineRule="exact"/>
        <w:rPr>
          <w:sz w:val="20"/>
          <w:szCs w:val="20"/>
          <w:color w:val="auto"/>
        </w:rPr>
      </w:pPr>
    </w:p>
    <w:p>
      <w:pPr>
        <w:ind w:left="332" w:right="20" w:firstLine="324"/>
        <w:spacing w:after="0" w:line="342" w:lineRule="auto"/>
        <w:rPr>
          <w:sz w:val="20"/>
          <w:szCs w:val="20"/>
          <w:color w:val="auto"/>
        </w:rPr>
      </w:pPr>
      <w:r>
        <w:rPr>
          <w:rFonts w:ascii="Arial" w:cs="Arial" w:eastAsia="Arial" w:hAnsi="Arial"/>
          <w:sz w:val="16"/>
          <w:szCs w:val="16"/>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51"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9240" w:type="dxa"/>
            <w:vAlign w:val="bottom"/>
            <w:gridSpan w:val="2"/>
          </w:tcPr>
          <w:p>
            <w:pPr>
              <w:ind w:left="320"/>
              <w:spacing w:after="0"/>
              <w:rPr>
                <w:sz w:val="20"/>
                <w:szCs w:val="20"/>
                <w:color w:val="auto"/>
              </w:rPr>
            </w:pPr>
            <w:r>
              <w:rPr>
                <w:rFonts w:ascii="Arial" w:cs="Arial" w:eastAsia="Arial" w:hAnsi="Arial"/>
                <w:sz w:val="18"/>
                <w:szCs w:val="18"/>
                <w:color w:val="auto"/>
                <w:w w:val="93"/>
              </w:rPr>
              <w:t>The remaining maturities of lease liabilities by fiscal year as of January 30, 2021 are as follows (amounts in thousands):</w:t>
            </w:r>
          </w:p>
        </w:tc>
        <w:tc>
          <w:tcPr>
            <w:tcW w:w="11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720" w:type="dxa"/>
            <w:vAlign w:val="bottom"/>
            <w:shd w:val="clear" w:color="auto" w:fill="CCEEFF"/>
          </w:tcPr>
          <w:p>
            <w:pPr>
              <w:jc w:val="right"/>
              <w:ind w:right="25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196,948</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2022</w:t>
            </w:r>
          </w:p>
        </w:tc>
        <w:tc>
          <w:tcPr>
            <w:tcW w:w="2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195,066</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187,159</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2024</w:t>
            </w:r>
          </w:p>
        </w:tc>
        <w:tc>
          <w:tcPr>
            <w:tcW w:w="2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178,871</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172,918</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2026</w:t>
            </w:r>
          </w:p>
        </w:tc>
        <w:tc>
          <w:tcPr>
            <w:tcW w:w="2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164,884</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2026</w:t>
            </w:r>
          </w:p>
        </w:tc>
        <w:tc>
          <w:tcPr>
            <w:tcW w:w="2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887,391</w:t>
            </w:r>
          </w:p>
        </w:tc>
      </w:tr>
      <w:tr>
        <w:trPr>
          <w:trHeight w:val="223"/>
        </w:trPr>
        <w:tc>
          <w:tcPr>
            <w:tcW w:w="6520" w:type="dxa"/>
            <w:vAlign w:val="bottom"/>
          </w:tcPr>
          <w:p>
            <w:pPr>
              <w:ind w:left="220"/>
              <w:spacing w:after="0" w:line="223" w:lineRule="exact"/>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3"/>
                <w:szCs w:val="23"/>
                <w:color w:val="auto"/>
                <w:vertAlign w:val="superscript"/>
              </w:rPr>
              <w:t>(1)</w:t>
            </w:r>
          </w:p>
        </w:tc>
        <w:tc>
          <w:tcPr>
            <w:tcW w:w="27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1,983,237</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27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(752,811)</w:t>
            </w: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color w:val="auto"/>
              </w:rPr>
              <w:t>Present value of lease liabilities</w:t>
            </w:r>
          </w:p>
        </w:tc>
        <w:tc>
          <w:tcPr>
            <w:tcW w:w="272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1,230,426</w:t>
            </w:r>
          </w:p>
        </w:tc>
      </w:tr>
      <w:tr>
        <w:trPr>
          <w:trHeight w:val="21"/>
        </w:trPr>
        <w:tc>
          <w:tcPr>
            <w:tcW w:w="65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592" w:hanging="187"/>
        <w:spacing w:after="0"/>
        <w:tabs>
          <w:tab w:leader="none" w:pos="592" w:val="left"/>
        </w:tabs>
        <w:numPr>
          <w:ilvl w:val="1"/>
          <w:numId w:val="69"/>
        </w:numPr>
        <w:rPr>
          <w:rFonts w:ascii="Arial" w:cs="Arial" w:eastAsia="Arial" w:hAnsi="Arial"/>
          <w:sz w:val="22"/>
          <w:szCs w:val="22"/>
          <w:color w:val="auto"/>
          <w:vertAlign w:val="superscript"/>
        </w:rPr>
      </w:pPr>
      <w:r>
        <w:rPr>
          <w:rFonts w:ascii="Arial" w:cs="Arial" w:eastAsia="Arial" w:hAnsi="Arial"/>
          <w:sz w:val="17"/>
          <w:szCs w:val="17"/>
          <w:color w:val="auto"/>
        </w:rPr>
        <w:t>Minimum lease payments have not been reduced by sublease rentals of $1.7 million due in the future under non-cancelable subleases.</w:t>
      </w:r>
    </w:p>
    <w:p>
      <w:pPr>
        <w:spacing w:after="0" w:line="200" w:lineRule="exact"/>
        <w:rPr>
          <w:rFonts w:ascii="Arial" w:cs="Arial" w:eastAsia="Arial" w:hAnsi="Arial"/>
          <w:sz w:val="22"/>
          <w:szCs w:val="22"/>
          <w:color w:val="auto"/>
          <w:vertAlign w:val="superscript"/>
        </w:rPr>
      </w:pPr>
    </w:p>
    <w:p>
      <w:pPr>
        <w:spacing w:after="0" w:line="267" w:lineRule="exact"/>
        <w:rPr>
          <w:rFonts w:ascii="Arial" w:cs="Arial" w:eastAsia="Arial" w:hAnsi="Arial"/>
          <w:sz w:val="22"/>
          <w:szCs w:val="22"/>
          <w:color w:val="auto"/>
          <w:vertAlign w:val="superscript"/>
        </w:rPr>
      </w:pPr>
    </w:p>
    <w:p>
      <w:pPr>
        <w:ind w:left="332" w:right="8820" w:hanging="332"/>
        <w:spacing w:after="0" w:line="566" w:lineRule="auto"/>
        <w:tabs>
          <w:tab w:leader="none" w:pos="327"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Monitoring Agreement</w:t>
      </w:r>
    </w:p>
    <w:p>
      <w:pPr>
        <w:ind w:left="652"/>
        <w:spacing w:after="0"/>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w:t>
      </w:r>
    </w:p>
    <w:p>
      <w:pPr>
        <w:spacing w:after="0" w:line="46" w:lineRule="exact"/>
        <w:rPr>
          <w:sz w:val="20"/>
          <w:szCs w:val="20"/>
          <w:color w:val="auto"/>
        </w:rPr>
      </w:pPr>
    </w:p>
    <w:p>
      <w:pPr>
        <w:jc w:val="both"/>
        <w:ind w:left="332" w:hanging="8"/>
        <w:spacing w:after="0" w:line="271" w:lineRule="auto"/>
        <w:tabs>
          <w:tab w:leader="none" w:pos="517" w:val="left"/>
        </w:tabs>
        <w:numPr>
          <w:ilvl w:val="0"/>
          <w:numId w:val="71"/>
        </w:numPr>
        <w:rPr>
          <w:rFonts w:ascii="Arial" w:cs="Arial" w:eastAsia="Arial" w:hAnsi="Arial"/>
          <w:sz w:val="17"/>
          <w:szCs w:val="17"/>
          <w:color w:val="auto"/>
        </w:rPr>
      </w:pPr>
      <w:r>
        <w:rPr>
          <w:rFonts w:ascii="Arial" w:cs="Arial" w:eastAsia="Arial" w:hAnsi="Arial"/>
          <w:sz w:val="17"/>
          <w:szCs w:val="17"/>
          <w:color w:val="auto"/>
        </w:rPr>
        <w:t>Co. L.P. (the "Adviser") pursuant to which the Adviser provides advisory, consulting and financial services to us. In accordance with the terms of the Monitoring Agreement, we paid an aggregate annual advisory fee which increases by 5.0% annually on each anniversary of the Effective Date. The Adviser also charged us a customary fee for services rendered in connection with securing, structuring and negotiating equity and debt financings by us. Additionally, we were required to reimburse the Adviser for any out-of-pocket expenses in connection with these services. The Monitoring Agreement continued in effect from year-to-year, unless amended or terminated by the Adviser and us.</w:t>
      </w:r>
    </w:p>
    <w:p>
      <w:pPr>
        <w:spacing w:after="0" w:line="27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5" w:right="339" w:bottom="1440" w:gutter="0" w:footer="0" w:header="0"/>
        </w:sectPr>
      </w:pPr>
    </w:p>
    <w:bookmarkStart w:id="105" w:name="page106"/>
    <w:bookmarkEnd w:id="105"/>
    <w:p>
      <w:pPr>
        <w:jc w:val="both"/>
        <w:ind w:firstLine="324"/>
        <w:spacing w:after="0" w:line="275" w:lineRule="auto"/>
        <w:rPr>
          <w:sz w:val="20"/>
          <w:szCs w:val="20"/>
          <w:color w:val="auto"/>
        </w:rPr>
      </w:pPr>
      <w:r>
        <w:rPr>
          <w:rFonts w:ascii="Arial" w:cs="Arial" w:eastAsia="Arial" w:hAnsi="Arial"/>
          <w:sz w:val="17"/>
          <w:szCs w:val="17"/>
          <w:color w:val="auto"/>
        </w:rPr>
        <w:t>Upon the completion of the IPO, in the third quarter of 2020 the Monitoring Agreement terminated and we recognized the final termination fee of $12.3 million. The termination fee is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of approximately $14.8 million, $3.6 million and $3.5 million in 2020, 2019 and 2018, respectively. These expenses are included in selling, general and administrative expenses in the consolidated statements of income.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Other Fee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6, 2020, ASO, Inc. completed the IPO. The Company paid $2.7 million in fees to KKR Capital Markets LLC ("KCM"), an affiliate of KKR, for underwriting services in connection with the IPO.</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November 3, 2020, ASO, Inc. completed the IPO Over-Allotment Exercise. The Company paid $0.3 million in fees to KCM for underwriting services in connection with the IPO Over-Allotment Exercise.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November 6, 2020, the Company issued the Notes, entered into the 2020 Term Loan Facility, and entered into the 2020 ABL Amendment. The Company paid $2.5 million in fees to KCM in connection with the Refinancing Transactions. These fees are recorded as deferred loan costs, net of amortization, within the long-term debt on the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27, 2021, in connection with the Secondary Offering, the Company entered into an Underwriting Agreement with affiliates of KKR (as selling stockholders), the several other selling stockholders named therein, and the several underwriters named therein, including KCM (as underwriter). The Secondary Offering was completed on February 1, 2021. The Company did not pay KCM any fees in connection with the Secondary Offering.</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For the fiscal years ended February 1, 2020 and February 2, 2019, executives and directors of the Company made cash purchases of Redeemable Membership Units in Managers for approximately $0.1 million and $1.3 million, respectively. The cash consideration paid for the Redeemable Membership Units was concurrently contributed to NAHC by Managers in exchange for a number of NAHC Membership Units equal to the number of Redeemable Membership Units purchased. There were no investments in Managers for the fiscal year ended January 30, 2021.</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January 30, 2021, Managers repurchased at fair market value approximately $37.0 thousand of Redeemable Membership Units from a director of the Company for cash. During the year ended February 1, 2020, Managers repurchased at fair market value approximately $0.5 million of Redeemable Membership Units from a director and an executive of the Company for cash. NAHC concurrently repurchased from Managers for cash, at fair market value, a number of NAHC membership units equal to the number of Redeemable Membership Units repurchased from the director and executive.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 from Member and Distribution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October 1, 2020, under NAHC's LLC agreement, certain members could require the Company to provide a tax loan on their behalf under certain circumstances. On April 10, 2019, the Company loaned $4.0 million with a note receivable issued to a member. The note receivable bears semi-annual compounding interest at 2.5% with outstanding principal and interest due on April 10, 2022. This note receivable was recorded in other non-current assets on the balance sheet.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The note receivable bears semi-annual compounding interest at 2.1%, with outstanding principal and interest due on April 5, 2021, and was recorded in prepaid expenses and other non-current assets on the balance sheet.</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9). Of the $257.0 million, $8.5 million was used to offset and satisfy the remaining balances of the notes receivable and related interest receivable from a member.</w:t>
      </w:r>
    </w:p>
    <w:p>
      <w:pPr>
        <w:spacing w:after="0" w:line="27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106" w:name="page107"/>
    <w:bookmarkEnd w:id="106"/>
    <w:p>
      <w:pPr>
        <w:ind w:left="332" w:right="7580" w:hanging="332"/>
        <w:spacing w:after="0" w:line="641" w:lineRule="auto"/>
        <w:tabs>
          <w:tab w:leader="none" w:pos="327"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Technology Related Commitments and Other</w:t>
      </w:r>
    </w:p>
    <w:p>
      <w:pPr>
        <w:spacing w:after="0" w:line="1" w:lineRule="exact"/>
        <w:rPr>
          <w:sz w:val="20"/>
          <w:szCs w:val="20"/>
          <w:color w:val="auto"/>
        </w:rPr>
      </w:pPr>
    </w:p>
    <w:p>
      <w:pPr>
        <w:jc w:val="both"/>
        <w:ind w:left="332" w:firstLine="324"/>
        <w:spacing w:after="0" w:line="308" w:lineRule="auto"/>
        <w:rPr>
          <w:sz w:val="20"/>
          <w:szCs w:val="20"/>
          <w:color w:val="auto"/>
        </w:rPr>
      </w:pPr>
      <w:r>
        <w:rPr>
          <w:rFonts w:ascii="Arial" w:cs="Arial" w:eastAsia="Arial" w:hAnsi="Arial"/>
          <w:sz w:val="17"/>
          <w:szCs w:val="17"/>
          <w:color w:val="auto"/>
        </w:rPr>
        <w:t>As of January 30, 2021, we have obligations under technology related contractual commitments as well as other commitments, such as construction commitments, in the amount of $10.8 million. Of such commitments, approximately $8.8 million is payable in the next 12 months.</w:t>
      </w:r>
    </w:p>
    <w:p>
      <w:pPr>
        <w:spacing w:after="0" w:line="173"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252"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w:t>
      </w:r>
    </w:p>
    <w:p>
      <w:pPr>
        <w:spacing w:after="0" w:line="204"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252" w:lineRule="exact"/>
        <w:rPr>
          <w:sz w:val="20"/>
          <w:szCs w:val="20"/>
          <w:color w:val="auto"/>
        </w:rPr>
      </w:pPr>
    </w:p>
    <w:p>
      <w:pPr>
        <w:jc w:val="both"/>
        <w:ind w:left="332" w:firstLine="324"/>
        <w:spacing w:after="0" w:line="275"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January 30, 2021, we have $12.2 million in related commitments through 2027, of which $6.9 million is payable in next 12 months.</w:t>
      </w:r>
    </w:p>
    <w:p>
      <w:pPr>
        <w:spacing w:after="0" w:line="200" w:lineRule="exact"/>
        <w:rPr>
          <w:sz w:val="20"/>
          <w:szCs w:val="20"/>
          <w:color w:val="auto"/>
        </w:rPr>
      </w:pPr>
    </w:p>
    <w:p>
      <w:pPr>
        <w:spacing w:after="0" w:line="242" w:lineRule="exact"/>
        <w:rPr>
          <w:sz w:val="20"/>
          <w:szCs w:val="20"/>
          <w:color w:val="auto"/>
        </w:rPr>
      </w:pPr>
    </w:p>
    <w:p>
      <w:pPr>
        <w:ind w:left="332" w:right="9100" w:hanging="332"/>
        <w:spacing w:after="0" w:line="534" w:lineRule="auto"/>
        <w:tabs>
          <w:tab w:leader="none" w:pos="327"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401(k) Plan</w:t>
      </w:r>
    </w:p>
    <w:p>
      <w:pPr>
        <w:spacing w:after="0" w:line="1"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We sponsor a safe harbor defined contribution 401(k) profit sharing plan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the money contributed by a plan participant to the 401(k) Plan each pay period, on a dollar-for-dollar basis, up to 6% of a plan participant’s eligible compensation during such pay period. Annual Company profit sharing contributions are made at the discretion of our board of directors, subject to certain limitations. The 401(k) Plan may be amended or terminated at our discretion. Employer contributions related to the 401(k) Plan totaled $13.2 million, $12.4 million and $11.9 million in 2020, 2019 and 2018, respectively.</w:t>
      </w:r>
    </w:p>
    <w:p>
      <w:pPr>
        <w:spacing w:after="0" w:line="200" w:lineRule="exact"/>
        <w:rPr>
          <w:sz w:val="20"/>
          <w:szCs w:val="20"/>
          <w:color w:val="auto"/>
        </w:rPr>
      </w:pPr>
    </w:p>
    <w:p>
      <w:pPr>
        <w:spacing w:after="0" w:line="31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34"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56" w:lineRule="exact"/>
        <w:rPr>
          <w:sz w:val="20"/>
          <w:szCs w:val="20"/>
          <w:color w:val="auto"/>
        </w:rPr>
      </w:pPr>
    </w:p>
    <w:p>
      <w:pPr>
        <w:ind w:left="340" w:firstLine="324"/>
        <w:spacing w:after="0" w:line="271" w:lineRule="auto"/>
        <w:rPr>
          <w:sz w:val="20"/>
          <w:szCs w:val="20"/>
          <w:color w:val="auto"/>
        </w:rPr>
      </w:pPr>
      <w:r>
        <w:rPr>
          <w:rFonts w:ascii="Arial" w:cs="Arial" w:eastAsia="Arial" w:hAnsi="Arial"/>
          <w:sz w:val="18"/>
          <w:szCs w:val="18"/>
          <w:color w:val="auto"/>
        </w:rPr>
        <w:t>The summarized quarterly financial information for the fiscal years ended 2020 and 2019 are reflected in the table below (in thousands, except earnings per share data):</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4"/>
              </w:rPr>
              <w:t>1st</w:t>
            </w:r>
          </w:p>
        </w:tc>
        <w:tc>
          <w:tcPr>
            <w:tcW w:w="320" w:type="dxa"/>
            <w:vAlign w:val="bottom"/>
          </w:tcPr>
          <w:p>
            <w:pPr>
              <w:spacing w:after="0"/>
              <w:rPr>
                <w:sz w:val="19"/>
                <w:szCs w:val="19"/>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2nd</w:t>
            </w:r>
          </w:p>
        </w:tc>
        <w:tc>
          <w:tcPr>
            <w:tcW w:w="320" w:type="dxa"/>
            <w:vAlign w:val="bottom"/>
          </w:tcPr>
          <w:p>
            <w:pPr>
              <w:spacing w:after="0"/>
              <w:rPr>
                <w:sz w:val="19"/>
                <w:szCs w:val="19"/>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3rd</w:t>
            </w:r>
          </w:p>
        </w:tc>
        <w:tc>
          <w:tcPr>
            <w:tcW w:w="320" w:type="dxa"/>
            <w:vAlign w:val="bottom"/>
          </w:tcPr>
          <w:p>
            <w:pPr>
              <w:spacing w:after="0"/>
              <w:rPr>
                <w:sz w:val="19"/>
                <w:szCs w:val="19"/>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4th</w:t>
            </w:r>
          </w:p>
        </w:tc>
      </w:tr>
      <w:tr>
        <w:trPr>
          <w:trHeight w:val="234"/>
        </w:trPr>
        <w:tc>
          <w:tcPr>
            <w:tcW w:w="3440" w:type="dxa"/>
            <w:vAlign w:val="bottom"/>
          </w:tcPr>
          <w:p>
            <w:pPr>
              <w:ind w:left="20"/>
              <w:spacing w:after="0"/>
              <w:rPr>
                <w:sz w:val="20"/>
                <w:szCs w:val="20"/>
                <w:color w:val="auto"/>
              </w:rPr>
            </w:pPr>
            <w:r>
              <w:rPr>
                <w:rFonts w:ascii="Arial" w:cs="Arial" w:eastAsia="Arial" w:hAnsi="Arial"/>
                <w:sz w:val="16"/>
                <w:szCs w:val="16"/>
                <w:i w:val="1"/>
                <w:iCs w:val="1"/>
                <w:color w:val="auto"/>
              </w:rPr>
              <w:t>(amounts in thousands)</w:t>
            </w: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Quarter</w:t>
            </w:r>
          </w:p>
        </w:tc>
        <w:tc>
          <w:tcPr>
            <w:tcW w:w="320" w:type="dxa"/>
            <w:vAlign w:val="bottom"/>
          </w:tcPr>
          <w:p>
            <w:pPr>
              <w:spacing w:after="0"/>
              <w:rPr>
                <w:sz w:val="20"/>
                <w:szCs w:val="20"/>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Quarter</w:t>
            </w:r>
          </w:p>
        </w:tc>
        <w:tc>
          <w:tcPr>
            <w:tcW w:w="320" w:type="dxa"/>
            <w:vAlign w:val="bottom"/>
          </w:tcPr>
          <w:p>
            <w:pPr>
              <w:spacing w:after="0"/>
              <w:rPr>
                <w:sz w:val="20"/>
                <w:szCs w:val="20"/>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Quarter</w:t>
            </w:r>
          </w:p>
        </w:tc>
        <w:tc>
          <w:tcPr>
            <w:tcW w:w="3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Quarter</w:t>
            </w:r>
          </w:p>
        </w:tc>
      </w:tr>
      <w:tr>
        <w:trPr>
          <w:trHeight w:val="209"/>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1,136,301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1,606,420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1,349,076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1,597,436</w:t>
            </w: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297,945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496,501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440,511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499,088</w:t>
            </w: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14,022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183,788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81,556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141,032</w:t>
            </w: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early retirement of debt, net</w:t>
            </w: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4,249</w:t>
            </w: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(10,020)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167,676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59,586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91,522</w:t>
            </w:r>
          </w:p>
        </w:tc>
      </w:tr>
      <w:tr>
        <w:trPr>
          <w:trHeight w:val="108"/>
        </w:trPr>
        <w:tc>
          <w:tcPr>
            <w:tcW w:w="3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3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r>
      <w:tr>
        <w:trPr>
          <w:trHeight w:val="229"/>
        </w:trPr>
        <w:tc>
          <w:tcPr>
            <w:tcW w:w="3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(0.14)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0.74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0.97</w:t>
            </w:r>
          </w:p>
        </w:tc>
      </w:tr>
      <w:tr>
        <w:trPr>
          <w:trHeight w:val="108"/>
        </w:trPr>
        <w:tc>
          <w:tcPr>
            <w:tcW w:w="34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w w:val="88"/>
              </w:rPr>
              <w:t>Weighted average common shares outstanding:</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3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76,771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90,253</w:t>
            </w:r>
          </w:p>
        </w:tc>
      </w:tr>
      <w:tr>
        <w:trPr>
          <w:trHeight w:val="230"/>
        </w:trPr>
        <w:tc>
          <w:tcPr>
            <w:tcW w:w="3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72,474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74,439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80,714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94,377</w:t>
            </w:r>
          </w:p>
        </w:tc>
      </w:tr>
      <w:tr>
        <w:trPr>
          <w:trHeight w:val="257"/>
        </w:trPr>
        <w:tc>
          <w:tcPr>
            <w:tcW w:w="3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1,076,792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1,145,203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1,370,492</w:t>
            </w: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312,996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385,204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362,422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370,532</w:t>
            </w:r>
          </w:p>
        </w:tc>
      </w:tr>
      <w:tr>
        <w:trPr>
          <w:trHeight w:val="229"/>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42,217</w:t>
            </w:r>
          </w:p>
        </w:tc>
      </w:tr>
      <w:tr>
        <w:trPr>
          <w:trHeight w:val="230"/>
        </w:trPr>
        <w:tc>
          <w:tcPr>
            <w:tcW w:w="3440" w:type="dxa"/>
            <w:vAlign w:val="bottom"/>
          </w:tcPr>
          <w:p>
            <w:pPr>
              <w:ind w:left="20"/>
              <w:spacing w:after="0"/>
              <w:rPr>
                <w:sz w:val="20"/>
                <w:szCs w:val="20"/>
                <w:color w:val="auto"/>
              </w:rPr>
            </w:pPr>
            <w:r>
              <w:rPr>
                <w:rFonts w:ascii="Arial" w:cs="Arial" w:eastAsia="Arial" w:hAnsi="Arial"/>
                <w:sz w:val="18"/>
                <w:szCs w:val="18"/>
                <w:color w:val="auto"/>
              </w:rPr>
              <w:t>Gain on early retirement of debt,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(41,138)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17,738</w:t>
            </w:r>
          </w:p>
        </w:tc>
      </w:tr>
      <w:tr>
        <w:trPr>
          <w:trHeight w:val="108"/>
        </w:trPr>
        <w:tc>
          <w:tcPr>
            <w:tcW w:w="3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3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30"/>
        </w:trPr>
        <w:tc>
          <w:tcPr>
            <w:tcW w:w="3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108"/>
        </w:trPr>
        <w:tc>
          <w:tcPr>
            <w:tcW w:w="3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Weighted average common shares outstanding: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44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72,468</w:t>
            </w:r>
          </w:p>
        </w:tc>
      </w:tr>
      <w:tr>
        <w:trPr>
          <w:trHeight w:val="230"/>
        </w:trPr>
        <w:tc>
          <w:tcPr>
            <w:tcW w:w="3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74,974</w:t>
            </w:r>
          </w:p>
        </w:tc>
      </w:tr>
    </w:tbl>
    <w:p>
      <w:pPr>
        <w:spacing w:after="0" w:line="65" w:lineRule="exact"/>
        <w:rPr>
          <w:sz w:val="20"/>
          <w:szCs w:val="20"/>
          <w:color w:val="auto"/>
        </w:rPr>
      </w:pPr>
    </w:p>
    <w:p>
      <w:pPr>
        <w:ind w:left="480" w:hanging="148"/>
        <w:spacing w:after="0"/>
        <w:tabs>
          <w:tab w:leader="none" w:pos="48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882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340" w:type="dxa"/>
            <w:vAlign w:val="bottom"/>
            <w:tcBorders>
              <w:top w:val="single" w:sz="8" w:color="auto"/>
            </w:tcBorders>
            <w:gridSpan w:val="3"/>
            <w:shd w:val="clear" w:color="auto" w:fill="CCEEFF"/>
          </w:tcPr>
          <w:p>
            <w:pPr>
              <w:ind w:left="20"/>
              <w:spacing w:after="0" w:line="182" w:lineRule="exact"/>
              <w:rPr>
                <w:rFonts w:ascii="Arial" w:cs="Arial" w:eastAsia="Arial" w:hAnsi="Arial"/>
                <w:sz w:val="18"/>
                <w:szCs w:val="18"/>
                <w:color w:val="0000FF"/>
              </w:rPr>
            </w:pPr>
            <w:hyperlink r:id="rId13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Amended and Restated Certificate of Incorporation of the Registrant (incorporated by reference to Exhibit 3.1 to the</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Registrant’s Current Report on Form 8-K filed on October 6, 2020).</w:t>
            </w: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rPr>
            </w:pPr>
            <w:hyperlink r:id="rId13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Amended and Restated Bylaws of the Registrant (incorporated by reference to Exhibit 3.2 to the Registrant’s Current</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Report on Form 8-K filed on October 6, 2020).</w:t>
            </w: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39">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Amendment to the Registration Rights Agreement, dated as of October 6, 2020, by and among the Registrant, Allstar</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LLC and New Academy Holding Company, LLC (incorporated by reference to Exhibit 4.1 to the Registrant’s Current</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 on Form 8-K filed on October 6, 2020).</w:t>
            </w: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0"/>
              </w:rPr>
              <w:t>Indenture, dated as of November 6, 2020, by and among Academy, Ltd., as issuer, the guarantors named therein and The</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Bank of New York Mellon Trust Company, N.A., as trustee and notes collateral agent (incorporated by reference to</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Exhibit 4.1 to the Registrant’s Current Report on Form 8-K filed on November 6, 2020).</w:t>
            </w:r>
          </w:p>
        </w:tc>
      </w:tr>
      <w:tr>
        <w:trPr>
          <w:trHeight w:val="189"/>
        </w:trPr>
        <w:tc>
          <w:tcPr>
            <w:tcW w:w="20" w:type="dxa"/>
            <w:vAlign w:val="bottom"/>
            <w:shd w:val="clear" w:color="auto" w:fill="CCEEFF"/>
          </w:tcPr>
          <w:p>
            <w:pPr>
              <w:spacing w:after="0"/>
              <w:rPr>
                <w:sz w:val="16"/>
                <w:szCs w:val="16"/>
                <w:color w:val="auto"/>
              </w:rPr>
            </w:pPr>
          </w:p>
        </w:tc>
        <w:tc>
          <w:tcPr>
            <w:tcW w:w="2300" w:type="dxa"/>
            <w:vAlign w:val="bottom"/>
            <w:gridSpan w:val="3"/>
            <w:shd w:val="clear" w:color="auto" w:fill="CCEEFF"/>
          </w:tcPr>
          <w:p>
            <w:pPr>
              <w:spacing w:after="0" w:line="189" w:lineRule="exact"/>
              <w:rPr>
                <w:rFonts w:ascii="Arial" w:cs="Arial" w:eastAsia="Arial" w:hAnsi="Arial"/>
                <w:sz w:val="18"/>
                <w:szCs w:val="18"/>
                <w:color w:val="0000FF"/>
              </w:rPr>
            </w:pPr>
            <w:hyperlink w:anchor="page115">
              <w:r>
                <w:rPr>
                  <w:rFonts w:ascii="Arial" w:cs="Arial" w:eastAsia="Arial" w:hAnsi="Arial"/>
                  <w:sz w:val="18"/>
                  <w:szCs w:val="18"/>
                  <w:color w:val="0000FF"/>
                </w:rPr>
                <w:t>4.</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Description of Securities Registered Under Section 12 of the Exchange Act.</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300" w:type="dxa"/>
            <w:vAlign w:val="bottom"/>
            <w:gridSpan w:val="3"/>
          </w:tcPr>
          <w:p>
            <w:pPr>
              <w:spacing w:after="0" w:line="189" w:lineRule="exact"/>
              <w:rPr>
                <w:rFonts w:ascii="Arial" w:cs="Arial" w:eastAsia="Arial" w:hAnsi="Arial"/>
                <w:sz w:val="18"/>
                <w:szCs w:val="18"/>
                <w:color w:val="0000FF"/>
              </w:rPr>
            </w:pPr>
            <w:hyperlink r:id="rId141">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Second Amended and Restated Credit Agreement, dated as of November 6, 2020, among Academy, Ltd., as Borrower,</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New Academy Holding Company, LLC, as Holdings, Associated Investors L.L.C. and Academy Managing Co., L.L.C.,</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3"/>
              </w:rPr>
              <w:t>as Texas Intermediate Holdcos, the several lenders from time to time party thereto, Credit Suisse AG, Cayman Islands</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4"/>
              </w:rPr>
              <w:t>Branch, as the administrative agent and collateral agent and the several other parties named therein (incorporated by</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reference to Exhibit 10.1 to the Registrant’s Current Report on Form 8-K filed on November 6, 2020).</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Amended and Restated Term Loan Security Agreement, dated as of July 2, 2015, among Academy, Ltd., as Borrower,</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each of the subsidiaries listed on the signature pages thereto, and Morgan Stanley Senior Funding, Inc., as collateral agent</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for the benefit of the secured parties (incorporated by reference to Exhibit 10.2 to the Registrant’s Registration Statement</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Form S-1 filed on September 23, 2020).</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8"/>
              </w:rPr>
              <w:t>Amended and Restated Term Loan Pledge Agreement, dated as of July 2, 2015, among New Academy Holding</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Company, LLC, as Holdings, Associated Investors L.L.C. and Academy Managing Co., L.L.C, as Texas Intermediate</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1"/>
              </w:rPr>
              <w:t>Holdcos, Academy, Ltd., as Borrower, each of the subsidiaries listed on the signature pages thereto and Morgan Stanley</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0"/>
              </w:rPr>
              <w:t>Senior Funding, Inc., as collateral agent for the benefit of the secured parties (incorporated by reference to Exhibit 10.3 to</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the Registrant’s Registration Statement on Form S-1 filed on September 23, 2020).</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ABL Intercreditor Agreement, dated July 2, 2015, among JPMorgan Chase Bank, N.A., as agent for the ABL Secured</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Parties referred to therein, Morgan Stanley Senior Funding, Inc., as administrative agent and collateral agent for the Term</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Loan Secured Parties referred to therein, New Academy Holding Company, LLC, as Holdings, Associated Investors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L.L.C. and Academy Managing Co., L.L.C, as Texas Intermediate Holdcos, Academy, Ltd., as Borrower, and each of the</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subsidiaries of the Borrower listed on the signature pages thereto (incorporated by reference to Exhibit 10.4 to the</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Joinder to ABL Intercreditor Agreement, dated November 6, 2020, among JPMorgan Chase Bank, N.A., as agent for the</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ABL Secured Parties referred to therein, Credit Suisse AG, Cayman Islands Branch, as agent for the Term Loan Secured</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rPr>
              <w:t>Parties referred to therein, and The Bank of New York Mellon Trust Company, N.A., as collateral agent for the</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8"/>
              </w:rPr>
              <w:t>Additional Debt Secured Parties referred to therein (incorporated by reference to Exhibit 10.5 to the Registrant’s</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Joinder to ABL Intercreditor Agreement, dated November 6, 2020, among JPMorgan Chase Bank, N.A., as agent for the</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ABL Secured Parties referred to therein, and Credit Suisse AG, Cayman Islands Branch, as agent for the Term Loan</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Secured Parties referred to therein (incorporated by reference to Exhibit 10.6 to the Registrant’s Registration Statement</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Form S-1 filed on January 25, 2021).</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First Lien Intercreditor Agreement, dated November 6, 2020, among Credit Suisse AG, Cayman Islands Branch, as First</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Lien Collateral Agent and Authorized Representative for the Credit Agreement Secured Parties referred to therein, The</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(incorporated by reference to Exhibit 10.7 to the Registrant’s Registration Statement on</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Form S-1 filed on January 25, 2021).</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First Amended and Restated ABL Credit Agreement, dated July 2, 2015, among Academy, Ltd., as Borrower, New</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Academy Holding Company, LLC, as Holdings, Associated Investors L.L.C. and Academy Managing Co., L.L.C, as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Texas Intermediate Holdcos, the lending institutions from time to time party thereto and JPMorgan Chase Bank, N.A., as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the Administrative Agent, the Collateral Agent, the Letter of Credit Issuer and the Swingline Lender (incorporated by</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reference to Exhibit 10.5 to the Registrant’s Registration Statement on Form S-1 filed on September 23, 2020).</w:t>
            </w:r>
          </w:p>
        </w:tc>
      </w:tr>
      <w:tr>
        <w:trPr>
          <w:trHeight w:val="63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109</w:t>
            </w:r>
          </w:p>
        </w:tc>
      </w:tr>
      <w:tr>
        <w:trPr>
          <w:trHeight w:val="358"/>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7"/>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420" w:type="dxa"/>
            <w:vAlign w:val="bottom"/>
            <w:tcBorders>
              <w:top w:val="single" w:sz="8" w:color="auto"/>
            </w:tcBorders>
            <w:gridSpan w:val="3"/>
          </w:tcPr>
          <w:p>
            <w:pPr>
              <w:ind w:left="20"/>
              <w:spacing w:after="0" w:line="182" w:lineRule="exact"/>
              <w:rPr>
                <w:rFonts w:ascii="Arial" w:cs="Arial" w:eastAsia="Arial" w:hAnsi="Arial"/>
                <w:sz w:val="18"/>
                <w:szCs w:val="18"/>
                <w:color w:val="0000FF"/>
              </w:rPr>
            </w:pPr>
            <w:hyperlink r:id="rId151">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w w:val="92"/>
              </w:rPr>
              <w:t>Amendment No. 1 to First Amended and Restated ABL Credit Agreement, dated as of May 22, 2018, among Academy,</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Ltd., as Borrower, New Academy Holding Company, LLC, as Holdings, Associated Investors L.L.C. and Academy</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4"/>
              </w:rPr>
              <w:t>Managing Co., L.L.C, as Texas Intermediate Holdcos, each of the Guarantors party thereto, each of the lenders party</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3"/>
              </w:rPr>
              <w:t>thereto and JPMorgan Chase Bank, N.A., as the Administrative Agent, the Collateral Agent, the Letter of Credit Issuer</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and the Swingline Lender (incorporated by reference to Exhibit 10.6 to the Registrant’s Registration Statement on Form</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S-1 filed on September 23, 2020).</w:t>
            </w:r>
          </w:p>
        </w:tc>
      </w:tr>
      <w:tr>
        <w:trPr>
          <w:trHeight w:val="189"/>
        </w:trPr>
        <w:tc>
          <w:tcPr>
            <w:tcW w:w="520" w:type="dxa"/>
            <w:vAlign w:val="bottom"/>
            <w:gridSpan w:val="5"/>
            <w:shd w:val="clear" w:color="auto" w:fill="CCEEFF"/>
          </w:tcPr>
          <w:p>
            <w:pPr>
              <w:ind w:left="20"/>
              <w:spacing w:after="0" w:line="189" w:lineRule="exact"/>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Amendment No. 2 to First Amended and Restated ABL Credit Agreement, dated as of November 6, 2020, among</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Academy, Ltd., as Borrower, New Academy Holding Company, LLC, as Holdings, Associated Investors, L.L.C. and</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Academy Managing Co., L.L.C., as Texas Intermediate Holdcos, the several lenders from time to time party thereto,</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JPMorgan Chase Bank, N.A., as the letter of credit issuer, administrative agent and collateral agent (incorporated by</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reference to Exhibit 10.2 to the Registrant’s Current Report on Form 8-K filed on November 6, 2020).</w:t>
            </w:r>
          </w:p>
        </w:tc>
      </w:tr>
      <w:tr>
        <w:trPr>
          <w:trHeight w:val="189"/>
        </w:trPr>
        <w:tc>
          <w:tcPr>
            <w:tcW w:w="440" w:type="dxa"/>
            <w:vAlign w:val="bottom"/>
            <w:gridSpan w:val="4"/>
          </w:tcPr>
          <w:p>
            <w:pPr>
              <w:ind w:left="20"/>
              <w:spacing w:after="0" w:line="189" w:lineRule="exact"/>
              <w:rPr>
                <w:rFonts w:ascii="Arial" w:cs="Arial" w:eastAsia="Arial" w:hAnsi="Arial"/>
                <w:sz w:val="18"/>
                <w:szCs w:val="18"/>
                <w:color w:val="0000FF"/>
                <w:w w:val="88"/>
              </w:rPr>
            </w:pPr>
            <w:hyperlink r:id="rId15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Amended and Restated ABL Security Agreement, dated as of July 2, 2015, among Academy, Ltd., as Borrower, each of</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the subsidiaries listed on the signature pages thereto, and JPMorgan Chase Bank, N.A., as collateral agent for the benefit</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of the secured parties (incorporated by reference to Exhibit 10.7 to the Registrant’s Registration Statement on Form S-1</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filed on September 23, 2020).</w:t>
            </w:r>
          </w:p>
        </w:tc>
      </w:tr>
      <w:tr>
        <w:trPr>
          <w:trHeight w:val="189"/>
        </w:trPr>
        <w:tc>
          <w:tcPr>
            <w:tcW w:w="520" w:type="dxa"/>
            <w:vAlign w:val="bottom"/>
            <w:gridSpan w:val="5"/>
            <w:shd w:val="clear" w:color="auto" w:fill="CCEEFF"/>
          </w:tcPr>
          <w:p>
            <w:pPr>
              <w:ind w:left="20"/>
              <w:spacing w:after="0" w:line="189" w:lineRule="exact"/>
              <w:rPr>
                <w:rFonts w:ascii="Arial" w:cs="Arial" w:eastAsia="Arial" w:hAnsi="Arial"/>
                <w:sz w:val="18"/>
                <w:szCs w:val="18"/>
                <w:color w:val="0000FF"/>
              </w:rPr>
            </w:pPr>
            <w:hyperlink r:id="rId154">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Amended and Restated ABL Pledge Agreement, dated July 2, 2015, among New Academy Holding Company, LLC, as</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Holdings, Associated Investors L.L.C. and Academy Managing Co., L.L.C, as Texas Intermediate Holdcos, Academy,</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Ltd., as Borrower, each of the subsidiaries listed on the signature pages thereto and JPMorgan Chase Bank, N.A., as</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collateral agent for the benefit of the secured parties (incorporated by reference to Exhibit 10.8 to the Registrant’s</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 Statement on Form S-1 filed on September 23, 2020).</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0"/>
              </w:rPr>
              <w:t>Notes Security Agreement, dated as of November 6, 2020, among Academy, Ltd., as Issuer, each of the guarantors listed</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on the signature pages thereto, and The Bank of New York Mellon Trust Company, N.A., as collateral agent for the</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9"/>
              </w:rPr>
              <w:t>benefit of the Secured Parties referred to therein (incorporated by reference to Exhibit 10.13 to the Registrant’s</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89"/>
        </w:trPr>
        <w:tc>
          <w:tcPr>
            <w:tcW w:w="520" w:type="dxa"/>
            <w:vAlign w:val="bottom"/>
            <w:gridSpan w:val="5"/>
            <w:shd w:val="clear" w:color="auto" w:fill="CCEEFF"/>
          </w:tcPr>
          <w:p>
            <w:pPr>
              <w:ind w:left="20"/>
              <w:spacing w:after="0" w:line="189" w:lineRule="exact"/>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Notes Pledge Agreement, dated as of November 6, 2020, among Academy, Ltd., as Issuer, each of the guarantors listed</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on the signature pages thereto, and The Bank of New York Mellon Trust Company, N.A., as collateral agent for the</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benefit of the Secured Parties referred to therein (incorporated by reference to Exhibit 10.14 to the Registrant’s</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89"/>
        </w:trPr>
        <w:tc>
          <w:tcPr>
            <w:tcW w:w="20" w:type="dxa"/>
            <w:vAlign w:val="bottom"/>
          </w:tcPr>
          <w:p>
            <w:pPr>
              <w:spacing w:after="0"/>
              <w:rPr>
                <w:sz w:val="16"/>
                <w:szCs w:val="16"/>
                <w:color w:val="auto"/>
              </w:rPr>
            </w:pPr>
          </w:p>
        </w:tc>
        <w:tc>
          <w:tcPr>
            <w:tcW w:w="2400" w:type="dxa"/>
            <w:vAlign w:val="bottom"/>
            <w:gridSpan w:val="7"/>
          </w:tcPr>
          <w:p>
            <w:pPr>
              <w:spacing w:after="0" w:line="189" w:lineRule="exact"/>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2020 Omnibus Incentive Plan (incorporated by reference to Exhibit 10.2 to the Registrant’s Quarterly Report on Form</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10-Q filed on December 10,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7"/>
            <w:shd w:val="clear" w:color="auto" w:fill="CCEEFF"/>
          </w:tcPr>
          <w:p>
            <w:pPr>
              <w:spacing w:after="0" w:line="189" w:lineRule="exact"/>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Time-Based Option Agreement under 2020 Omnibus Incentive Plan (incorporated by reference to Exhibit 10.10</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Amendment No. 1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7"/>
          </w:tcPr>
          <w:p>
            <w:pPr>
              <w:spacing w:after="0" w:line="189" w:lineRule="exact"/>
              <w:rPr>
                <w:rFonts w:ascii="Arial" w:cs="Arial" w:eastAsia="Arial" w:hAnsi="Arial"/>
                <w:sz w:val="18"/>
                <w:szCs w:val="18"/>
                <w:color w:val="0000FF"/>
              </w:rPr>
            </w:pPr>
            <w:hyperlink r:id="rId159">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Non-Employee Director Restricted Stock Unit Agreement under 2020 Omnibus Incentive Plan (incorporated by</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reference to Exhibit 10.11 to Amendment No. 1 to the Registrant’s Registration Statement on Form S-1 filed on</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7"/>
            <w:shd w:val="clear" w:color="auto" w:fill="CCEEFF"/>
          </w:tcPr>
          <w:p>
            <w:pPr>
              <w:spacing w:after="0" w:line="189" w:lineRule="exact"/>
              <w:rPr>
                <w:rFonts w:ascii="Arial" w:cs="Arial" w:eastAsia="Arial" w:hAnsi="Arial"/>
                <w:sz w:val="18"/>
                <w:szCs w:val="18"/>
                <w:color w:val="0000FF"/>
              </w:rPr>
            </w:pPr>
            <w:hyperlink r:id="rId160">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2020 Form of Performance-Based Restricted Stock Unit Agreement under 2020 Omnibus Incentive Plan (incorporated by</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reference to Exhibit 10.12 to Amendment No. 1 to the Registrant’s Registration Statement on Form S-1 filed on</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23, 2020).</w:t>
            </w:r>
          </w:p>
        </w:tc>
      </w:tr>
      <w:tr>
        <w:trPr>
          <w:trHeight w:val="189"/>
        </w:trPr>
        <w:tc>
          <w:tcPr>
            <w:tcW w:w="20" w:type="dxa"/>
            <w:vAlign w:val="bottom"/>
          </w:tcPr>
          <w:p>
            <w:pPr>
              <w:spacing w:after="0"/>
              <w:rPr>
                <w:sz w:val="16"/>
                <w:szCs w:val="16"/>
                <w:color w:val="auto"/>
              </w:rPr>
            </w:pPr>
          </w:p>
        </w:tc>
        <w:tc>
          <w:tcPr>
            <w:tcW w:w="2400" w:type="dxa"/>
            <w:vAlign w:val="bottom"/>
            <w:gridSpan w:val="7"/>
          </w:tcPr>
          <w:p>
            <w:pPr>
              <w:spacing w:after="0" w:line="189" w:lineRule="exact"/>
              <w:rPr>
                <w:rFonts w:ascii="Arial" w:cs="Arial" w:eastAsia="Arial" w:hAnsi="Arial"/>
                <w:sz w:val="18"/>
                <w:szCs w:val="18"/>
                <w:color w:val="0000FF"/>
              </w:rPr>
            </w:pPr>
            <w:hyperlink w:anchor="page123">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rPr>
              <w:t>2021 Form of Performance-Based Restricted Stock Unit Agreement under the 2020 Omnibus Incentive Plan.</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spacing w:after="0"/>
              <w:rPr>
                <w:sz w:val="17"/>
                <w:szCs w:val="17"/>
                <w:color w:val="auto"/>
              </w:rPr>
            </w:pP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7"/>
            <w:shd w:val="clear" w:color="auto" w:fill="CCEEFF"/>
          </w:tcPr>
          <w:p>
            <w:pPr>
              <w:spacing w:after="0" w:line="189" w:lineRule="exact"/>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2011 Unit Incentive Plan (incorporated by reference to Exhibit 10.13 to the Registrant’s Registration Statement on Form</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7"/>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2020 CEO Option Agreement under 2011 Unit Incentive Plan (incorporated by reference to Exhibit 10.14 to the</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7"/>
            <w:shd w:val="clear" w:color="auto" w:fill="CCEEFF"/>
          </w:tcPr>
          <w:p>
            <w:pPr>
              <w:spacing w:after="0" w:line="189" w:lineRule="exact"/>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2020 Executive Option Agreement under 2011 Unit Incentive Plan (incorporated by reference to Exhibit 10.15</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7"/>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2019 CEO Option Agreement under 2011 Unit Incentive Plan (incorporated by reference to Exhibit 10.16 to the</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7"/>
            <w:shd w:val="clear" w:color="auto" w:fill="CCEEFF"/>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2019 Executive Option Agreement under 2011 Unit Incentive Plan (incorporated by reference to Exhibit 10.17</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63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110</w:t>
            </w:r>
          </w:p>
        </w:tc>
      </w:tr>
      <w:tr>
        <w:trPr>
          <w:trHeight w:val="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5"/>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2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gridSpan w:val="4"/>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00" w:type="dxa"/>
            <w:vAlign w:val="bottom"/>
          </w:tcPr>
          <w:p>
            <w:pPr>
              <w:spacing w:after="0"/>
              <w:rPr>
                <w:sz w:val="15"/>
                <w:szCs w:val="15"/>
                <w:color w:val="auto"/>
              </w:rPr>
            </w:pPr>
          </w:p>
        </w:tc>
        <w:tc>
          <w:tcPr>
            <w:tcW w:w="882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w w:val="92"/>
              </w:rPr>
              <w:t>Form of 2018 CEO Option Agreement under 2011 Unit Incentive Plan (incorporated by reference to Exhibit 10.18 to the</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2018 Executive Option Agreement under 2011 Unit Incentive Plan (incorporated by reference to Exhibit 10.19</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Arial" w:cs="Arial" w:eastAsia="Arial" w:hAnsi="Arial"/>
                <w:sz w:val="18"/>
                <w:szCs w:val="18"/>
                <w:color w:val="0000FF"/>
              </w:rPr>
            </w:pPr>
            <w:hyperlink w:anchor="page134">
              <w:r>
                <w:rPr>
                  <w:rFonts w:ascii="Arial" w:cs="Arial" w:eastAsia="Arial" w:hAnsi="Arial"/>
                  <w:sz w:val="18"/>
                  <w:szCs w:val="18"/>
                  <w:color w:val="0000FF"/>
                </w:rPr>
                <w:t>10.</w:t>
              </w:r>
            </w:hyperlink>
            <w:r>
              <w:rPr>
                <w:rFonts w:ascii="Arial" w:cs="Arial" w:eastAsia="Arial" w:hAnsi="Arial"/>
                <w:sz w:val="18"/>
                <w:szCs w:val="18"/>
                <w:u w:val="single" w:color="auto"/>
                <w:color w:val="0000FF"/>
              </w:rPr>
              <w:t>27†*</w:t>
            </w: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rPr>
              <w:t>Form of 2018 Non Executive Option Agreement under 2011 Unit Incentive Plan.</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2017 Executive Option Agreement under 2011 Unit Incentive Plan (incorporated by reference to Exhibit 10.20</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Arial" w:cs="Arial" w:eastAsia="Arial" w:hAnsi="Arial"/>
                <w:sz w:val="18"/>
                <w:szCs w:val="18"/>
                <w:color w:val="0000FF"/>
              </w:rPr>
            </w:pPr>
            <w:hyperlink r:id="rId171">
              <w:r>
                <w:rPr>
                  <w:rFonts w:ascii="Arial" w:cs="Arial" w:eastAsia="Arial" w:hAnsi="Arial"/>
                  <w:sz w:val="18"/>
                  <w:szCs w:val="18"/>
                  <w:color w:val="0000FF"/>
                </w:rPr>
                <w:t>10.</w:t>
              </w:r>
            </w:hyperlink>
            <w:r>
              <w:rPr>
                <w:rFonts w:ascii="Arial" w:cs="Arial" w:eastAsia="Arial" w:hAnsi="Arial"/>
                <w:sz w:val="18"/>
                <w:szCs w:val="18"/>
                <w:u w:val="single" w:color="auto"/>
                <w:color w:val="0000FF"/>
              </w:rPr>
              <w:t>29†</w:t>
            </w: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Form of 2016 Executive Option Agreement under 2011 Unit Incentive Plan (incorporated by reference to Exhibit 10.21</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72">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Form of August 2020 Restricted Unit Agreement under 2011 Unit Incentive Plan (incorporated by reference to Exhibit</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10.22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6"/>
              </w:rPr>
              <w:t>Form of 2020 CEO Restricted Unit Agreement under 2011 Unit Incentive Plan (incorporated by reference to Exhibit</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10.23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2020 Executive Restricted Unit Agreement under 2011 Unit Incentive Plan (incorporated by reference to Exhibit</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10.24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2019 Executive Restricted Unit Agreement under 2011 Unit Incentive Plan (incorporated by reference to Exhibit</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10.25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2018 CEO Restricted Unit Agreement under 2011 Unit Incentive Plan (as amended) (incorporated by reference</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Exhibit 10.26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Form of Independent Non-Employee Director Restricted Unit Agreement under 2011 Unit Incentive Plan (incorporated</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w w:val="96"/>
              </w:rPr>
              <w:t>by reference to Exhibit 10.27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78">
              <w:r>
                <w:rPr>
                  <w:rFonts w:ascii="Arial" w:cs="Arial" w:eastAsia="Arial" w:hAnsi="Arial"/>
                  <w:sz w:val="18"/>
                  <w:szCs w:val="18"/>
                  <w:color w:val="0000FF"/>
                </w:rPr>
                <w:t>10.</w:t>
              </w:r>
            </w:hyperlink>
            <w:r>
              <w:rPr>
                <w:rFonts w:ascii="Arial" w:cs="Arial" w:eastAsia="Arial" w:hAnsi="Arial"/>
                <w:sz w:val="18"/>
                <w:szCs w:val="18"/>
                <w:u w:val="single" w:color="auto"/>
                <w:color w:val="0000FF"/>
              </w:rPr>
              <w:t>36†</w:t>
            </w: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2018 Executive Restricted Unit Agreement under 2011 Unit Incentive Plan (incorporated by reference to Exhibit</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10.28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Arial" w:cs="Arial" w:eastAsia="Arial" w:hAnsi="Arial"/>
                <w:sz w:val="18"/>
                <w:szCs w:val="18"/>
                <w:color w:val="0000FF"/>
              </w:rPr>
            </w:pPr>
            <w:hyperlink r:id="rId179">
              <w:r>
                <w:rPr>
                  <w:rFonts w:ascii="Arial" w:cs="Arial" w:eastAsia="Arial" w:hAnsi="Arial"/>
                  <w:sz w:val="18"/>
                  <w:szCs w:val="18"/>
                  <w:color w:val="0000FF"/>
                </w:rPr>
                <w:t>10.</w:t>
              </w:r>
            </w:hyperlink>
            <w:r>
              <w:rPr>
                <w:rFonts w:ascii="Arial" w:cs="Arial" w:eastAsia="Arial" w:hAnsi="Arial"/>
                <w:sz w:val="18"/>
                <w:szCs w:val="18"/>
                <w:u w:val="single" w:color="auto"/>
                <w:color w:val="0000FF"/>
              </w:rPr>
              <w:t>37†</w:t>
            </w: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9"/>
              </w:rPr>
              <w:t>Ken C. Hicks Employment Agreement, dated August 2, 2018 (incorporated by reference to Exhibit 10.29 to the</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80">
              <w:r>
                <w:rPr>
                  <w:rFonts w:ascii="Arial" w:cs="Arial" w:eastAsia="Arial" w:hAnsi="Arial"/>
                  <w:sz w:val="18"/>
                  <w:szCs w:val="18"/>
                  <w:color w:val="0000FF"/>
                </w:rPr>
                <w:t>10.</w:t>
              </w:r>
            </w:hyperlink>
            <w:r>
              <w:rPr>
                <w:rFonts w:ascii="Arial" w:cs="Arial" w:eastAsia="Arial" w:hAnsi="Arial"/>
                <w:sz w:val="18"/>
                <w:szCs w:val="18"/>
                <w:u w:val="single" w:color="auto"/>
                <w:color w:val="0000FF"/>
              </w:rPr>
              <w:t>38†</w:t>
            </w: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Michael P. Mullican Employment Agreement, dated January 6, 2017 and amended on December 21, 2017 (incorporated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by reference to Exhibit 10.30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Arial" w:cs="Arial" w:eastAsia="Arial" w:hAnsi="Arial"/>
                <w:sz w:val="18"/>
                <w:szCs w:val="18"/>
                <w:color w:val="0000FF"/>
              </w:rPr>
            </w:pPr>
            <w:hyperlink r:id="rId181">
              <w:r>
                <w:rPr>
                  <w:rFonts w:ascii="Arial" w:cs="Arial" w:eastAsia="Arial" w:hAnsi="Arial"/>
                  <w:sz w:val="18"/>
                  <w:szCs w:val="18"/>
                  <w:color w:val="0000FF"/>
                </w:rPr>
                <w:t>10.</w:t>
              </w:r>
            </w:hyperlink>
            <w:r>
              <w:rPr>
                <w:rFonts w:ascii="Arial" w:cs="Arial" w:eastAsia="Arial" w:hAnsi="Arial"/>
                <w:sz w:val="18"/>
                <w:szCs w:val="18"/>
                <w:u w:val="single" w:color="auto"/>
                <w:color w:val="0000FF"/>
              </w:rPr>
              <w:t>39†</w:t>
            </w: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0"/>
              </w:rPr>
              <w:t>Steven (Steve) P. Lawrence Employment Agreement, dated January 29, 2019 (incorporated by reference to Exhibit 10.31</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Samuel (Sam) J. Johnson Employment Agreement, dated April 17, 2017 (incorporated by reference to Exhibit 10.32 to</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5"/>
          </w:tcPr>
          <w:p>
            <w:pPr>
              <w:spacing w:after="0" w:line="189" w:lineRule="exact"/>
              <w:rPr>
                <w:rFonts w:ascii="Arial" w:cs="Arial" w:eastAsia="Arial" w:hAnsi="Arial"/>
                <w:sz w:val="18"/>
                <w:szCs w:val="18"/>
                <w:color w:val="0000FF"/>
              </w:rPr>
            </w:pPr>
            <w:hyperlink w:anchor="page143">
              <w:r>
                <w:rPr>
                  <w:rFonts w:ascii="Arial" w:cs="Arial" w:eastAsia="Arial" w:hAnsi="Arial"/>
                  <w:sz w:val="18"/>
                  <w:szCs w:val="18"/>
                  <w:color w:val="0000FF"/>
                </w:rPr>
                <w:t>10.</w:t>
              </w:r>
            </w:hyperlink>
            <w:r>
              <w:rPr>
                <w:rFonts w:ascii="Arial" w:cs="Arial" w:eastAsia="Arial" w:hAnsi="Arial"/>
                <w:sz w:val="18"/>
                <w:szCs w:val="18"/>
                <w:u w:val="single" w:color="auto"/>
                <w:color w:val="0000FF"/>
              </w:rPr>
              <w:t>41†*</w:t>
            </w: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rPr>
              <w:t>Jamey Rutherford Traywick Employment Agreement, dated October 1, 2018.</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83">
              <w:r>
                <w:rPr>
                  <w:rFonts w:ascii="Arial" w:cs="Arial" w:eastAsia="Arial" w:hAnsi="Arial"/>
                  <w:sz w:val="18"/>
                  <w:szCs w:val="18"/>
                  <w:color w:val="0000FF"/>
                </w:rPr>
                <w:t>10.</w:t>
              </w:r>
            </w:hyperlink>
            <w:r>
              <w:rPr>
                <w:rFonts w:ascii="Arial" w:cs="Arial" w:eastAsia="Arial" w:hAnsi="Arial"/>
                <w:sz w:val="18"/>
                <w:szCs w:val="18"/>
                <w:u w:val="single" w:color="auto"/>
                <w:color w:val="0000FF"/>
              </w:rPr>
              <w:t>42†</w:t>
            </w: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Form of 2020 Employee Stock Purchase Plan (incorporated by reference to Exhibit 10.34 to Amendment No. 1 to the</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440" w:type="dxa"/>
            <w:vAlign w:val="bottom"/>
            <w:gridSpan w:val="2"/>
          </w:tcPr>
          <w:p>
            <w:pPr>
              <w:ind w:left="20"/>
              <w:spacing w:after="0" w:line="189" w:lineRule="exact"/>
              <w:rPr>
                <w:rFonts w:ascii="Arial" w:cs="Arial" w:eastAsia="Arial" w:hAnsi="Arial"/>
                <w:sz w:val="18"/>
                <w:szCs w:val="18"/>
                <w:color w:val="0000FF"/>
                <w:w w:val="88"/>
              </w:rPr>
            </w:pPr>
            <w:hyperlink r:id="rId184">
              <w:r>
                <w:rPr>
                  <w:rFonts w:ascii="Arial" w:cs="Arial" w:eastAsia="Arial" w:hAnsi="Arial"/>
                  <w:sz w:val="18"/>
                  <w:szCs w:val="18"/>
                  <w:color w:val="0000FF"/>
                  <w:w w:val="88"/>
                </w:rPr>
                <w:t>10.</w:t>
              </w:r>
            </w:hyperlink>
            <w:r>
              <w:rPr>
                <w:rFonts w:ascii="Arial" w:cs="Arial" w:eastAsia="Arial" w:hAnsi="Arial"/>
                <w:sz w:val="18"/>
                <w:szCs w:val="18"/>
                <w:u w:val="single" w:color="auto"/>
                <w:color w:val="0000FF"/>
                <w:w w:val="88"/>
              </w:rPr>
              <w:t>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5"/>
              </w:rPr>
              <w:t>Stockholders Agreement, dated as of October 6, 2020, by and among the Registrant, Allstar LLC, KKR 2006 Allstar</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Blocker L.P. and Allstar Co-Invest Blocker L.P. (incorporated by reference to Exhibit 10.1 to the Registrant’s Current</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Report on Form 8-K filed with the Commission on October 6,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5"/>
            <w:shd w:val="clear" w:color="auto" w:fill="CCEEFF"/>
          </w:tcPr>
          <w:p>
            <w:pPr>
              <w:spacing w:after="0" w:line="189" w:lineRule="exact"/>
              <w:rPr>
                <w:rFonts w:ascii="Arial" w:cs="Arial" w:eastAsia="Arial" w:hAnsi="Arial"/>
                <w:sz w:val="18"/>
                <w:szCs w:val="18"/>
                <w:color w:val="0000FF"/>
              </w:rPr>
            </w:pPr>
            <w:hyperlink r:id="rId185">
              <w:r>
                <w:rPr>
                  <w:rFonts w:ascii="Arial" w:cs="Arial" w:eastAsia="Arial" w:hAnsi="Arial"/>
                  <w:sz w:val="18"/>
                  <w:szCs w:val="18"/>
                  <w:color w:val="0000FF"/>
                </w:rPr>
                <w:t>10.</w:t>
              </w:r>
            </w:hyperlink>
            <w:r>
              <w:rPr>
                <w:rFonts w:ascii="Arial" w:cs="Arial" w:eastAsia="Arial" w:hAnsi="Arial"/>
                <w:sz w:val="18"/>
                <w:szCs w:val="18"/>
                <w:u w:val="single" w:color="auto"/>
                <w:color w:val="0000FF"/>
              </w:rPr>
              <w:t>44†</w:t>
            </w: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Director and Officer Indemnification Agreement (incorporated by reference to Exhibit 10.37 to Amendment No.</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 to the Registrant’s Registration Statement on Form S-1 filed on September 23, 2020).</w:t>
            </w:r>
          </w:p>
        </w:tc>
      </w:tr>
      <w:tr>
        <w:trPr>
          <w:trHeight w:val="189"/>
        </w:trPr>
        <w:tc>
          <w:tcPr>
            <w:tcW w:w="520" w:type="dxa"/>
            <w:vAlign w:val="bottom"/>
            <w:gridSpan w:val="3"/>
          </w:tcPr>
          <w:p>
            <w:pPr>
              <w:ind w:left="20"/>
              <w:spacing w:after="0" w:line="189" w:lineRule="exact"/>
              <w:rPr>
                <w:rFonts w:ascii="Arial" w:cs="Arial" w:eastAsia="Arial" w:hAnsi="Arial"/>
                <w:sz w:val="18"/>
                <w:szCs w:val="18"/>
                <w:color w:val="0000FF"/>
              </w:rPr>
            </w:pPr>
            <w:hyperlink w:anchor="page169">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rPr>
              <w:t>Subsidiaries of the Registrant.</w:t>
            </w:r>
          </w:p>
        </w:tc>
      </w:tr>
      <w:tr>
        <w:trPr>
          <w:trHeight w:val="655"/>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111</w:t>
            </w:r>
          </w:p>
        </w:tc>
      </w:tr>
      <w:tr>
        <w:trPr>
          <w:trHeight w:val="358"/>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203"/>
        </w:trPr>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0000FF"/>
            </w:tcBorders>
            <w:shd w:val="clear" w:color="auto" w:fill="CCEEFF"/>
          </w:tcPr>
          <w:p>
            <w:pPr>
              <w:spacing w:after="0" w:line="182" w:lineRule="exact"/>
              <w:rPr>
                <w:rFonts w:ascii="Arial" w:cs="Arial" w:eastAsia="Arial" w:hAnsi="Arial"/>
                <w:sz w:val="18"/>
                <w:szCs w:val="18"/>
                <w:color w:val="0000FF"/>
                <w:w w:val="95"/>
              </w:rPr>
            </w:pPr>
            <w:hyperlink w:anchor="page170">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hyperlink>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18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2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Consent of Deloitte &amp; Touche LLP (with respect to the financial statements of Academy Sports and Outdoors, Inc.).</w:t>
            </w:r>
          </w:p>
        </w:tc>
      </w:tr>
      <w:tr>
        <w:trPr>
          <w:trHeight w:val="189"/>
        </w:trPr>
        <w:tc>
          <w:tcPr>
            <w:tcW w:w="520" w:type="dxa"/>
            <w:vAlign w:val="bottom"/>
            <w:gridSpan w:val="3"/>
          </w:tcPr>
          <w:p>
            <w:pPr>
              <w:ind w:left="20"/>
              <w:spacing w:after="0" w:line="189" w:lineRule="exact"/>
              <w:rPr>
                <w:rFonts w:ascii="Arial" w:cs="Arial" w:eastAsia="Arial" w:hAnsi="Arial"/>
                <w:sz w:val="18"/>
                <w:szCs w:val="18"/>
                <w:color w:val="0000FF"/>
              </w:rPr>
            </w:pPr>
            <w:hyperlink w:anchor="page17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8"/>
              </w:rPr>
              <w:t>Certification of Periodic Report by Chief Executive Officer under Section 302 of the Sarbanes-Oxley Act of 2002.</w:t>
            </w: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5"/>
              </w:rPr>
            </w:pPr>
            <w:hyperlink w:anchor="page172">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Certification of Periodic Report by Chief Financial Officer under Section 302 of the Sarbanes-Oxley Act of 2002.</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w:anchor="page17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Sarbanes-Oxley Act of 2002.</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17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Sarbanes-Oxley Act of 2002.</w:t>
            </w:r>
          </w:p>
        </w:tc>
      </w:tr>
      <w:tr>
        <w:trPr>
          <w:trHeight w:val="176"/>
        </w:trPr>
        <w:tc>
          <w:tcPr>
            <w:tcW w:w="20" w:type="dxa"/>
            <w:vAlign w:val="bottom"/>
          </w:tcPr>
          <w:p>
            <w:pPr>
              <w:spacing w:after="0"/>
              <w:rPr>
                <w:sz w:val="15"/>
                <w:szCs w:val="15"/>
                <w:color w:val="auto"/>
              </w:rPr>
            </w:pPr>
          </w:p>
        </w:tc>
        <w:tc>
          <w:tcPr>
            <w:tcW w:w="2400" w:type="dxa"/>
            <w:vAlign w:val="bottom"/>
            <w:gridSpan w:val="4"/>
          </w:tcPr>
          <w:p>
            <w:pPr>
              <w:spacing w:after="0" w:line="176" w:lineRule="exact"/>
              <w:rPr>
                <w:sz w:val="20"/>
                <w:szCs w:val="20"/>
                <w:color w:val="auto"/>
              </w:rPr>
            </w:pPr>
            <w:r>
              <w:rPr>
                <w:rFonts w:ascii="Arial" w:cs="Arial" w:eastAsia="Arial" w:hAnsi="Arial"/>
                <w:sz w:val="18"/>
                <w:szCs w:val="18"/>
                <w:color w:val="auto"/>
              </w:rPr>
              <w:t>101.INS</w:t>
            </w: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820" w:type="dxa"/>
            <w:vAlign w:val="bottom"/>
          </w:tcPr>
          <w:p>
            <w:pPr>
              <w:ind w:left="20"/>
              <w:spacing w:after="0"/>
              <w:rPr>
                <w:sz w:val="20"/>
                <w:szCs w:val="20"/>
                <w:color w:val="auto"/>
              </w:rPr>
            </w:pPr>
            <w:r>
              <w:rPr>
                <w:rFonts w:ascii="Arial" w:cs="Arial" w:eastAsia="Arial" w:hAnsi="Arial"/>
                <w:sz w:val="18"/>
                <w:szCs w:val="18"/>
                <w:color w:val="auto"/>
              </w:rPr>
              <w:t>XBRL Taxonomy Calculation Linkbase Document</w:t>
            </w: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Definition Linkbase Document</w:t>
            </w:r>
          </w:p>
        </w:tc>
      </w:tr>
      <w:tr>
        <w:trPr>
          <w:trHeight w:val="229"/>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820" w:type="dxa"/>
            <w:vAlign w:val="bottom"/>
          </w:tcPr>
          <w:p>
            <w:pPr>
              <w:ind w:left="20"/>
              <w:spacing w:after="0"/>
              <w:rPr>
                <w:sz w:val="20"/>
                <w:szCs w:val="20"/>
                <w:color w:val="auto"/>
              </w:rPr>
            </w:pPr>
            <w:r>
              <w:rPr>
                <w:rFonts w:ascii="Arial" w:cs="Arial" w:eastAsia="Arial" w:hAnsi="Arial"/>
                <w:sz w:val="18"/>
                <w:szCs w:val="18"/>
                <w:color w:val="auto"/>
              </w:rPr>
              <w:t>XBRL Taxonomy Label Linkbase Document</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20" w:type="dxa"/>
            <w:vAlign w:val="bottom"/>
          </w:tcPr>
          <w:p>
            <w:pPr>
              <w:spacing w:after="0"/>
              <w:rPr>
                <w:sz w:val="23"/>
                <w:szCs w:val="23"/>
                <w:color w:val="auto"/>
              </w:rPr>
            </w:pPr>
          </w:p>
        </w:tc>
      </w:tr>
      <w:tr>
        <w:trPr>
          <w:trHeight w:val="229"/>
        </w:trPr>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Filed herewith</w:t>
            </w:r>
          </w:p>
        </w:tc>
      </w:tr>
      <w:tr>
        <w:trPr>
          <w:trHeight w:val="176"/>
        </w:trPr>
        <w:tc>
          <w:tcPr>
            <w:tcW w:w="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4"/>
              </w:rPr>
              <w:t>This certification accompanies each report pursuant to Section 906 of the Sarbanes-Oxley Act of 2002 and shall not,</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6"/>
              </w:rPr>
              <w:t>except to the extent required by the Sarbanes-Oxley Act of 2002, be deemed filed by the Company for purposes of</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Section 18 of the Securities Exchange Act of 1934, as amended.</w:t>
            </w: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Compensatory arrangements for director(s) and/or executive officer(s).</w:t>
            </w:r>
          </w:p>
        </w:tc>
      </w:tr>
    </w:tbl>
    <w:p>
      <w:pPr>
        <w:spacing w:after="0" w:line="3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April 7, 2021 on its behalf by the undersigned, thereto duly authorized.</w:t>
      </w:r>
    </w:p>
    <w:p>
      <w:pPr>
        <w:spacing w:after="0" w:line="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01"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HEATHER A. DAVIS</w:t>
            </w:r>
          </w:p>
        </w:tc>
      </w:tr>
      <w:tr>
        <w:trPr>
          <w:trHeight w:val="222"/>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Heather A. Davis</w:t>
            </w:r>
          </w:p>
        </w:tc>
      </w:tr>
      <w:tr>
        <w:trPr>
          <w:trHeight w:val="229"/>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Senior Vice President of Accounting, Treasury and Tax</w:t>
            </w:r>
          </w:p>
        </w:tc>
      </w:tr>
      <w:tr>
        <w:trPr>
          <w:trHeight w:val="230"/>
        </w:trPr>
        <w:tc>
          <w:tcPr>
            <w:tcW w:w="7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337"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4940" w:type="dxa"/>
            <w:vAlign w:val="bottom"/>
            <w:gridSpan w:val="3"/>
          </w:tcPr>
          <w:p>
            <w:pPr>
              <w:ind w:left="2480"/>
              <w:spacing w:after="0"/>
              <w:rPr>
                <w:sz w:val="20"/>
                <w:szCs w:val="20"/>
                <w:color w:val="auto"/>
              </w:rPr>
            </w:pPr>
            <w:r>
              <w:rPr>
                <w:rFonts w:ascii="Arial" w:cs="Arial" w:eastAsia="Arial" w:hAnsi="Arial"/>
                <w:sz w:val="18"/>
                <w:szCs w:val="18"/>
                <w:b w:val="1"/>
                <w:bCs w:val="1"/>
                <w:color w:val="auto"/>
              </w:rPr>
              <w:t>Title</w:t>
            </w:r>
          </w:p>
        </w:tc>
        <w:tc>
          <w:tcPr>
            <w:tcW w:w="1840" w:type="dxa"/>
            <w:vAlign w:val="bottom"/>
            <w:gridSpan w:val="3"/>
          </w:tcPr>
          <w:p>
            <w:pPr>
              <w:ind w:left="940"/>
              <w:spacing w:after="0"/>
              <w:rPr>
                <w:sz w:val="20"/>
                <w:szCs w:val="20"/>
                <w:color w:val="auto"/>
              </w:rPr>
            </w:pPr>
            <w:r>
              <w:rPr>
                <w:rFonts w:ascii="Arial" w:cs="Arial" w:eastAsia="Arial" w:hAnsi="Arial"/>
                <w:sz w:val="18"/>
                <w:szCs w:val="18"/>
                <w:b w:val="1"/>
                <w:bCs w:val="1"/>
                <w:color w:val="auto"/>
              </w:rPr>
              <w:t>Date</w:t>
            </w:r>
          </w:p>
        </w:tc>
      </w:tr>
      <w:tr>
        <w:trPr>
          <w:trHeight w:val="20"/>
        </w:trPr>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58"/>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KEN C. HICKS</w:t>
            </w:r>
          </w:p>
        </w:tc>
        <w:tc>
          <w:tcPr>
            <w:tcW w:w="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Chairman, President and Chief Executive Officer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Ken C. Hicks</w:t>
            </w:r>
          </w:p>
        </w:tc>
        <w:tc>
          <w:tcPr>
            <w:tcW w:w="49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MICHAEL P. MULLICAN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and Chief Financial Officer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Michael P. Mullican</w:t>
            </w:r>
          </w:p>
        </w:tc>
        <w:tc>
          <w:tcPr>
            <w:tcW w:w="49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officer)</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HEATHER A. DAVIS</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of Accounting, Treasury and Tax</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Heather A. Davis</w:t>
            </w:r>
          </w:p>
        </w:tc>
        <w:tc>
          <w:tcPr>
            <w:tcW w:w="49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accounting officer)</w:t>
            </w: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BRIAN T. MARLEY</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Brian T. Marley</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VISHAL V. PATEL</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Vishal V. Patel</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ALLEN I. QUESTROM</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Allen I. Questrom</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WILLIAM S. SIMON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William S. Simon</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NATHANIEL H. TAYLOR</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Nathaniel H. Taylor</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JEFFERY C. TWEEDY</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Jeffery C. Tweedy</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AILEEN X. YAN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Aileen X. Yan</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WENDY A. BECK</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Wendy A. Beck</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TOM M. NEALON</w:t>
            </w:r>
          </w:p>
        </w:tc>
        <w:tc>
          <w:tcPr>
            <w:tcW w:w="49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840" w:type="dxa"/>
            <w:vAlign w:val="bottom"/>
            <w:gridSpan w:val="3"/>
          </w:tcPr>
          <w:p>
            <w:pPr>
              <w:ind w:left="860"/>
              <w:spacing w:after="0"/>
              <w:rPr>
                <w:sz w:val="20"/>
                <w:szCs w:val="20"/>
                <w:color w:val="auto"/>
              </w:rPr>
            </w:pPr>
            <w:r>
              <w:rPr>
                <w:rFonts w:ascii="Arial" w:cs="Arial" w:eastAsia="Arial" w:hAnsi="Arial"/>
                <w:sz w:val="18"/>
                <w:szCs w:val="18"/>
                <w:color w:val="auto"/>
                <w:w w:val="94"/>
              </w:rPr>
              <w:t>April 7, 2021</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Tom M. Nealon</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755"/>
        </w:trPr>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80" w:type="dxa"/>
            <w:vAlign w:val="bottom"/>
          </w:tcPr>
          <w:p>
            <w:pPr>
              <w:ind w:left="112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3" w:name="page114"/>
    <w:bookmarkEnd w:id="113"/>
    <w:p>
      <w:pPr>
        <w:jc w:val="center"/>
        <w:ind w:right="92"/>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92"/>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Balance at</w:t>
            </w:r>
          </w:p>
        </w:tc>
        <w:tc>
          <w:tcPr>
            <w:tcW w:w="150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92"/>
              </w:rPr>
              <w:t>Charged to costs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2"/>
              </w:rPr>
              <w:t>Balance at end of</w:t>
            </w:r>
          </w:p>
        </w:tc>
        <w:tc>
          <w:tcPr>
            <w:tcW w:w="0" w:type="dxa"/>
            <w:vAlign w:val="bottom"/>
          </w:tcPr>
          <w:p>
            <w:pPr>
              <w:spacing w:after="0"/>
              <w:rPr>
                <w:sz w:val="1"/>
                <w:szCs w:val="1"/>
                <w:color w:val="auto"/>
              </w:rPr>
            </w:pPr>
          </w:p>
        </w:tc>
      </w:tr>
      <w:tr>
        <w:trPr>
          <w:trHeight w:val="176"/>
        </w:trPr>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88"/>
              </w:rPr>
              <w:t>beginning of</w:t>
            </w:r>
          </w:p>
        </w:tc>
        <w:tc>
          <w:tcPr>
            <w:tcW w:w="15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5"/>
              </w:rPr>
              <w:t>Deductions</w:t>
            </w:r>
          </w:p>
        </w:tc>
        <w:tc>
          <w:tcPr>
            <w:tcW w:w="3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6"/>
                <w:szCs w:val="16"/>
                <w:i w:val="1"/>
                <w:iCs w:val="1"/>
                <w:color w:val="auto"/>
              </w:rPr>
              <w:t>(amounts in thousands)</w:t>
            </w:r>
          </w:p>
        </w:tc>
        <w:tc>
          <w:tcPr>
            <w:tcW w:w="18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period</w:t>
            </w:r>
          </w:p>
        </w:tc>
        <w:tc>
          <w:tcPr>
            <w:tcW w:w="18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88"/>
              </w:rPr>
              <w:t>and expenses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41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30, 2021:</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3,275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gridSpan w:val="2"/>
          </w:tcPr>
          <w:p>
            <w:pPr>
              <w:jc w:val="right"/>
              <w:ind w:right="86"/>
              <w:spacing w:after="0" w:line="230" w:lineRule="exact"/>
              <w:rPr>
                <w:sz w:val="20"/>
                <w:szCs w:val="20"/>
                <w:color w:val="auto"/>
              </w:rPr>
            </w:pPr>
            <w:r>
              <w:rPr>
                <w:rFonts w:ascii="Arial" w:cs="Arial" w:eastAsia="Arial" w:hAnsi="Arial"/>
                <w:sz w:val="18"/>
                <w:szCs w:val="18"/>
                <w:b w:val="1"/>
                <w:bCs w:val="1"/>
                <w:color w:val="auto"/>
              </w:rPr>
              <w:t xml:space="preserve">(205) </w:t>
            </w:r>
            <w:r>
              <w:rPr>
                <w:rFonts w:ascii="Arial" w:cs="Arial" w:eastAsia="Arial" w:hAnsi="Arial"/>
                <w:sz w:val="21"/>
                <w:szCs w:val="21"/>
                <w:b w:val="1"/>
                <w:bCs w:val="1"/>
                <w:color w:val="auto"/>
                <w:vertAlign w:val="superscript"/>
              </w:rPr>
              <w:t>(5)</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(1,898)</w:t>
            </w:r>
          </w:p>
        </w:tc>
        <w:tc>
          <w:tcPr>
            <w:tcW w:w="320" w:type="dxa"/>
            <w:vAlign w:val="bottom"/>
          </w:tcPr>
          <w:p>
            <w:pPr>
              <w:jc w:val="right"/>
              <w:ind w:right="126"/>
              <w:spacing w:after="0"/>
              <w:rPr>
                <w:sz w:val="20"/>
                <w:szCs w:val="20"/>
                <w:color w:val="auto"/>
              </w:rPr>
            </w:pPr>
            <w:r>
              <w:rPr>
                <w:rFonts w:ascii="Arial" w:cs="Arial" w:eastAsia="Arial" w:hAnsi="Arial"/>
                <w:sz w:val="11"/>
                <w:szCs w:val="11"/>
                <w:b w:val="1"/>
                <w:bCs w:val="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11,300</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1"/>
                <w:szCs w:val="11"/>
                <w:b w:val="1"/>
                <w:bCs w:val="1"/>
                <w:color w:val="auto"/>
                <w:w w:val="88"/>
              </w:rPr>
              <w:t>(2)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88"/>
              </w:rPr>
              <w:t>(2)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5,800</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12,891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76,990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(81,377)</w:t>
            </w:r>
          </w:p>
        </w:tc>
        <w:tc>
          <w:tcPr>
            <w:tcW w:w="320" w:type="dxa"/>
            <w:vAlign w:val="bottom"/>
          </w:tcPr>
          <w:p>
            <w:pPr>
              <w:jc w:val="right"/>
              <w:ind w:right="126"/>
              <w:spacing w:after="0"/>
              <w:rPr>
                <w:sz w:val="20"/>
                <w:szCs w:val="20"/>
                <w:color w:val="auto"/>
              </w:rPr>
            </w:pPr>
            <w:r>
              <w:rPr>
                <w:rFonts w:ascii="Arial" w:cs="Arial" w:eastAsia="Arial" w:hAnsi="Arial"/>
                <w:sz w:val="11"/>
                <w:szCs w:val="11"/>
                <w:b w:val="1"/>
                <w:bCs w:val="1"/>
                <w:color w:val="auto"/>
                <w:w w:val="88"/>
              </w:rPr>
              <w:t>(3)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8,504</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61,920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(62,284)</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88"/>
              </w:rPr>
              <w:t>(4)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22,065</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February 1, 2020: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88"/>
              </w:rPr>
              <w:t>(2)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62,975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(69,355)</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February 2, 2019:</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1,020</w:t>
            </w:r>
          </w:p>
        </w:tc>
        <w:tc>
          <w:tcPr>
            <w:tcW w:w="2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(628)</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28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88"/>
              </w:rPr>
              <w:t>(2)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(2)</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14,683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69,047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(64,459)</w:t>
            </w:r>
          </w:p>
        </w:tc>
        <w:tc>
          <w:tcPr>
            <w:tcW w:w="320" w:type="dxa"/>
            <w:vAlign w:val="bottom"/>
          </w:tcPr>
          <w:p>
            <w:pPr>
              <w:jc w:val="right"/>
              <w:ind w:right="126"/>
              <w:spacing w:after="0"/>
              <w:rPr>
                <w:sz w:val="20"/>
                <w:szCs w:val="20"/>
                <w:color w:val="auto"/>
              </w:rPr>
            </w:pPr>
            <w:r>
              <w:rPr>
                <w:rFonts w:ascii="Arial" w:cs="Arial" w:eastAsia="Arial" w:hAnsi="Arial"/>
                <w:sz w:val="11"/>
                <w:szCs w:val="11"/>
                <w:color w:val="auto"/>
                <w:w w:val="88"/>
              </w:rPr>
              <w:t>(3)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19,271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(59,135)</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68" w:hanging="168"/>
        <w:spacing w:after="0"/>
        <w:tabs>
          <w:tab w:leader="none" w:pos="168"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Represents write-offs to the reserve.</w:t>
      </w:r>
    </w:p>
    <w:p>
      <w:pPr>
        <w:spacing w:after="0" w:line="2" w:lineRule="exact"/>
        <w:rPr>
          <w:rFonts w:ascii="Arial" w:cs="Arial" w:eastAsia="Arial" w:hAnsi="Arial"/>
          <w:sz w:val="20"/>
          <w:szCs w:val="20"/>
          <w:color w:val="auto"/>
          <w:vertAlign w:val="superscript"/>
        </w:rPr>
      </w:pPr>
    </w:p>
    <w:p>
      <w:pPr>
        <w:ind w:left="168" w:hanging="168"/>
        <w:spacing w:after="0" w:line="223" w:lineRule="auto"/>
        <w:tabs>
          <w:tab w:leader="none" w:pos="168"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Represents the monthly increase (decrease) in the required reserve based on the Company's evaluation of anticipated merchandise returns.</w:t>
      </w:r>
    </w:p>
    <w:p>
      <w:pPr>
        <w:spacing w:after="0" w:line="2" w:lineRule="exact"/>
        <w:rPr>
          <w:rFonts w:ascii="Arial" w:cs="Arial" w:eastAsia="Arial" w:hAnsi="Arial"/>
          <w:sz w:val="20"/>
          <w:szCs w:val="20"/>
          <w:color w:val="auto"/>
          <w:vertAlign w:val="superscript"/>
        </w:rPr>
      </w:pPr>
    </w:p>
    <w:p>
      <w:pPr>
        <w:ind w:left="168" w:hanging="168"/>
        <w:spacing w:after="0" w:line="223" w:lineRule="auto"/>
        <w:tabs>
          <w:tab w:leader="none" w:pos="168" w:val="left"/>
        </w:tabs>
        <w:numPr>
          <w:ilvl w:val="0"/>
          <w:numId w:val="75"/>
        </w:numPr>
        <w:rPr>
          <w:rFonts w:ascii="Arial" w:cs="Arial" w:eastAsia="Arial" w:hAnsi="Arial"/>
          <w:sz w:val="20"/>
          <w:szCs w:val="20"/>
          <w:color w:val="auto"/>
          <w:vertAlign w:val="superscript"/>
        </w:rPr>
      </w:pPr>
      <w:r>
        <w:rPr>
          <w:rFonts w:ascii="Arial" w:cs="Arial" w:eastAsia="Arial" w:hAnsi="Arial"/>
          <w:sz w:val="16"/>
          <w:szCs w:val="16"/>
          <w:color w:val="auto"/>
        </w:rPr>
        <w:t>Represents the actual inventory shrinkage experienced at the time of physical inventories.</w:t>
      </w:r>
    </w:p>
    <w:p>
      <w:pPr>
        <w:spacing w:after="0" w:line="2" w:lineRule="exact"/>
        <w:rPr>
          <w:rFonts w:ascii="Arial" w:cs="Arial" w:eastAsia="Arial" w:hAnsi="Arial"/>
          <w:sz w:val="20"/>
          <w:szCs w:val="20"/>
          <w:color w:val="auto"/>
          <w:vertAlign w:val="superscript"/>
        </w:rPr>
      </w:pPr>
    </w:p>
    <w:p>
      <w:pPr>
        <w:ind w:left="188" w:hanging="188"/>
        <w:spacing w:after="0" w:line="194" w:lineRule="auto"/>
        <w:tabs>
          <w:tab w:leader="none" w:pos="188"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Represents claim payments for self-insured claims.</w:t>
      </w:r>
    </w:p>
    <w:p>
      <w:pPr>
        <w:spacing w:after="0" w:line="2" w:lineRule="exact"/>
        <w:rPr>
          <w:rFonts w:ascii="Arial" w:cs="Arial" w:eastAsia="Arial" w:hAnsi="Arial"/>
          <w:sz w:val="23"/>
          <w:szCs w:val="23"/>
          <w:color w:val="auto"/>
          <w:vertAlign w:val="superscript"/>
        </w:rPr>
      </w:pPr>
    </w:p>
    <w:p>
      <w:pPr>
        <w:ind w:left="188" w:hanging="188"/>
        <w:spacing w:after="0" w:line="194" w:lineRule="auto"/>
        <w:tabs>
          <w:tab w:leader="none" w:pos="188" w:val="left"/>
        </w:tabs>
        <w:numPr>
          <w:ilvl w:val="0"/>
          <w:numId w:val="75"/>
        </w:numPr>
        <w:rPr>
          <w:rFonts w:ascii="Arial" w:cs="Arial" w:eastAsia="Arial" w:hAnsi="Arial"/>
          <w:sz w:val="23"/>
          <w:szCs w:val="23"/>
          <w:color w:val="auto"/>
          <w:vertAlign w:val="superscript"/>
        </w:rPr>
      </w:pPr>
      <w:r>
        <w:rPr>
          <w:rFonts w:ascii="Arial" w:cs="Arial" w:eastAsia="Arial" w:hAnsi="Arial"/>
          <w:sz w:val="18"/>
          <w:szCs w:val="18"/>
          <w:color w:val="auto"/>
        </w:rPr>
        <w:t>The reduction represents net collections on previously written-off balances.</w:t>
      </w:r>
    </w:p>
    <w:p>
      <w:pPr>
        <w:spacing w:after="0" w:line="200" w:lineRule="exact"/>
        <w:rPr>
          <w:sz w:val="20"/>
          <w:szCs w:val="20"/>
          <w:color w:val="auto"/>
        </w:rPr>
      </w:pPr>
    </w:p>
    <w:p>
      <w:pPr>
        <w:spacing w:after="0" w:line="340" w:lineRule="exact"/>
        <w:rPr>
          <w:sz w:val="20"/>
          <w:szCs w:val="20"/>
          <w:color w:val="auto"/>
        </w:rPr>
      </w:pPr>
    </w:p>
    <w:p>
      <w:pPr>
        <w:jc w:val="center"/>
        <w:ind w:right="-227"/>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528"/>
          </w:cols>
          <w:pgMar w:left="652" w:top="891" w:right="7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5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Academy Sports and Outdoors, Inc. (“Academy,” “we,” “us,” “our,” or the “Company”) has one class of securities registered under Section 12 of the Securities Exchange Act of 1934, as amended: our common stock.</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 following summary description of the material terms of our capital stock is qualified in its entirety by our Amended and Restated Certificate of Incorporation (our “Certificate of Incorporation”) and our Amended and Restated Bylaws (our “Bylaws”). The summary is not complete, and is qualified in their entirety by reference to our Certificate of Incorporation and our Bylaws, each as in effect as of the date of this Annual Report, copies of which are filed as exhibits to this Annual Report and are incorporated by reference herein. Any person or entity purchasing or otherwise acquiring any interest in shares of capital stock of the Company is deemed to have notice of and consented to the provisions in our Certificate of Incorporation and our Bylaws. We encourage you to read our Certificate of Incorporation and our Bylaws and the applicable provisions of the Delaware General Corporation Law (the “DGCL”)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Our authorized capital stock consists of 300 million shares of common stock, par value $0.01 per share, and 50 million shares of preferred stock, par value $0.01 per share.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Certificate of Incorporation and our Bylaws, where a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9"/>
          <w:szCs w:val="9"/>
          <w:color w:val="auto"/>
        </w:rPr>
        <w:t>3</w:t>
      </w:r>
      <w:r>
        <w:rPr>
          <w:rFonts w:ascii="Arial" w:cs="Arial" w:eastAsia="Arial" w:hAnsi="Arial"/>
          <w:sz w:val="18"/>
          <w:szCs w:val="18"/>
          <w:color w:val="auto"/>
        </w:rPr>
        <w:t>% vote of the then outstanding shares of our common stock is required, the affirmative vote of a majority in voting power of shares present at a meeting of the holders of our common stock is required.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7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78" w:lineRule="exact"/>
        <w:rPr>
          <w:sz w:val="20"/>
          <w:szCs w:val="20"/>
          <w:color w:val="auto"/>
        </w:rPr>
      </w:pPr>
    </w:p>
    <w:p>
      <w:pPr>
        <w:ind w:right="500" w:firstLine="441"/>
        <w:spacing w:after="0" w:line="259"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430943</w:t>
      </w:r>
    </w:p>
    <w:p>
      <w:pPr>
        <w:sectPr>
          <w:pgSz w:w="11900" w:h="16838" w:orient="portrait"/>
          <w:cols w:equalWidth="0" w:num="1">
            <w:col w:w="11240"/>
          </w:cols>
          <w:pgMar w:left="320" w:top="121" w:right="339" w:bottom="1440" w:gutter="0" w:footer="0" w:header="0"/>
        </w:sectPr>
      </w:pPr>
    </w:p>
    <w:bookmarkStart w:id="115" w:name="page116"/>
    <w:bookmarkEnd w:id="115"/>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117" w:lineRule="exact"/>
        <w:rPr>
          <w:sz w:val="20"/>
          <w:szCs w:val="20"/>
          <w:color w:val="auto"/>
        </w:rPr>
      </w:pPr>
    </w:p>
    <w:p>
      <w:pPr>
        <w:ind w:right="200" w:firstLine="441"/>
        <w:spacing w:after="0" w:line="263"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No Preemptive, Subscription, or Conversion Rights; No Redemption or Sinking Fund Provisions</w:t>
      </w:r>
    </w:p>
    <w:p>
      <w:pPr>
        <w:spacing w:after="0" w:line="117"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We do not currently have any preferred stock outstanding. However, our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is able to determine, with respect to any series of preferred stock, the terms and rights of that series, including:</w:t>
      </w:r>
    </w:p>
    <w:p>
      <w:pPr>
        <w:spacing w:after="0" w:line="133" w:lineRule="exact"/>
        <w:rPr>
          <w:sz w:val="20"/>
          <w:szCs w:val="20"/>
          <w:color w:val="auto"/>
        </w:rPr>
      </w:pPr>
    </w:p>
    <w:p>
      <w:pPr>
        <w:ind w:left="1020" w:hanging="576"/>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44" w:lineRule="exact"/>
        <w:rPr>
          <w:rFonts w:ascii="Arial" w:cs="Arial" w:eastAsia="Arial" w:hAnsi="Arial"/>
          <w:sz w:val="18"/>
          <w:szCs w:val="18"/>
          <w:color w:val="auto"/>
        </w:rPr>
      </w:pPr>
    </w:p>
    <w:p>
      <w:pPr>
        <w:ind w:left="1020" w:right="360" w:hanging="576"/>
        <w:spacing w:after="0" w:line="224"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108" w:lineRule="exact"/>
        <w:rPr>
          <w:rFonts w:ascii="Arial" w:cs="Arial" w:eastAsia="Arial" w:hAnsi="Arial"/>
          <w:sz w:val="18"/>
          <w:szCs w:val="18"/>
          <w:color w:val="auto"/>
        </w:rPr>
      </w:pPr>
    </w:p>
    <w:p>
      <w:pPr>
        <w:ind w:left="1020" w:hanging="576"/>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44" w:lineRule="exact"/>
        <w:rPr>
          <w:rFonts w:ascii="Arial" w:cs="Arial" w:eastAsia="Arial" w:hAnsi="Arial"/>
          <w:sz w:val="18"/>
          <w:szCs w:val="18"/>
          <w:color w:val="auto"/>
        </w:rPr>
      </w:pPr>
    </w:p>
    <w:p>
      <w:pPr>
        <w:ind w:left="1020" w:hanging="576"/>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44" w:lineRule="exact"/>
        <w:rPr>
          <w:rFonts w:ascii="Arial" w:cs="Arial" w:eastAsia="Arial" w:hAnsi="Arial"/>
          <w:sz w:val="18"/>
          <w:szCs w:val="18"/>
          <w:color w:val="auto"/>
        </w:rPr>
      </w:pPr>
    </w:p>
    <w:p>
      <w:pPr>
        <w:ind w:left="1020" w:hanging="576"/>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30" w:lineRule="exact"/>
        <w:rPr>
          <w:rFonts w:ascii="Arial" w:cs="Arial" w:eastAsia="Arial" w:hAnsi="Arial"/>
          <w:sz w:val="18"/>
          <w:szCs w:val="18"/>
          <w:color w:val="auto"/>
        </w:rPr>
      </w:pPr>
    </w:p>
    <w:p>
      <w:pPr>
        <w:ind w:left="1020" w:hanging="576"/>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44" w:lineRule="exact"/>
        <w:rPr>
          <w:rFonts w:ascii="Arial" w:cs="Arial" w:eastAsia="Arial" w:hAnsi="Arial"/>
          <w:sz w:val="18"/>
          <w:szCs w:val="18"/>
          <w:color w:val="auto"/>
        </w:rPr>
      </w:pPr>
    </w:p>
    <w:p>
      <w:pPr>
        <w:ind w:left="1020" w:right="700" w:hanging="576"/>
        <w:spacing w:after="0" w:line="235"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121" w:lineRule="exact"/>
        <w:rPr>
          <w:rFonts w:ascii="Arial" w:cs="Arial" w:eastAsia="Arial" w:hAnsi="Arial"/>
          <w:sz w:val="18"/>
          <w:szCs w:val="18"/>
          <w:color w:val="auto"/>
        </w:rPr>
      </w:pPr>
    </w:p>
    <w:p>
      <w:pPr>
        <w:ind w:left="1020" w:right="500" w:hanging="576"/>
        <w:spacing w:after="0" w:line="219" w:lineRule="auto"/>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08" w:lineRule="exact"/>
        <w:rPr>
          <w:rFonts w:ascii="Arial" w:cs="Arial" w:eastAsia="Arial" w:hAnsi="Arial"/>
          <w:sz w:val="18"/>
          <w:szCs w:val="18"/>
          <w:color w:val="auto"/>
        </w:rPr>
      </w:pPr>
    </w:p>
    <w:p>
      <w:pPr>
        <w:ind w:left="1020" w:hanging="576"/>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44" w:lineRule="exact"/>
        <w:rPr>
          <w:rFonts w:ascii="Arial" w:cs="Arial" w:eastAsia="Arial" w:hAnsi="Arial"/>
          <w:sz w:val="18"/>
          <w:szCs w:val="18"/>
          <w:color w:val="auto"/>
        </w:rPr>
      </w:pPr>
    </w:p>
    <w:p>
      <w:pPr>
        <w:ind w:left="1020" w:hanging="576"/>
        <w:spacing w:after="0"/>
        <w:tabs>
          <w:tab w:leader="none" w:pos="10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320" w:lineRule="exact"/>
        <w:rPr>
          <w:sz w:val="20"/>
          <w:szCs w:val="20"/>
          <w:color w:val="auto"/>
        </w:rPr>
      </w:pPr>
    </w:p>
    <w:p>
      <w:pPr>
        <w:ind w:right="220" w:firstLine="441"/>
        <w:spacing w:after="0" w:line="279"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430943</w:t>
      </w:r>
    </w:p>
    <w:p>
      <w:pPr>
        <w:sectPr>
          <w:pgSz w:w="11900" w:h="16838" w:orient="portrait"/>
          <w:cols w:equalWidth="0" w:num="1">
            <w:col w:w="11240"/>
          </w:cols>
          <w:pgMar w:left="320" w:top="1440" w:right="339" w:bottom="1440" w:gutter="0" w:footer="0" w:header="0"/>
          <w:type w:val="continuous"/>
        </w:sectPr>
      </w:pPr>
    </w:p>
    <w:bookmarkStart w:id="116" w:name="page117"/>
    <w:bookmarkEnd w:id="116"/>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power of the common stock or subordinating the liquidation rights of the common stock. As a result of these or other factors, the issuance of preferred stock may have an adverse impact on the market price of our common stock.</w:t>
      </w:r>
    </w:p>
    <w:p>
      <w:pPr>
        <w:spacing w:after="0" w:line="27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Anti-Takeover Effects of Our Certificate of Incorporation and Our Bylaws and Certain Provisions of Delaware Law; and Provisions that May Impact a Change of Control</w:t>
      </w:r>
    </w:p>
    <w:p>
      <w:pPr>
        <w:spacing w:after="0" w:line="58"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Our Certificate of Incorporation, our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7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430943</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firstLine="441"/>
        <w:spacing w:after="0" w:line="275" w:lineRule="auto"/>
        <w:rPr>
          <w:sz w:val="20"/>
          <w:szCs w:val="20"/>
          <w:color w:val="auto"/>
        </w:rPr>
      </w:pPr>
      <w:r>
        <w:rPr>
          <w:rFonts w:ascii="Arial" w:cs="Arial" w:eastAsia="Arial" w:hAnsi="Arial"/>
          <w:sz w:val="17"/>
          <w:szCs w:val="17"/>
          <w:color w:val="auto"/>
        </w:rPr>
        <w:t>Our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Certificate of Incorporation and our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right="380" w:firstLine="441"/>
        <w:spacing w:after="0" w:line="263" w:lineRule="auto"/>
        <w:rPr>
          <w:sz w:val="20"/>
          <w:szCs w:val="20"/>
          <w:color w:val="auto"/>
        </w:rPr>
      </w:pPr>
      <w:r>
        <w:rPr>
          <w:rFonts w:ascii="Arial" w:cs="Arial" w:eastAsia="Arial" w:hAnsi="Arial"/>
          <w:sz w:val="18"/>
          <w:szCs w:val="18"/>
          <w:color w:val="auto"/>
        </w:rPr>
        <w:t>We have opted out of Section 203 of the DGCL;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30" w:lineRule="exact"/>
        <w:rPr>
          <w:sz w:val="20"/>
          <w:szCs w:val="20"/>
          <w:color w:val="auto"/>
        </w:rPr>
      </w:pPr>
    </w:p>
    <w:p>
      <w:pPr>
        <w:ind w:left="1060" w:right="480" w:hanging="481"/>
        <w:spacing w:after="0" w:line="235"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21" w:lineRule="exact"/>
        <w:rPr>
          <w:rFonts w:ascii="Arial" w:cs="Arial" w:eastAsia="Arial" w:hAnsi="Arial"/>
          <w:sz w:val="18"/>
          <w:szCs w:val="18"/>
          <w:color w:val="auto"/>
        </w:rPr>
      </w:pPr>
    </w:p>
    <w:p>
      <w:pPr>
        <w:ind w:left="1060" w:right="620" w:hanging="481"/>
        <w:spacing w:after="0" w:line="289" w:lineRule="auto"/>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83" w:lineRule="exact"/>
        <w:rPr>
          <w:rFonts w:ascii="Arial" w:cs="Arial" w:eastAsia="Arial" w:hAnsi="Arial"/>
          <w:sz w:val="16"/>
          <w:szCs w:val="16"/>
          <w:color w:val="auto"/>
        </w:rPr>
      </w:pPr>
    </w:p>
    <w:p>
      <w:pPr>
        <w:ind w:left="1060" w:right="380" w:hanging="481"/>
        <w:spacing w:after="0" w:line="278"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18"/>
          <w:szCs w:val="18"/>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29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21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right="560" w:firstLine="441"/>
        <w:spacing w:after="0" w:line="263" w:lineRule="auto"/>
        <w:rPr>
          <w:sz w:val="20"/>
          <w:szCs w:val="20"/>
          <w:color w:val="auto"/>
        </w:rPr>
      </w:pPr>
      <w:r>
        <w:rPr>
          <w:rFonts w:ascii="Arial" w:cs="Arial" w:eastAsia="Arial" w:hAnsi="Arial"/>
          <w:sz w:val="18"/>
          <w:szCs w:val="18"/>
          <w:color w:val="auto"/>
        </w:rPr>
        <w:t>Our Certificate of Incorporation provides that any investment entities owned by Kohlberg Kravis Roberts &amp; Co. L.P., (collectively, the “KKR Stockholders”) and their affiliates and any of their respective direct or indirect transferees and any group as to which such persons are a party do not constitute “interested stockholders” for purposes of this provision.</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 xml:space="preserve">Under the DGCL, unless otherwise provided in our Certificate of Incorporation, directors serving on a classified board may be removed by the stockholders only for cause. Our Certificate of Incorporation and our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430943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9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66</w:t>
      </w:r>
      <w:r>
        <w:rPr>
          <w:rFonts w:ascii="Arial" w:cs="Arial" w:eastAsia="Arial" w:hAnsi="Arial"/>
          <w:sz w:val="9"/>
          <w:szCs w:val="9"/>
          <w:color w:val="auto"/>
        </w:rPr>
        <w:t>2</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in voting power of all the then-outstanding shares of stock entitled to vote generally in the election of directors, voting together as a single class. In addition, our Certificate of Incorporation and our Bylaws also provide that, subject to the rights granted to one or more series of preferred stock then outstanding or the rights granted to KKR Stockholders under the stockholders agreement, any vacancies on our board of directors will be filled only by the affirmative vote of a majority of the remaining directors, even if less than a quorum, by a sole remaining director or by the</w:t>
      </w:r>
    </w:p>
    <w:p>
      <w:pPr>
        <w:spacing w:after="0" w:line="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KKR Stockholders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8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280" w:firstLine="441"/>
        <w:spacing w:after="0" w:line="263"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9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jc w:val="both"/>
        <w:ind w:right="100" w:firstLine="441"/>
        <w:spacing w:after="0" w:line="286" w:lineRule="auto"/>
        <w:rPr>
          <w:sz w:val="20"/>
          <w:szCs w:val="20"/>
          <w:color w:val="auto"/>
        </w:rPr>
      </w:pPr>
      <w:r>
        <w:rPr>
          <w:rFonts w:ascii="Arial" w:cs="Arial" w:eastAsia="Arial" w:hAnsi="Arial"/>
          <w:sz w:val="16"/>
          <w:szCs w:val="16"/>
          <w:color w:val="auto"/>
        </w:rPr>
        <w:t xml:space="preserve">Our Certificate of Incorporation provides that special meetings of our stockholders may be called at any time only by or at the direction of our board of directors or the chairman of the board of directors;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Bylaws prohibit the conduct of any business at a special meeting other than as specified in the notice for such meeting.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may have the effect of deferring, delaying or discouraging hostile takeovers, or changes in control or management of the Company.</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Our Bylaws establishes advance notice procedures with respect to stockholder proposals and the nomination of candidates for election as directors, other than nominations made by or at the direction of our board of directors or a committee of our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also specifies requirements as to the form and content of a stockholder’s notice. Our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Certificate of Incorporation precludes stockholder action by written consent once KKR Stockholders and their affiliates beneficially own, in the aggregate, less than 40% of the voting power of all outstanding shares of stock entitled to vote generally in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430943</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Our Certificate of Incorporation and our Bylaws provide that our board of directors is expressly authorized to make, alter, amend, change, add to, rescind or repeal, in whole or in part, our Bylaws without a stockholder vote in any matter not inconsistent with the laws of the State of Delaware or our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Bylaws by our stockholders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Bylaws by our stockholders require the affirmative vote of the holders of at least 66</w:t>
      </w:r>
      <w:r>
        <w:rPr>
          <w:rFonts w:ascii="Arial" w:cs="Arial" w:eastAsia="Arial" w:hAnsi="Arial"/>
          <w:sz w:val="9"/>
          <w:szCs w:val="9"/>
          <w:color w:val="auto"/>
        </w:rPr>
        <w:t>2</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185" w:lineRule="exact"/>
        <w:rPr>
          <w:sz w:val="20"/>
          <w:szCs w:val="20"/>
          <w:color w:val="auto"/>
        </w:rPr>
      </w:pPr>
    </w:p>
    <w:p>
      <w:pPr>
        <w:ind w:right="280" w:firstLine="441"/>
        <w:spacing w:after="0" w:line="30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46" w:lineRule="exact"/>
        <w:rPr>
          <w:sz w:val="20"/>
          <w:szCs w:val="20"/>
          <w:color w:val="auto"/>
        </w:rPr>
      </w:pPr>
    </w:p>
    <w:p>
      <w:pPr>
        <w:ind w:right="280" w:firstLine="441"/>
        <w:spacing w:after="0" w:line="279" w:lineRule="auto"/>
        <w:rPr>
          <w:sz w:val="20"/>
          <w:szCs w:val="20"/>
          <w:color w:val="auto"/>
        </w:rPr>
      </w:pPr>
      <w:r>
        <w:rPr>
          <w:rFonts w:ascii="Arial" w:cs="Arial" w:eastAsia="Arial" w:hAnsi="Arial"/>
          <w:sz w:val="17"/>
          <w:szCs w:val="17"/>
          <w:color w:val="auto"/>
        </w:rPr>
        <w:t>Our Certificate of Incorporation provides that once KKR Stockholders and their affiliates beneficially own, in the aggregate, less than 40% of the voting power of all outstanding shares of stock entitled to vote generally in the election of directors, the following provisions in our Certificate of Incorporation may be amended, altered, repealed or rescinded only by the affirmative vote of the holders of at least 66</w:t>
      </w:r>
      <w:r>
        <w:rPr>
          <w:rFonts w:ascii="Arial" w:cs="Arial" w:eastAsia="Arial" w:hAnsi="Arial"/>
          <w:sz w:val="9"/>
          <w:szCs w:val="9"/>
          <w:color w:val="auto"/>
        </w:rPr>
        <w:t>2</w:t>
      </w:r>
      <w:r>
        <w:rPr>
          <w:rFonts w:ascii="Arial" w:cs="Arial" w:eastAsia="Arial" w:hAnsi="Arial"/>
          <w:sz w:val="17"/>
          <w:szCs w:val="17"/>
          <w:color w:val="auto"/>
        </w:rPr>
        <w:t>/</w:t>
      </w:r>
      <w:r>
        <w:rPr>
          <w:rFonts w:ascii="Arial" w:cs="Arial" w:eastAsia="Arial" w:hAnsi="Arial"/>
          <w:sz w:val="9"/>
          <w:szCs w:val="9"/>
          <w:color w:val="auto"/>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131" w:lineRule="exact"/>
        <w:rPr>
          <w:sz w:val="20"/>
          <w:szCs w:val="20"/>
          <w:color w:val="auto"/>
        </w:rPr>
      </w:pPr>
    </w:p>
    <w:p>
      <w:pPr>
        <w:ind w:left="1060" w:hanging="481"/>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9"/>
          <w:szCs w:val="9"/>
          <w:color w:val="auto"/>
        </w:rPr>
        <w:t>3</w:t>
      </w:r>
      <w:r>
        <w:rPr>
          <w:rFonts w:ascii="Arial" w:cs="Arial" w:eastAsia="Arial" w:hAnsi="Arial"/>
          <w:sz w:val="18"/>
          <w:szCs w:val="18"/>
          <w:color w:val="auto"/>
        </w:rPr>
        <w:t>% supermajority vote for stockholders to amend our Bylaws;</w:t>
      </w:r>
    </w:p>
    <w:p>
      <w:pPr>
        <w:spacing w:after="0" w:line="171" w:lineRule="exact"/>
        <w:rPr>
          <w:rFonts w:ascii="Arial" w:cs="Arial" w:eastAsia="Arial" w:hAnsi="Arial"/>
          <w:sz w:val="18"/>
          <w:szCs w:val="18"/>
          <w:color w:val="auto"/>
        </w:rPr>
      </w:pPr>
    </w:p>
    <w:p>
      <w:pPr>
        <w:ind w:left="1080" w:hanging="501"/>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30" w:lineRule="exact"/>
        <w:rPr>
          <w:rFonts w:ascii="Arial" w:cs="Arial" w:eastAsia="Arial" w:hAnsi="Arial"/>
          <w:sz w:val="18"/>
          <w:szCs w:val="18"/>
          <w:color w:val="auto"/>
        </w:rPr>
      </w:pPr>
    </w:p>
    <w:p>
      <w:pPr>
        <w:ind w:left="1080" w:hanging="501"/>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44" w:lineRule="exact"/>
        <w:rPr>
          <w:rFonts w:ascii="Arial" w:cs="Arial" w:eastAsia="Arial" w:hAnsi="Arial"/>
          <w:sz w:val="18"/>
          <w:szCs w:val="18"/>
          <w:color w:val="auto"/>
        </w:rPr>
      </w:pPr>
    </w:p>
    <w:p>
      <w:pPr>
        <w:ind w:left="1060" w:hanging="481"/>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44" w:lineRule="exact"/>
        <w:rPr>
          <w:rFonts w:ascii="Arial" w:cs="Arial" w:eastAsia="Arial" w:hAnsi="Arial"/>
          <w:sz w:val="18"/>
          <w:szCs w:val="18"/>
          <w:color w:val="auto"/>
        </w:rPr>
      </w:pPr>
    </w:p>
    <w:p>
      <w:pPr>
        <w:ind w:left="1060" w:hanging="481"/>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44" w:lineRule="exact"/>
        <w:rPr>
          <w:rFonts w:ascii="Arial" w:cs="Arial" w:eastAsia="Arial" w:hAnsi="Arial"/>
          <w:sz w:val="18"/>
          <w:szCs w:val="18"/>
          <w:color w:val="auto"/>
        </w:rPr>
      </w:pPr>
    </w:p>
    <w:p>
      <w:pPr>
        <w:ind w:left="1060" w:hanging="481"/>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44" w:lineRule="exact"/>
        <w:rPr>
          <w:rFonts w:ascii="Arial" w:cs="Arial" w:eastAsia="Arial" w:hAnsi="Arial"/>
          <w:sz w:val="18"/>
          <w:szCs w:val="18"/>
          <w:color w:val="auto"/>
        </w:rPr>
      </w:pPr>
    </w:p>
    <w:p>
      <w:pPr>
        <w:ind w:left="1060" w:hanging="481"/>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30" w:lineRule="exact"/>
        <w:rPr>
          <w:rFonts w:ascii="Arial" w:cs="Arial" w:eastAsia="Arial" w:hAnsi="Arial"/>
          <w:sz w:val="18"/>
          <w:szCs w:val="18"/>
          <w:color w:val="auto"/>
        </w:rPr>
      </w:pPr>
    </w:p>
    <w:p>
      <w:pPr>
        <w:ind w:left="1060" w:hanging="481"/>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57" w:lineRule="exact"/>
        <w:rPr>
          <w:rFonts w:ascii="Arial" w:cs="Arial" w:eastAsia="Arial" w:hAnsi="Arial"/>
          <w:sz w:val="18"/>
          <w:szCs w:val="18"/>
          <w:color w:val="auto"/>
        </w:rPr>
      </w:pPr>
    </w:p>
    <w:p>
      <w:pPr>
        <w:ind w:left="1060" w:hanging="481"/>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9"/>
          <w:szCs w:val="9"/>
          <w:color w:val="auto"/>
        </w:rPr>
        <w:t>2</w:t>
      </w:r>
      <w:r>
        <w:rPr>
          <w:rFonts w:ascii="Arial" w:cs="Arial" w:eastAsia="Arial" w:hAnsi="Arial"/>
          <w:sz w:val="18"/>
          <w:szCs w:val="18"/>
          <w:color w:val="auto"/>
        </w:rPr>
        <w:t>/</w:t>
      </w:r>
      <w:r>
        <w:rPr>
          <w:rFonts w:ascii="Arial" w:cs="Arial" w:eastAsia="Arial" w:hAnsi="Arial"/>
          <w:sz w:val="9"/>
          <w:szCs w:val="9"/>
          <w:color w:val="auto"/>
        </w:rPr>
        <w:t>3</w:t>
      </w:r>
      <w:r>
        <w:rPr>
          <w:rFonts w:ascii="Arial" w:cs="Arial" w:eastAsia="Arial" w:hAnsi="Arial"/>
          <w:sz w:val="18"/>
          <w:szCs w:val="18"/>
          <w:color w:val="auto"/>
        </w:rPr>
        <w:t>% supermajority vote.</w:t>
      </w:r>
    </w:p>
    <w:p>
      <w:pPr>
        <w:spacing w:after="0" w:line="347"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430943</w:t>
      </w:r>
    </w:p>
    <w:p>
      <w:pPr>
        <w:sectPr>
          <w:pgSz w:w="11900" w:h="16838" w:orient="portrait"/>
          <w:cols w:equalWidth="0" w:num="1">
            <w:col w:w="11200"/>
          </w:cols>
          <w:pgMar w:left="320" w:top="1440" w:right="379" w:bottom="1440" w:gutter="0" w:footer="0" w:header="0"/>
        </w:sectPr>
      </w:pPr>
    </w:p>
    <w:bookmarkStart w:id="120" w:name="page121"/>
    <w:bookmarkEnd w:id="120"/>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firstLine="441"/>
        <w:spacing w:after="0" w:line="263"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jc w:val="both"/>
        <w:ind w:right="340" w:firstLine="441"/>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60" w:firstLine="441"/>
        <w:spacing w:after="0" w:line="268" w:lineRule="auto"/>
        <w:rPr>
          <w:sz w:val="20"/>
          <w:szCs w:val="20"/>
          <w:color w:val="auto"/>
        </w:rPr>
      </w:pPr>
      <w:r>
        <w:rPr>
          <w:rFonts w:ascii="Arial" w:cs="Arial" w:eastAsia="Arial" w:hAnsi="Arial"/>
          <w:sz w:val="17"/>
          <w:szCs w:val="17"/>
          <w:color w:val="auto"/>
        </w:rPr>
        <w:t>Our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Certificate of Incorporation or our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does not apply to suits brought to enforce any liability or duty created by the Exchange Act, which already provides that such claims must be brought exclusively in the federal courts. Our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are deemed to have notice of and consented to the forum provisions in our Certificate of Incorporation.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do not have any duty to refrain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430943</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90" w:lineRule="exact"/>
        <w:rPr>
          <w:sz w:val="20"/>
          <w:szCs w:val="20"/>
          <w:color w:val="auto"/>
        </w:rPr>
      </w:pPr>
    </w:p>
    <w:p>
      <w:pPr>
        <w:ind w:left="260" w:hanging="252"/>
        <w:spacing w:after="0"/>
        <w:tabs>
          <w:tab w:leader="none" w:pos="2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engaging in a corporate opportunity in the same or similar lines of business in which we or our affiliates now engage or propose to engage or</w:t>
      </w:r>
    </w:p>
    <w:p>
      <w:pPr>
        <w:spacing w:after="0" w:line="34" w:lineRule="exact"/>
        <w:rPr>
          <w:rFonts w:ascii="Arial" w:cs="Arial" w:eastAsia="Arial" w:hAnsi="Arial"/>
          <w:sz w:val="17"/>
          <w:szCs w:val="17"/>
          <w:color w:val="auto"/>
        </w:rPr>
      </w:pPr>
    </w:p>
    <w:p>
      <w:pPr>
        <w:ind w:right="80" w:firstLine="8"/>
        <w:spacing w:after="0" w:line="268"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has no duty to communicate or offer such transaction or business opportunity to us or any of our affiliates and they may take any such opportunity for themselves or offer it to another person or entity. Our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Certificate of Incorporation, we have sufficient financial resources to undertake the opportunity and the opportunity would be in line with our business.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right="640" w:firstLine="441"/>
        <w:spacing w:after="0" w:line="258"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exceptions. Our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194"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Our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officers.</w:t>
      </w:r>
    </w:p>
    <w:p>
      <w:pPr>
        <w:spacing w:after="0" w:line="178"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Certificate of Incorporation and our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430943</w:t>
      </w:r>
    </w:p>
    <w:p>
      <w:pPr>
        <w:sectPr>
          <w:pgSz w:w="11900" w:h="16838" w:orient="portrait"/>
          <w:cols w:equalWidth="0" w:num="1">
            <w:col w:w="11240"/>
          </w:cols>
          <w:pgMar w:left="320" w:top="1440"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0"/>
          <w:szCs w:val="20"/>
          <w:b w:val="1"/>
          <w:bCs w:val="1"/>
          <w:color w:val="auto"/>
        </w:rPr>
        <w:t>Exhibit 10.19</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Performance RSUs (adopted March 2021)</w:t>
      </w: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RESTRICTED STOCK UNIT GRANT NOTICE</w:t>
      </w:r>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UNDER THE</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ACADEMY SPORTS AND OUTDOORS,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2020 OMNIBUS INCENTIVE PLAN</w:t>
      </w:r>
    </w:p>
    <w:p>
      <w:pPr>
        <w:spacing w:after="0" w:line="114" w:lineRule="exact"/>
        <w:rPr>
          <w:sz w:val="20"/>
          <w:szCs w:val="20"/>
          <w:color w:val="auto"/>
        </w:rPr>
      </w:pPr>
    </w:p>
    <w:p>
      <w:pPr>
        <w:jc w:val="both"/>
        <w:ind w:left="100" w:firstLine="648"/>
        <w:spacing w:after="0" w:line="260" w:lineRule="auto"/>
        <w:rPr>
          <w:sz w:val="20"/>
          <w:szCs w:val="20"/>
          <w:color w:val="auto"/>
        </w:rPr>
      </w:pPr>
      <w:r>
        <w:rPr>
          <w:rFonts w:ascii="Arial" w:cs="Arial" w:eastAsia="Arial" w:hAnsi="Arial"/>
          <w:sz w:val="19"/>
          <w:szCs w:val="19"/>
          <w:color w:val="auto"/>
        </w:rPr>
        <w:t>Academy Sports and Outdoors, Inc.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2020 Omnibus Incentive Plan, as it may be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20"/>
          <w:szCs w:val="20"/>
          <w:i w:val="1"/>
          <w:iCs w:val="1"/>
          <w:color w:val="auto"/>
        </w:rPr>
        <w:t>Name][Last Name]</w:t>
      </w:r>
    </w:p>
    <w:p>
      <w:pPr>
        <w:spacing w:after="0" w:line="324" w:lineRule="exact"/>
        <w:rPr>
          <w:sz w:val="20"/>
          <w:szCs w:val="20"/>
          <w:color w:val="auto"/>
        </w:rPr>
      </w:pPr>
    </w:p>
    <w:p>
      <w:pPr>
        <w:ind w:left="80"/>
        <w:spacing w:after="0"/>
        <w:rPr>
          <w:sz w:val="20"/>
          <w:szCs w:val="20"/>
          <w:color w:val="auto"/>
        </w:rPr>
      </w:pPr>
      <w:r>
        <w:rPr>
          <w:rFonts w:ascii="Arial" w:cs="Arial" w:eastAsia="Arial" w:hAnsi="Arial"/>
          <w:sz w:val="20"/>
          <w:szCs w:val="20"/>
          <w:i w:val="1"/>
          <w:iCs w:val="1"/>
          <w:color w:val="auto"/>
        </w:rPr>
        <w:t>of Grant]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rt Number of Restricted Stock Units Granted]</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Restricted Stock Units: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ng Commencement Date] </w:t>
      </w:r>
      <w:r>
        <w:rPr>
          <w:rFonts w:ascii="Arial" w:cs="Arial" w:eastAsia="Arial" w:hAnsi="Arial"/>
          <w:sz w:val="25"/>
          <w:szCs w:val="25"/>
          <w:color w:val="auto"/>
          <w:vertAlign w:val="superscript"/>
        </w:rPr>
        <w:t>1</w:t>
      </w:r>
    </w:p>
    <w:p>
      <w:pPr>
        <w:spacing w:after="0" w:line="293" w:lineRule="exact"/>
        <w:rPr>
          <w:sz w:val="20"/>
          <w:szCs w:val="20"/>
          <w:color w:val="auto"/>
        </w:rPr>
      </w:pPr>
    </w:p>
    <w:p>
      <w:pPr>
        <w:jc w:val="both"/>
        <w:ind w:left="2800" w:right="3420" w:hanging="2767"/>
        <w:spacing w:after="0" w:line="250" w:lineRule="auto"/>
        <w:rPr>
          <w:sz w:val="20"/>
          <w:szCs w:val="20"/>
          <w:color w:val="auto"/>
        </w:rPr>
      </w:pPr>
      <w:r>
        <w:rPr>
          <w:rFonts w:ascii="Arial" w:cs="Arial" w:eastAsia="Arial" w:hAnsi="Arial"/>
          <w:sz w:val="20"/>
          <w:szCs w:val="20"/>
          <w:color w:val="auto"/>
        </w:rPr>
        <w:t>arlier to occur of: (a) the date on which settlement of all vested Restricted Stock Units granted hereunder occurs, and (b) the tenth (10th) anniversary of the Date of Grant.</w:t>
      </w:r>
    </w:p>
    <w:p>
      <w:pPr>
        <w:spacing w:after="0" w:line="30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Earning:</w:t>
      </w:r>
    </w:p>
    <w:p>
      <w:pPr>
        <w:spacing w:after="0" w:line="222" w:lineRule="exact"/>
        <w:rPr>
          <w:sz w:val="20"/>
          <w:szCs w:val="20"/>
          <w:color w:val="auto"/>
        </w:rPr>
      </w:pPr>
    </w:p>
    <w:p>
      <w:pPr>
        <w:jc w:val="both"/>
        <w:ind w:left="100" w:right="80" w:firstLine="713"/>
        <w:spacing w:after="0" w:line="263" w:lineRule="auto"/>
        <w:rPr>
          <w:sz w:val="20"/>
          <w:szCs w:val="20"/>
          <w:color w:val="auto"/>
        </w:rPr>
      </w:pPr>
      <w:r>
        <w:rPr>
          <w:rFonts w:ascii="Arial" w:cs="Arial" w:eastAsia="Arial" w:hAnsi="Arial"/>
          <w:sz w:val="19"/>
          <w:szCs w:val="19"/>
          <w:color w:val="auto"/>
        </w:rPr>
        <w:t>Only “Earned Restricted Stock Units” are eligible to become vested in accordance with the vesting schedule set forth below. Restricted Stock Units become “</w:t>
      </w:r>
      <w:r>
        <w:rPr>
          <w:rFonts w:ascii="Arial" w:cs="Arial" w:eastAsia="Arial" w:hAnsi="Arial"/>
          <w:sz w:val="19"/>
          <w:szCs w:val="19"/>
          <w:u w:val="single" w:color="auto"/>
          <w:color w:val="auto"/>
        </w:rPr>
        <w:t>Earned Restricted Stock Units</w:t>
      </w:r>
      <w:r>
        <w:rPr>
          <w:rFonts w:ascii="Arial" w:cs="Arial" w:eastAsia="Arial" w:hAnsi="Arial"/>
          <w:sz w:val="19"/>
          <w:szCs w:val="19"/>
          <w:color w:val="auto"/>
        </w:rPr>
        <w:t xml:space="preserve">” based on (i) the Company’s level of achievement of consolidated annual Adjusted EBIT for the Grant Year, or (ii) the Company’s achievement of the Target Share Price, or (iii) a Change in Control occurring during the Grant Year, in each case in accordance with the terms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attached hereto.</w:t>
      </w:r>
    </w:p>
    <w:p>
      <w:pPr>
        <w:spacing w:after="0" w:line="17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Vesting</w:t>
      </w:r>
      <w:r>
        <w:rPr>
          <w:rFonts w:ascii="Arial" w:cs="Arial" w:eastAsia="Arial" w:hAnsi="Arial"/>
          <w:sz w:val="20"/>
          <w:szCs w:val="20"/>
          <w:color w:val="auto"/>
        </w:rPr>
        <w:t>:</w:t>
      </w:r>
    </w:p>
    <w:p>
      <w:pPr>
        <w:spacing w:after="0" w:line="22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Settlement of Earned Restricted Stock Units is conditioned on satisfaction of a time and service based requirement (the “</w:t>
      </w:r>
      <w:r>
        <w:rPr>
          <w:rFonts w:ascii="Arial" w:cs="Arial" w:eastAsia="Arial" w:hAnsi="Arial"/>
          <w:sz w:val="18"/>
          <w:szCs w:val="18"/>
          <w:u w:val="single" w:color="auto"/>
          <w:color w:val="auto"/>
        </w:rPr>
        <w:t>Time and</w:t>
      </w:r>
    </w:p>
    <w:p>
      <w:pPr>
        <w:spacing w:after="0" w:line="39" w:lineRule="exact"/>
        <w:rPr>
          <w:sz w:val="20"/>
          <w:szCs w:val="20"/>
          <w:color w:val="auto"/>
        </w:rPr>
      </w:pPr>
    </w:p>
    <w:p>
      <w:pPr>
        <w:ind w:left="100"/>
        <w:spacing w:after="0"/>
        <w:rPr>
          <w:sz w:val="20"/>
          <w:szCs w:val="20"/>
          <w:color w:val="auto"/>
        </w:rPr>
      </w:pPr>
      <w:r>
        <w:rPr>
          <w:rFonts w:ascii="Arial" w:cs="Arial" w:eastAsia="Arial" w:hAnsi="Arial"/>
          <w:sz w:val="20"/>
          <w:szCs w:val="20"/>
          <w:u w:val="single" w:color="auto"/>
          <w:color w:val="auto"/>
        </w:rPr>
        <w:t>Service Based Requirement</w:t>
      </w:r>
      <w:r>
        <w:rPr>
          <w:rFonts w:ascii="Arial" w:cs="Arial" w:eastAsia="Arial" w:hAnsi="Arial"/>
          <w:sz w:val="20"/>
          <w:szCs w:val="20"/>
          <w:color w:val="auto"/>
        </w:rPr>
        <w:t>”) before the tenth (10th) anniversary of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137160</wp:posOffset>
            </wp:positionV>
            <wp:extent cx="1714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1" w:lineRule="exact"/>
        <w:rPr>
          <w:sz w:val="20"/>
          <w:szCs w:val="20"/>
          <w:color w:val="auto"/>
        </w:rPr>
      </w:pPr>
    </w:p>
    <w:p>
      <w:pPr>
        <w:ind w:left="840" w:hanging="732"/>
        <w:spacing w:after="0"/>
        <w:tabs>
          <w:tab w:leader="none" w:pos="840" w:val="left"/>
        </w:tabs>
        <w:numPr>
          <w:ilvl w:val="0"/>
          <w:numId w:val="80"/>
        </w:numPr>
        <w:rPr>
          <w:rFonts w:ascii="Courier New" w:cs="Courier New" w:eastAsia="Courier New" w:hAnsi="Courier New"/>
          <w:sz w:val="28"/>
          <w:szCs w:val="28"/>
          <w:color w:val="auto"/>
          <w:vertAlign w:val="superscript"/>
        </w:rPr>
      </w:pPr>
      <w:r>
        <w:rPr>
          <w:rFonts w:ascii="Arial" w:cs="Arial" w:eastAsia="Arial" w:hAnsi="Arial"/>
          <w:sz w:val="20"/>
          <w:szCs w:val="20"/>
          <w:color w:val="auto"/>
        </w:rPr>
        <w:t>This will be the first day of the fiscal year in which the grant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0"/>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340"/>
          </w:cols>
          <w:pgMar w:left="220" w:top="115" w:right="339" w:bottom="1440" w:gutter="0" w:footer="0" w:header="0"/>
        </w:sectPr>
      </w:pPr>
    </w:p>
    <w:bookmarkStart w:id="123" w:name="page124"/>
    <w:bookmarkEnd w:id="123"/>
    <w:p>
      <w:pPr>
        <w:jc w:val="both"/>
        <w:ind w:left="660"/>
        <w:spacing w:after="0" w:line="261" w:lineRule="auto"/>
        <w:rPr>
          <w:sz w:val="20"/>
          <w:szCs w:val="20"/>
          <w:color w:val="auto"/>
        </w:rPr>
      </w:pPr>
      <w:r>
        <w:rPr>
          <w:rFonts w:ascii="Arial" w:cs="Arial" w:eastAsia="Arial" w:hAnsi="Arial"/>
          <w:sz w:val="20"/>
          <w:szCs w:val="20"/>
          <w:color w:val="auto"/>
        </w:rPr>
        <w:t>Provided that Participant is in continuous service with the Company and its Subsidiaries on each applicable vesting date described below, the Time and Service Based Requirement will be satisfied as to the following percentages of the Earned Restricted Stock Units</w:t>
      </w:r>
      <w:r>
        <w:rPr>
          <w:rFonts w:ascii="Arial" w:cs="Arial" w:eastAsia="Arial" w:hAnsi="Arial"/>
          <w:sz w:val="25"/>
          <w:szCs w:val="25"/>
          <w:color w:val="auto"/>
          <w:vertAlign w:val="superscript"/>
        </w:rPr>
        <w:t>2</w:t>
      </w:r>
      <w:r>
        <w:rPr>
          <w:rFonts w:ascii="Arial" w:cs="Arial" w:eastAsia="Arial" w:hAnsi="Arial"/>
          <w:sz w:val="20"/>
          <w:szCs w:val="20"/>
          <w:color w:val="auto"/>
        </w:rPr>
        <w:t>:</w:t>
      </w:r>
    </w:p>
    <w:p>
      <w:pPr>
        <w:spacing w:after="0" w:line="92" w:lineRule="exact"/>
        <w:rPr>
          <w:sz w:val="20"/>
          <w:szCs w:val="20"/>
          <w:color w:val="auto"/>
        </w:rPr>
      </w:pPr>
    </w:p>
    <w:p>
      <w:pPr>
        <w:ind w:left="1620" w:hanging="316"/>
        <w:spacing w:after="0" w:line="275" w:lineRule="auto"/>
        <w:tabs>
          <w:tab w:leader="none" w:pos="161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Twenty-five percent (25%) on or after the date of determination by the Committee of the Company’s actual consolidated annual Adjusted EBIT for the Grant Year but prior to the second anniversary of the Vesting Commencement Date,</w:t>
      </w:r>
    </w:p>
    <w:p>
      <w:pPr>
        <w:ind w:left="1620" w:hanging="316"/>
        <w:spacing w:after="0" w:line="239" w:lineRule="auto"/>
        <w:tabs>
          <w:tab w:leader="none" w:pos="1617" w:val="left"/>
        </w:tabs>
        <w:numPr>
          <w:ilvl w:val="0"/>
          <w:numId w:val="81"/>
        </w:numPr>
        <w:rPr>
          <w:rFonts w:ascii="Arial" w:cs="Arial" w:eastAsia="Arial" w:hAnsi="Arial"/>
          <w:sz w:val="20"/>
          <w:szCs w:val="20"/>
          <w:color w:val="auto"/>
        </w:rPr>
      </w:pPr>
      <w:r>
        <w:rPr>
          <w:rFonts w:ascii="Arial" w:cs="Arial" w:eastAsia="Arial" w:hAnsi="Arial"/>
          <w:sz w:val="20"/>
          <w:szCs w:val="20"/>
          <w:color w:val="auto"/>
        </w:rPr>
        <w:t>Fifty percent (50%) on or after the second anniversary of the Vesting Commencement Date but prior to the third anniversary of the Vesting Commencement Date,</w:t>
      </w:r>
    </w:p>
    <w:p>
      <w:pPr>
        <w:ind w:left="1620" w:hanging="316"/>
        <w:spacing w:after="0" w:line="239" w:lineRule="auto"/>
        <w:tabs>
          <w:tab w:leader="none" w:pos="1618" w:val="left"/>
        </w:tabs>
        <w:numPr>
          <w:ilvl w:val="0"/>
          <w:numId w:val="81"/>
        </w:numPr>
        <w:rPr>
          <w:rFonts w:ascii="Arial" w:cs="Arial" w:eastAsia="Arial" w:hAnsi="Arial"/>
          <w:sz w:val="20"/>
          <w:szCs w:val="20"/>
          <w:color w:val="auto"/>
        </w:rPr>
      </w:pPr>
      <w:r>
        <w:rPr>
          <w:rFonts w:ascii="Arial" w:cs="Arial" w:eastAsia="Arial" w:hAnsi="Arial"/>
          <w:sz w:val="20"/>
          <w:szCs w:val="20"/>
          <w:color w:val="auto"/>
        </w:rPr>
        <w:t>Seventy-five percent (75%) on or after third anniversary of the Vesting Commencement Date but prior to the fourth anniversary of the Vesting Commencement Date, and</w:t>
      </w:r>
    </w:p>
    <w:p>
      <w:pPr>
        <w:ind w:left="1600" w:hanging="296"/>
        <w:spacing w:after="0"/>
        <w:tabs>
          <w:tab w:leader="none" w:pos="16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One hundred percent (100%) on or after the fourth anniversary of the Vesting Commencement Date;</w:t>
      </w:r>
    </w:p>
    <w:p>
      <w:pPr>
        <w:spacing w:after="0" w:line="200" w:lineRule="exact"/>
        <w:rPr>
          <w:sz w:val="20"/>
          <w:szCs w:val="20"/>
          <w:color w:val="auto"/>
        </w:rPr>
      </w:pPr>
    </w:p>
    <w:p>
      <w:pPr>
        <w:jc w:val="both"/>
        <w:ind w:left="1300"/>
        <w:spacing w:after="0" w:line="26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if a Change in Control occurs and, during the 24 month period following such Change in Control, the Participant’s service is terminated by the Service Recipient without Cause or due to the Participant’s resignation for Good Reason (as defined below), then the Time and Service Based Requirement will thereupon be satisfied as to one hundred percent (100%) of the Earned Restricted Stock Units upon the date of the Participant’s Termination.</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application of a vesting percentage would cause vesting of a fractional share, then such vesting shall be rounded down to the nearest whole share and such fractional share shall cumulate with any other fractional shares and such fractions shall vest as they aggregate into a whole share.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w:t>
      </w:r>
      <w:r>
        <w:rPr>
          <w:rFonts w:ascii="Arial" w:cs="Arial" w:eastAsia="Arial" w:hAnsi="Arial"/>
          <w:sz w:val="18"/>
          <w:szCs w:val="18"/>
          <w:color w:val="auto"/>
        </w:rPr>
        <w:t>” means earnings before interest, taxes and certain other adjustments that are not representative of the Company’s operating performance and are included as adjustments in the calculation of the Company’s adjusted earnings before interest, taxes, depreciation and amortization and adjusted net income in the Company’s quarterly and annual reports. The Committee shall, fairly and appropriately, adjust the calculation of Adjusted EBIT to reflect, to the extent not contemplated in the management plan, the following: acquisitions, divestitures, any change required by GAAP relating to stock-based compensation or for other changes in GAAP promulgated by accounting standard setters and any extraordinary items that, in each case, the Committee in good faith determines require adjustment of Adjusted EBIT. The Committee’s determination of such adjustment shall be based on the Company’s accounting as set forth in its books and records and on the financial plan of the Company pursuant to which the performance target was originally established.</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means, as to the Participant, (i) “Cause,” as defined in any employment or consulting agreement between the Participant and the Service Recipient in effect at the time of the Participant’s Termination [FOR NON-EXECUTIVE COMMITTEE EMPLOYEES: (except that any provision of such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14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6" w:lineRule="exact"/>
        <w:rPr>
          <w:sz w:val="20"/>
          <w:szCs w:val="20"/>
          <w:color w:val="auto"/>
        </w:rPr>
      </w:pPr>
    </w:p>
    <w:p>
      <w:pPr>
        <w:ind w:left="660" w:right="80" w:hanging="652"/>
        <w:spacing w:after="0" w:line="254" w:lineRule="auto"/>
        <w:tabs>
          <w:tab w:leader="none" w:pos="292" w:val="left"/>
        </w:tabs>
        <w:numPr>
          <w:ilvl w:val="0"/>
          <w:numId w:val="82"/>
        </w:numPr>
        <w:rPr>
          <w:rFonts w:ascii="Arial" w:cs="Arial" w:eastAsia="Arial" w:hAnsi="Arial"/>
          <w:sz w:val="22"/>
          <w:szCs w:val="22"/>
          <w:color w:val="auto"/>
          <w:vertAlign w:val="superscript"/>
        </w:rPr>
      </w:pPr>
      <w:r>
        <w:rPr>
          <w:rFonts w:ascii="Arial" w:cs="Arial" w:eastAsia="Arial" w:hAnsi="Arial"/>
          <w:sz w:val="17"/>
          <w:szCs w:val="17"/>
          <w:color w:val="auto"/>
        </w:rPr>
        <w:t>To be included for the CEO only: In accordance with the terms of the CEO’s Employment Agreement, upon the date of determination by the Committee of the Company’s actual consolidated annual Adjusted EBIT for the Grant Year, 1/48th of the total number of Earned Restricted Stock Units shall be deemed to have vested for every monthly anniversary since the Vesting Commencement Date, and thereafter 1/48th of the total number of Earned Restricted Stock Units shall vest on each monthly anniversary of the Vesting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419" w:right="339" w:bottom="1440" w:gutter="0" w:footer="0" w:header="0"/>
        </w:sectPr>
      </w:pPr>
    </w:p>
    <w:bookmarkStart w:id="124" w:name="page125"/>
    <w:bookmarkEnd w:id="124"/>
    <w:p>
      <w:pPr>
        <w:jc w:val="both"/>
        <w:spacing w:after="0" w:line="255" w:lineRule="auto"/>
        <w:rPr>
          <w:sz w:val="20"/>
          <w:szCs w:val="20"/>
          <w:color w:val="auto"/>
        </w:rPr>
      </w:pPr>
      <w:r>
        <w:rPr>
          <w:rFonts w:ascii="Arial" w:cs="Arial" w:eastAsia="Arial" w:hAnsi="Arial"/>
          <w:sz w:val="19"/>
          <w:szCs w:val="19"/>
          <w:color w:val="auto"/>
        </w:rPr>
        <w:t>definition relating to Participant’s unsatisfactory performance shall not apply for purposes of this Restricted Stock Unit Agreement)]; or (ii) in the absence of any such employment or consulting agreement (or the absence of any definition of “Cause” contained therein), the Participant’s (A) willful neglect in the performance of the Participant’s duties for the Service Recipient or willful or repeated failure or refusal to perform such duties; (B) engagement in conduct in connection with the Participant’s employment or service with the Service Recipient, which results in, or could reasonably be expected to result in, material harm to the business or reputation of the Company or any other member of the Company Group; (C) conviction of, or plea of guilty or no contest to, (I) any felony; or (II) any other crime that results in, or could reasonably be expected to result in, material harm to the business or reputation of the Company or any other member of the Company Group; (D) material violation of the written policies of the Service Recipient, including, but not limited to, those relating to sexual harassment or the disclosure or misuse of confidential information, or those set forth in the manuals or statements of policy of the Service Recipient; (E) fraud or misappropriation, embezzlement or misuse of funds or property belonging to the Company or any other member of the Company Group; or (F) act of personal dishonesty that involves personal profit in connection with the Participant’s employment or service to the Service Recipient.</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have the meaning given to such term in any employment or consulting agreement between the Participant and the Service Recipient in effect at the time of the Participant’s Termination. In the absence of any such employment or consulting agreement or the absence of any definition of “Good Reason” contained therein, “Good Reason” means the occurrence of any material breach by the Company or the Service Recipient of this Restricted Stock Unit Agreement or the Participant’s employment agreement with the Service Recipient without the express written consent of the Participant, but only if the Participant notifies the Service Recipient in writing of the breach within 60 days following the occurrence of the breach, the breach remains uncured after the expiration of 30 days from receipt of such notice, and the Participant resigns effective no later than 30 days following the Service Recipient’s failure to cure the breach.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tabs>
          <w:tab w:leader="none" w:pos="180" w:val="left"/>
          <w:tab w:leader="none" w:pos="180" w:val="left"/>
        </w:tabs>
        <w:rPr>
          <w:sz w:val="20"/>
          <w:szCs w:val="20"/>
          <w:color w:val="auto"/>
        </w:rPr>
      </w:pPr>
      <w:r>
        <w:rPr>
          <w:rFonts w:ascii="Arial" w:cs="Arial" w:eastAsia="Arial" w:hAnsi="Arial"/>
          <w:sz w:val="20"/>
          <w:szCs w:val="20"/>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419" w:right="339" w:bottom="1440" w:gutter="0" w:footer="0" w:header="0"/>
        </w:sectPr>
      </w:pPr>
    </w:p>
    <w:bookmarkStart w:id="125" w:name="page126"/>
    <w:bookmarkEnd w:id="125"/>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ACADEMY SPORTS AND OUTDOORS,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39262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0119"/>
          </w:cols>
          <w:pgMar w:left="340" w:top="1440" w:right="1440" w:bottom="1440" w:gutter="0" w:footer="0" w:header="0"/>
        </w:sectPr>
      </w:pPr>
    </w:p>
    <w:bookmarkStart w:id="126" w:name="page127"/>
    <w:bookmarkEnd w:id="126"/>
    <w:p>
      <w:pPr>
        <w:jc w:val="both"/>
        <w:spacing w:after="0" w:line="248" w:lineRule="auto"/>
        <w:rPr>
          <w:sz w:val="20"/>
          <w:szCs w:val="20"/>
          <w:color w:val="auto"/>
        </w:rPr>
      </w:pPr>
      <w:r>
        <w:rPr>
          <w:rFonts w:ascii="Arial" w:cs="Arial" w:eastAsia="Arial" w:hAnsi="Arial"/>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r>
        <w:rPr>
          <w:rFonts w:ascii="Arial" w:cs="Arial" w:eastAsia="Arial" w:hAnsi="Arial"/>
          <w:sz w:val="25"/>
          <w:szCs w:val="25"/>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14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hanging="652"/>
        <w:spacing w:after="0" w:line="227" w:lineRule="auto"/>
        <w:tabs>
          <w:tab w:leader="none" w:pos="270" w:val="left"/>
        </w:tabs>
        <w:numPr>
          <w:ilvl w:val="0"/>
          <w:numId w:val="83"/>
        </w:numPr>
        <w:rPr>
          <w:rFonts w:ascii="Arial" w:cs="Arial" w:eastAsia="Arial" w:hAnsi="Arial"/>
          <w:sz w:val="23"/>
          <w:szCs w:val="23"/>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413"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0"/>
          <w:szCs w:val="20"/>
          <w:b w:val="1"/>
          <w:bCs w:val="1"/>
          <w:u w:val="single" w:color="auto"/>
          <w:color w:val="auto"/>
        </w:rPr>
        <w:t>Appendix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Targets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Restricted Stock Units shall become Earned Restricted Stock Units based on the Company’s level of achievement of consolidated annual Adjusted EBIT for the [____] fiscal year, which shall be the [__]-week period ending on [_____] (such [__]-week period, the “</w:t>
      </w:r>
      <w:r>
        <w:rPr>
          <w:rFonts w:ascii="Arial" w:cs="Arial" w:eastAsia="Arial" w:hAnsi="Arial"/>
          <w:sz w:val="20"/>
          <w:szCs w:val="20"/>
          <w:u w:val="single" w:color="auto"/>
          <w:color w:val="auto"/>
        </w:rPr>
        <w:t>Grant</w:t>
      </w:r>
      <w:r>
        <w:rPr>
          <w:rFonts w:ascii="Arial" w:cs="Arial" w:eastAsia="Arial" w:hAnsi="Arial"/>
          <w:sz w:val="20"/>
          <w:szCs w:val="20"/>
          <w:color w:val="auto"/>
        </w:rPr>
        <w:t xml:space="preserve"> </w:t>
      </w:r>
      <w:r>
        <w:rPr>
          <w:rFonts w:ascii="Arial" w:cs="Arial" w:eastAsia="Arial" w:hAnsi="Arial"/>
          <w:sz w:val="20"/>
          <w:szCs w:val="20"/>
          <w:u w:val="single" w:color="auto"/>
          <w:color w:val="auto"/>
        </w:rPr>
        <w:t>Year</w:t>
      </w:r>
      <w:r>
        <w:rPr>
          <w:rFonts w:ascii="Arial" w:cs="Arial" w:eastAsia="Arial" w:hAnsi="Arial"/>
          <w:sz w:val="20"/>
          <w:szCs w:val="20"/>
          <w:color w:val="auto"/>
        </w:rPr>
        <w:t>”), in accordance with the following terms and conditions.</w:t>
      </w:r>
    </w:p>
    <w:p>
      <w:pPr>
        <w:spacing w:after="0" w:line="186" w:lineRule="exact"/>
        <w:rPr>
          <w:sz w:val="20"/>
          <w:szCs w:val="20"/>
          <w:color w:val="auto"/>
        </w:rPr>
      </w:pPr>
    </w:p>
    <w:p>
      <w:pPr>
        <w:jc w:val="both"/>
        <w:ind w:firstLine="656"/>
        <w:spacing w:after="0" w:line="246" w:lineRule="auto"/>
        <w:tabs>
          <w:tab w:leader="none" w:pos="1284"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the Company’s actual consolidated annual Adjusted EBIT for the Grant Year is equal to or greater than $[_____] million, which amount is the Company’s target consolidated annual Adjusted EBIT for the Grant Year (such amount, the “</w:t>
      </w:r>
      <w:r>
        <w:rPr>
          <w:rFonts w:ascii="Arial" w:cs="Arial" w:eastAsia="Arial" w:hAnsi="Arial"/>
          <w:sz w:val="20"/>
          <w:szCs w:val="20"/>
          <w:u w:val="single" w:color="auto"/>
          <w:color w:val="auto"/>
        </w:rPr>
        <w:t>Grant Year High</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Target</w:t>
      </w:r>
      <w:r>
        <w:rPr>
          <w:rFonts w:ascii="Arial" w:cs="Arial" w:eastAsia="Arial" w:hAnsi="Arial"/>
          <w:sz w:val="20"/>
          <w:szCs w:val="20"/>
          <w:color w:val="auto"/>
        </w:rPr>
        <w:t>”), then one hundred percent (100%) (such percentage, the “</w:t>
      </w:r>
      <w:r>
        <w:rPr>
          <w:rFonts w:ascii="Arial" w:cs="Arial" w:eastAsia="Arial" w:hAnsi="Arial"/>
          <w:sz w:val="20"/>
          <w:szCs w:val="20"/>
          <w:u w:val="single" w:color="auto"/>
          <w:color w:val="auto"/>
        </w:rPr>
        <w:t>High Earned Percentage</w:t>
      </w:r>
      <w:r>
        <w:rPr>
          <w:rFonts w:ascii="Arial" w:cs="Arial" w:eastAsia="Arial" w:hAnsi="Arial"/>
          <w:sz w:val="20"/>
          <w:szCs w:val="20"/>
          <w:color w:val="auto"/>
        </w:rPr>
        <w:t>”) of the Restricted Stock Units shall become Earned Restricted Stock Units.</w:t>
      </w:r>
    </w:p>
    <w:p>
      <w:pPr>
        <w:spacing w:after="0" w:line="191" w:lineRule="exact"/>
        <w:rPr>
          <w:rFonts w:ascii="Arial" w:cs="Arial" w:eastAsia="Arial" w:hAnsi="Arial"/>
          <w:sz w:val="20"/>
          <w:szCs w:val="20"/>
          <w:color w:val="auto"/>
        </w:rPr>
      </w:pPr>
    </w:p>
    <w:p>
      <w:pPr>
        <w:jc w:val="both"/>
        <w:ind w:firstLine="656"/>
        <w:spacing w:after="0" w:line="250" w:lineRule="auto"/>
        <w:tabs>
          <w:tab w:leader="none" w:pos="1284"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the Company’s actual consolidated annual Adjusted EBIT for the Grant Year is equal to $[_____] million (such amount, the “</w:t>
      </w:r>
      <w:r>
        <w:rPr>
          <w:rFonts w:ascii="Arial" w:cs="Arial" w:eastAsia="Arial" w:hAnsi="Arial"/>
          <w:sz w:val="20"/>
          <w:szCs w:val="20"/>
          <w:u w:val="single" w:color="auto"/>
          <w:color w:val="auto"/>
        </w:rPr>
        <w:t>Grant Year Low Performance Target</w:t>
      </w:r>
      <w:r>
        <w:rPr>
          <w:rFonts w:ascii="Arial" w:cs="Arial" w:eastAsia="Arial" w:hAnsi="Arial"/>
          <w:sz w:val="20"/>
          <w:szCs w:val="20"/>
          <w:color w:val="auto"/>
        </w:rPr>
        <w:t>”), then fifty percent (50%) (such percentage, the “</w:t>
      </w:r>
      <w:r>
        <w:rPr>
          <w:rFonts w:ascii="Arial" w:cs="Arial" w:eastAsia="Arial" w:hAnsi="Arial"/>
          <w:sz w:val="20"/>
          <w:szCs w:val="20"/>
          <w:u w:val="single" w:color="auto"/>
          <w:color w:val="auto"/>
        </w:rPr>
        <w:t>Low Earned Percentage</w:t>
      </w:r>
      <w:r>
        <w:rPr>
          <w:rFonts w:ascii="Arial" w:cs="Arial" w:eastAsia="Arial" w:hAnsi="Arial"/>
          <w:sz w:val="20"/>
          <w:szCs w:val="20"/>
          <w:color w:val="auto"/>
        </w:rPr>
        <w:t>”) of the Restricted Stock Units shall become Earned Restricted Stock Units.</w:t>
      </w:r>
    </w:p>
    <w:p>
      <w:pPr>
        <w:spacing w:after="0" w:line="212" w:lineRule="exact"/>
        <w:rPr>
          <w:rFonts w:ascii="Arial" w:cs="Arial" w:eastAsia="Arial" w:hAnsi="Arial"/>
          <w:sz w:val="20"/>
          <w:szCs w:val="20"/>
          <w:color w:val="auto"/>
        </w:rPr>
      </w:pPr>
    </w:p>
    <w:p>
      <w:pPr>
        <w:jc w:val="both"/>
        <w:ind w:firstLine="656"/>
        <w:spacing w:after="0" w:line="303" w:lineRule="auto"/>
        <w:tabs>
          <w:tab w:leader="none" w:pos="1284"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Company’s actual consolidated annual Adjusted EBIT for the Grant Year is less than the Grant Year High Performance Target but greater than the Grant Year Low Performance Target, then the portion of the Restricted Stock Units that shall be Earned Restricted Stock Units shall be equal to a percentage, rounded to two decimal places (the “</w:t>
      </w:r>
      <w:r>
        <w:rPr>
          <w:rFonts w:ascii="Arial" w:cs="Arial" w:eastAsia="Arial" w:hAnsi="Arial"/>
          <w:sz w:val="16"/>
          <w:szCs w:val="16"/>
          <w:u w:val="single" w:color="auto"/>
          <w:color w:val="auto"/>
        </w:rPr>
        <w:t>Earned Percentage</w:t>
      </w:r>
      <w:r>
        <w:rPr>
          <w:rFonts w:ascii="Arial" w:cs="Arial" w:eastAsia="Arial" w:hAnsi="Arial"/>
          <w:sz w:val="16"/>
          <w:szCs w:val="16"/>
          <w:color w:val="auto"/>
        </w:rPr>
        <w:t>”), that is calculated by interpolating along a linear slope with the Grant Year High Performance Target and the Grant Year Low Performance Target being the limits on either end for performance, and the High Earned Percentage and the Low Earned Percentage being the limits on either end for the percentage earned.</w:t>
      </w:r>
    </w:p>
    <w:p>
      <w:pPr>
        <w:spacing w:after="0" w:line="2" w:lineRule="exact"/>
        <w:rPr>
          <w:rFonts w:ascii="Arial" w:cs="Arial" w:eastAsia="Arial" w:hAnsi="Arial"/>
          <w:sz w:val="16"/>
          <w:szCs w:val="16"/>
          <w:color w:val="auto"/>
        </w:rPr>
      </w:pPr>
    </w:p>
    <w:p>
      <w:pPr>
        <w:ind w:right="20" w:firstLine="656"/>
        <w:spacing w:after="0" w:line="244" w:lineRule="auto"/>
        <w:tabs>
          <w:tab w:leader="none" w:pos="1284" w:val="left"/>
        </w:tabs>
        <w:numPr>
          <w:ilvl w:val="0"/>
          <w:numId w:val="84"/>
        </w:numPr>
        <w:rPr>
          <w:rFonts w:ascii="Arial" w:cs="Arial" w:eastAsia="Arial" w:hAnsi="Arial"/>
          <w:sz w:val="20"/>
          <w:szCs w:val="20"/>
          <w:color w:val="auto"/>
        </w:rPr>
      </w:pPr>
      <w:r>
        <w:rPr>
          <w:rFonts w:ascii="Arial" w:cs="Arial" w:eastAsia="Arial" w:hAnsi="Arial"/>
          <w:sz w:val="20"/>
          <w:szCs w:val="20"/>
          <w:color w:val="auto"/>
        </w:rPr>
        <w:t>If the Company’s actual consolidated annual Adjusted EBIT for the Grant Year is less than the Grant Year Low Performance Target, then none (0.00%) of the Restricted Stock Units shall become Earned Restricted Stock Units.</w:t>
      </w:r>
    </w:p>
    <w:p>
      <w:pPr>
        <w:spacing w:after="0" w:line="218" w:lineRule="exact"/>
        <w:rPr>
          <w:rFonts w:ascii="Arial" w:cs="Arial" w:eastAsia="Arial" w:hAnsi="Arial"/>
          <w:sz w:val="20"/>
          <w:szCs w:val="20"/>
          <w:color w:val="auto"/>
        </w:rPr>
      </w:pPr>
    </w:p>
    <w:p>
      <w:pPr>
        <w:jc w:val="both"/>
        <w:ind w:firstLine="656"/>
        <w:spacing w:after="0" w:line="263" w:lineRule="auto"/>
        <w:tabs>
          <w:tab w:leader="none" w:pos="1284" w:val="left"/>
        </w:tabs>
        <w:numPr>
          <w:ilvl w:val="0"/>
          <w:numId w:val="84"/>
        </w:numPr>
        <w:rPr>
          <w:rFonts w:ascii="Arial" w:cs="Arial" w:eastAsia="Arial" w:hAnsi="Arial"/>
          <w:sz w:val="19"/>
          <w:szCs w:val="19"/>
          <w:color w:val="auto"/>
        </w:rPr>
      </w:pPr>
      <w:r>
        <w:rPr>
          <w:rFonts w:ascii="Arial" w:cs="Arial" w:eastAsia="Arial" w:hAnsi="Arial"/>
          <w:sz w:val="19"/>
          <w:szCs w:val="19"/>
          <w:color w:val="auto"/>
        </w:rPr>
        <w:t>All determinations and interpretations relating to the Company’s achievement of the Grant Year Low Performance Target, the Grant Year High Performance Target, any performance between such targets, and/or the Fair Market Value of each share of Common Stock shall be made in good faith by the Committee, and all determinations and interpretations made in good faith by the Committee shall be final and binding upon Participant and all other interested persons.</w:t>
      </w:r>
    </w:p>
    <w:p>
      <w:pPr>
        <w:spacing w:after="0" w:line="17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Notwithstanding the foregoing, if prior to consummation of a Change in Control (i) any Restricted Stock Units that have not become Earned Restricted Stock Units remain outstanding and unvested as of the fourth anniversary of the Vesting Commencement Date, and (ii) the Committee determines that the 20 trading-day average Fair Market Value of a share of Common Stock as of such anniversary date equals or exceeds $[_____] (as such amount may be equitably adjusted by the Committee to reflect stock splits, reverse stock splits and other</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Adjustment Events pursuant to Section 9(a) of the Plan, the “</w:t>
      </w:r>
      <w:r>
        <w:rPr>
          <w:rFonts w:ascii="Arial" w:cs="Arial" w:eastAsia="Arial" w:hAnsi="Arial"/>
          <w:sz w:val="20"/>
          <w:szCs w:val="20"/>
          <w:u w:val="single" w:color="auto"/>
          <w:color w:val="auto"/>
        </w:rPr>
        <w:t>Target Share Price</w:t>
      </w:r>
      <w:r>
        <w:rPr>
          <w:rFonts w:ascii="Arial" w:cs="Arial" w:eastAsia="Arial" w:hAnsi="Arial"/>
          <w:sz w:val="20"/>
          <w:szCs w:val="20"/>
          <w:color w:val="auto"/>
        </w:rPr>
        <w:t>”), then one hundred percent (100%) of the Restricted Stock Units that have not become Earned Restricted Stock Units as of such anniversary date shall become Earned Restricted Stock Units immediately upon such determination by the Committee. For the avoidance of doubt, no Restricted Stock Units may become Earned Restricted Stock Units pursuant to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413" w:right="3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following a Termination of Participant’s employment for any reason or following the consummation of a Change in Control.</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Notwithstanding the foregoing, (i) if a Change in Control occurs during the Grant Year, then all outstanding Restricted Stock Units shall automatically become Earned Restricted Stock Units immediately prior to such Change in Control and (ii) if a Change in Control occurs following the Grant Year, any Restricted Stock Units that are not Earned Restricted Stock Units as of immediately prior to such Change in Control shall be automatically forfeited upon the consummation of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419"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Performance RSUs (adopted March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UNDER THE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ACADEMY SPORTS AND OUTDOORS,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2020 OMNIBUS INCENTIVE PLAN</w:t>
      </w:r>
    </w:p>
    <w:p>
      <w:pPr>
        <w:spacing w:after="0" w:line="11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delivered to the Participant (as defined in the Grant Notice), and subject to the terms of this Restricted Stock Unit Agreement (this “</w:t>
      </w: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and the Academy Sports and Outdoors, Inc. 2020 Omnibus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Academy Sports and Outdoors,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agree as follows. Capitalized terms not otherwise defined herein shall have the same meaning as set forth in the Plan.</w:t>
      </w:r>
    </w:p>
    <w:p>
      <w:pPr>
        <w:spacing w:after="0" w:line="188" w:lineRule="exact"/>
        <w:rPr>
          <w:sz w:val="20"/>
          <w:szCs w:val="20"/>
          <w:color w:val="auto"/>
        </w:rPr>
      </w:pPr>
    </w:p>
    <w:p>
      <w:pPr>
        <w:jc w:val="both"/>
        <w:ind w:firstLine="1304"/>
        <w:spacing w:after="0" w:line="244" w:lineRule="auto"/>
        <w:tabs>
          <w:tab w:leader="none" w:pos="1521" w:val="left"/>
        </w:tabs>
        <w:numPr>
          <w:ilvl w:val="0"/>
          <w:numId w:val="85"/>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Stock Units</w:t>
      </w:r>
      <w:r>
        <w:rPr>
          <w:rFonts w:ascii="Arial" w:cs="Arial" w:eastAsia="Arial" w:hAnsi="Arial"/>
          <w:sz w:val="20"/>
          <w:szCs w:val="20"/>
          <w:color w:val="auto"/>
        </w:rPr>
        <w:t>. Subject to the terms and conditions set forth herein and in the Plan,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85" w:lineRule="exact"/>
        <w:rPr>
          <w:rFonts w:ascii="Arial" w:cs="Arial" w:eastAsia="Arial" w:hAnsi="Arial"/>
          <w:sz w:val="20"/>
          <w:szCs w:val="20"/>
          <w:color w:val="auto"/>
        </w:rPr>
      </w:pPr>
    </w:p>
    <w:p>
      <w:pPr>
        <w:ind w:left="1500" w:hanging="196"/>
        <w:spacing w:after="0"/>
        <w:tabs>
          <w:tab w:leader="none" w:pos="1500" w:val="left"/>
        </w:tabs>
        <w:numPr>
          <w:ilvl w:val="0"/>
          <w:numId w:val="85"/>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Subject to the conditions contained herein and in the Plan, the Restricted Stock Units shall vest as provided in the</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Grant Notice.</w:t>
      </w:r>
    </w:p>
    <w:p>
      <w:pPr>
        <w:spacing w:after="0" w:line="193" w:lineRule="exact"/>
        <w:rPr>
          <w:rFonts w:ascii="Arial" w:cs="Arial" w:eastAsia="Arial" w:hAnsi="Arial"/>
          <w:sz w:val="16"/>
          <w:szCs w:val="16"/>
          <w:color w:val="auto"/>
        </w:rPr>
      </w:pPr>
    </w:p>
    <w:p>
      <w:pPr>
        <w:jc w:val="both"/>
        <w:ind w:firstLine="1304"/>
        <w:spacing w:after="0" w:line="256" w:lineRule="auto"/>
        <w:tabs>
          <w:tab w:leader="none" w:pos="1494" w:val="left"/>
        </w:tabs>
        <w:numPr>
          <w:ilvl w:val="0"/>
          <w:numId w:val="85"/>
        </w:numPr>
        <w:rPr>
          <w:rFonts w:ascii="Arial" w:cs="Arial" w:eastAsia="Arial" w:hAnsi="Arial"/>
          <w:sz w:val="19"/>
          <w:szCs w:val="19"/>
          <w:color w:val="auto"/>
        </w:rPr>
      </w:pPr>
      <w:r>
        <w:rPr>
          <w:rFonts w:ascii="Arial" w:cs="Arial" w:eastAsia="Arial" w:hAnsi="Arial"/>
          <w:sz w:val="19"/>
          <w:szCs w:val="19"/>
          <w:b w:val="1"/>
          <w:bCs w:val="1"/>
          <w:u w:val="single" w:color="auto"/>
          <w:color w:val="auto"/>
        </w:rPr>
        <w:t>Settlement of Earned Restricted Stock Units</w:t>
      </w:r>
      <w:r>
        <w:rPr>
          <w:rFonts w:ascii="Arial" w:cs="Arial" w:eastAsia="Arial" w:hAnsi="Arial"/>
          <w:sz w:val="19"/>
          <w:szCs w:val="19"/>
          <w:color w:val="auto"/>
        </w:rPr>
        <w:t>. Subject to any election by the Committee pursuant to Section 9(d)(ii)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Company will deliver to the Participant, without charge, as soon as reasonably practicable (and, in any event, within two and one-half months) following the applicable vesting date, one share of Common Stock for each Earned Restricted Stock Unit (as adjusted under the Plan, as applicable) which becomes vested hereunder and such vested Earned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80" w:lineRule="exact"/>
        <w:rPr>
          <w:rFonts w:ascii="Arial" w:cs="Arial" w:eastAsia="Arial" w:hAnsi="Arial"/>
          <w:sz w:val="19"/>
          <w:szCs w:val="19"/>
          <w:color w:val="auto"/>
        </w:rPr>
      </w:pPr>
    </w:p>
    <w:p>
      <w:pPr>
        <w:jc w:val="both"/>
        <w:ind w:firstLine="1304"/>
        <w:spacing w:after="0" w:line="285" w:lineRule="auto"/>
        <w:tabs>
          <w:tab w:leader="none" w:pos="1521"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of Restricted Stock Units Upon Termination</w:t>
      </w:r>
      <w:r>
        <w:rPr>
          <w:rFonts w:ascii="Arial" w:cs="Arial" w:eastAsia="Arial" w:hAnsi="Arial"/>
          <w:sz w:val="18"/>
          <w:szCs w:val="18"/>
          <w:color w:val="auto"/>
        </w:rPr>
        <w:t>. Except as otherwise provided in the Grant Notice or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may be provided by the Committee, in the event of a Participant’s Termination for any reason prior to the time that such Participant’s Restricted Stock Units have vested, (A) all vesting with respect to such Participant’s Restricted Stock Units shall cease and (B) unvested Restricted Stock Units shall be forfeited to the Company by the Participant for no consideration as of the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26" w:right="339" w:bottom="1440" w:gutter="0" w:footer="0" w:header="0"/>
        </w:sectPr>
      </w:pPr>
    </w:p>
    <w:bookmarkStart w:id="130" w:name="page131"/>
    <w:bookmarkEnd w:id="130"/>
    <w:p>
      <w:pPr>
        <w:jc w:val="both"/>
        <w:ind w:firstLine="1304"/>
        <w:spacing w:after="0" w:line="244" w:lineRule="auto"/>
        <w:tabs>
          <w:tab w:leader="none" w:pos="1534"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Conditions to Issuance of Common Stock</w:t>
      </w:r>
      <w:r>
        <w:rPr>
          <w:rFonts w:ascii="Arial" w:cs="Arial" w:eastAsia="Arial" w:hAnsi="Arial"/>
          <w:sz w:val="20"/>
          <w:szCs w:val="20"/>
          <w:color w:val="auto"/>
        </w:rPr>
        <w:t>. The Company shall not be required to record the ownership by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Participant of shares of Common Stock issued upon the settlement of vested Earned Restricted Stock Units prior to fulfillment of all of the following conditions: (i) the obtaining of approval or other clearance from any federal, state, local or non-U.S. governmental agency which the Committee shall, in its reasonable and good faith discretion, determine to be necessary; (ii) the lapse of such reasonable period of time following the vesting of the Earned Restricted Stock Units as may otherwise be required by applicable law; and (iii) the execution and delivery to the Company, to the extent not so previously executed and delivered, of such other documents and instruments as may be reasonably required by the Committee.</w:t>
      </w:r>
    </w:p>
    <w:p>
      <w:pPr>
        <w:spacing w:after="0" w:line="185" w:lineRule="exact"/>
        <w:rPr>
          <w:rFonts w:ascii="Arial" w:cs="Arial" w:eastAsia="Arial" w:hAnsi="Arial"/>
          <w:sz w:val="20"/>
          <w:szCs w:val="20"/>
          <w:color w:val="auto"/>
        </w:rPr>
      </w:pPr>
    </w:p>
    <w:p>
      <w:pPr>
        <w:jc w:val="both"/>
        <w:ind w:firstLine="1304"/>
        <w:spacing w:after="0" w:line="248" w:lineRule="auto"/>
        <w:tabs>
          <w:tab w:leader="none" w:pos="1507"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Participant</w:t>
      </w:r>
      <w:r>
        <w:rPr>
          <w:rFonts w:ascii="Arial" w:cs="Arial" w:eastAsia="Arial" w:hAnsi="Arial"/>
          <w:sz w:val="20"/>
          <w:szCs w:val="20"/>
          <w:color w:val="auto"/>
        </w:rPr>
        <w:t>. Whenever the word “Participant” is used in any provision of this Restricted Stock Unit Agreement under</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pacing w:after="0" w:line="183" w:lineRule="exact"/>
        <w:rPr>
          <w:rFonts w:ascii="Arial" w:cs="Arial" w:eastAsia="Arial" w:hAnsi="Arial"/>
          <w:sz w:val="20"/>
          <w:szCs w:val="20"/>
          <w:color w:val="auto"/>
        </w:rPr>
      </w:pPr>
    </w:p>
    <w:p>
      <w:pPr>
        <w:jc w:val="both"/>
        <w:ind w:firstLine="1304"/>
        <w:spacing w:after="0" w:line="246" w:lineRule="auto"/>
        <w:tabs>
          <w:tab w:leader="none" w:pos="1494" w:val="left"/>
        </w:tabs>
        <w:numPr>
          <w:ilvl w:val="0"/>
          <w:numId w:val="86"/>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Restricted Stock Units are not transferable by the Participant except to Permitted Transferees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 IPO GRANTS AND GRANTS MADE WITHIN 180 DAYS FOLLOWING IPO:</w:t>
      </w:r>
      <w:r>
        <w:rPr>
          <w:rFonts w:ascii="Arial" w:cs="Arial" w:eastAsia="Arial" w:hAnsi="Arial"/>
          <w:sz w:val="18"/>
          <w:szCs w:val="18"/>
          <w:color w:val="auto"/>
        </w:rPr>
        <w:t xml:space="preserve"> The Participant further hereby agrees that the Participant shall, without further action on the part of the Participant, be bound by the provisions of the lock-up agreements executed by the executive officers of the Company to the same extent as if the Participant had directly executed such lock-up agreement himself or herself. Such lock-up agreement will provide that the Participant shall not, subject to certain customary exceptions, dispose of or hedge any shares of Common Stock or securities convertible into or exchangeable for shares of Common Stock during the period from the date of the final prospectus relating to initial public offering of the Company and continuing through the date one hundred eighty (180) days following the date of such prospectus, except with the prior consent of the representative(s) of the underwriters.]</w:t>
      </w:r>
    </w:p>
    <w:p>
      <w:pPr>
        <w:spacing w:after="0" w:line="189" w:lineRule="exact"/>
        <w:rPr>
          <w:sz w:val="20"/>
          <w:szCs w:val="20"/>
          <w:color w:val="auto"/>
        </w:rPr>
      </w:pPr>
    </w:p>
    <w:p>
      <w:pPr>
        <w:jc w:val="both"/>
        <w:ind w:firstLine="1304"/>
        <w:spacing w:after="0" w:line="246" w:lineRule="auto"/>
        <w:tabs>
          <w:tab w:leader="none" w:pos="1494"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Shareholder</w:t>
      </w:r>
      <w:r>
        <w:rPr>
          <w:rFonts w:ascii="Arial" w:cs="Arial" w:eastAsia="Arial" w:hAnsi="Arial"/>
          <w:sz w:val="20"/>
          <w:szCs w:val="20"/>
          <w:color w:val="auto"/>
        </w:rPr>
        <w:t>. The Participant or a Permitted Transferee of the Restricted Stock Units shall have no rights as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84" w:lineRule="exact"/>
        <w:rPr>
          <w:rFonts w:ascii="Arial" w:cs="Arial" w:eastAsia="Arial" w:hAnsi="Arial"/>
          <w:sz w:val="20"/>
          <w:szCs w:val="20"/>
          <w:color w:val="auto"/>
        </w:rPr>
      </w:pPr>
    </w:p>
    <w:p>
      <w:pPr>
        <w:jc w:val="both"/>
        <w:ind w:firstLine="1304"/>
        <w:spacing w:after="0" w:line="245" w:lineRule="auto"/>
        <w:tabs>
          <w:tab w:leader="none" w:pos="1507" w:val="left"/>
        </w:tabs>
        <w:numPr>
          <w:ilvl w:val="0"/>
          <w:numId w:val="87"/>
        </w:numPr>
        <w:rPr>
          <w:rFonts w:ascii="Arial" w:cs="Arial" w:eastAsia="Arial" w:hAnsi="Arial"/>
          <w:sz w:val="20"/>
          <w:szCs w:val="20"/>
          <w:color w:val="auto"/>
        </w:rPr>
      </w:pPr>
      <w:r>
        <w:rPr>
          <w:rFonts w:ascii="Arial" w:cs="Arial" w:eastAsia="Arial" w:hAnsi="Arial"/>
          <w:sz w:val="20"/>
          <w:szCs w:val="20"/>
          <w:b w:val="1"/>
          <w:bCs w:val="1"/>
          <w:u w:val="single" w:color="auto"/>
          <w:color w:val="auto"/>
        </w:rPr>
        <w:t>Tax Withholding</w:t>
      </w:r>
      <w:r>
        <w:rPr>
          <w:rFonts w:ascii="Arial" w:cs="Arial" w:eastAsia="Arial" w:hAnsi="Arial"/>
          <w:sz w:val="20"/>
          <w:szCs w:val="20"/>
          <w:color w:val="auto"/>
        </w:rPr>
        <w:t>. The Participant may be required to pay to the Company or the Service Recipient and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shall have the right and is hereby authorized to withhold, any applicable withholding taxes in respect of the Restricted Stock Units, their vesting or settlement or any payment or transfer with respect to the Restricted Stock Units at the minimum applicable statutory rates, and to take such action as may be necessary in the opinion of the Committee to satisfy all obligations for the payment of such withholding taxes. The Committee may, in its sole discretion, permit the Participant to satisfy such withholding tax obligations, in whole or in part, by delivering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413"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including shares of Common Stock received upon settlement of Restricted Stock Units pursuant to this Restricted Stock Unit Agreement.</w:t>
      </w:r>
    </w:p>
    <w:p>
      <w:pPr>
        <w:spacing w:after="0" w:line="233" w:lineRule="exact"/>
        <w:rPr>
          <w:sz w:val="20"/>
          <w:szCs w:val="20"/>
          <w:color w:val="auto"/>
        </w:rPr>
      </w:pPr>
    </w:p>
    <w:p>
      <w:pPr>
        <w:jc w:val="both"/>
        <w:ind w:firstLine="1304"/>
        <w:spacing w:after="0" w:line="273" w:lineRule="auto"/>
        <w:tabs>
          <w:tab w:leader="none" w:pos="1593"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Every notice or other communication relating to this Restricted Stock Unit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Participant 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and until some other address be so designated, all notices or communications by the Participant to the Company shall be mailed or delivered to the Company at its principal executive office, to the attention of the Company’s Compensation Department,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62" w:lineRule="exact"/>
        <w:rPr>
          <w:rFonts w:ascii="Arial" w:cs="Arial" w:eastAsia="Arial" w:hAnsi="Arial"/>
          <w:sz w:val="18"/>
          <w:szCs w:val="18"/>
          <w:color w:val="auto"/>
        </w:rPr>
      </w:pPr>
    </w:p>
    <w:p>
      <w:pPr>
        <w:ind w:firstLine="1304"/>
        <w:spacing w:after="0" w:line="267" w:lineRule="auto"/>
        <w:tabs>
          <w:tab w:leader="none" w:pos="1585"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Restricted Stock Unit Agreement does not confer upon the Participant any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as an employee or other service provider to the Company or any of its Subsidiaries.</w:t>
      </w:r>
    </w:p>
    <w:p>
      <w:pPr>
        <w:spacing w:after="0" w:line="163" w:lineRule="exact"/>
        <w:rPr>
          <w:rFonts w:ascii="Arial" w:cs="Arial" w:eastAsia="Arial" w:hAnsi="Arial"/>
          <w:sz w:val="20"/>
          <w:szCs w:val="20"/>
          <w:color w:val="auto"/>
        </w:rPr>
      </w:pPr>
    </w:p>
    <w:p>
      <w:pPr>
        <w:ind w:firstLine="1304"/>
        <w:spacing w:after="0" w:line="267" w:lineRule="auto"/>
        <w:tabs>
          <w:tab w:leader="none" w:pos="1606" w:val="left"/>
        </w:tabs>
        <w:numPr>
          <w:ilvl w:val="0"/>
          <w:numId w:val="88"/>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Restricted Stock Unit Agreement shall be binding upon the heirs, executors, administrators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of the parties hereto.</w:t>
      </w:r>
    </w:p>
    <w:p>
      <w:pPr>
        <w:spacing w:after="0" w:line="163" w:lineRule="exact"/>
        <w:rPr>
          <w:rFonts w:ascii="Arial" w:cs="Arial" w:eastAsia="Arial" w:hAnsi="Arial"/>
          <w:sz w:val="20"/>
          <w:szCs w:val="20"/>
          <w:color w:val="auto"/>
        </w:rPr>
      </w:pPr>
    </w:p>
    <w:p>
      <w:pPr>
        <w:jc w:val="both"/>
        <w:ind w:firstLine="1304"/>
        <w:spacing w:after="0" w:line="280" w:lineRule="auto"/>
        <w:tabs>
          <w:tab w:leader="none" w:pos="1593"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13 of the Plan, any waiver, alteration, amendment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modification of any of the terms of this Restricted Stock Unit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56" w:lineRule="exact"/>
        <w:rPr>
          <w:rFonts w:ascii="Arial" w:cs="Arial" w:eastAsia="Arial" w:hAnsi="Arial"/>
          <w:sz w:val="18"/>
          <w:szCs w:val="18"/>
          <w:color w:val="auto"/>
        </w:rPr>
      </w:pPr>
    </w:p>
    <w:p>
      <w:pPr>
        <w:jc w:val="both"/>
        <w:ind w:firstLine="1304"/>
        <w:spacing w:after="0" w:line="270" w:lineRule="auto"/>
        <w:tabs>
          <w:tab w:leader="none" w:pos="1606"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 Forfeiture</w:t>
      </w:r>
      <w:r>
        <w:rPr>
          <w:rFonts w:ascii="Arial" w:cs="Arial" w:eastAsia="Arial" w:hAnsi="Arial"/>
          <w:sz w:val="18"/>
          <w:szCs w:val="18"/>
          <w:color w:val="auto"/>
        </w:rPr>
        <w:t>. Notwithstanding anything to the contrary contained herein or in the Plan, if the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 “</w:t>
      </w:r>
      <w:r>
        <w:rPr>
          <w:rFonts w:ascii="Arial" w:cs="Arial" w:eastAsia="Arial" w:hAnsi="Arial"/>
          <w:sz w:val="18"/>
          <w:szCs w:val="18"/>
          <w:u w:val="single" w:color="auto"/>
          <w:color w:val="auto"/>
        </w:rPr>
        <w:t>Detrimental Activity</w:t>
      </w:r>
      <w:r>
        <w:rPr>
          <w:rFonts w:ascii="Arial" w:cs="Arial" w:eastAsia="Arial" w:hAnsi="Arial"/>
          <w:sz w:val="18"/>
          <w:szCs w:val="18"/>
          <w:color w:val="auto"/>
        </w:rPr>
        <w:t>” means any, offset of the following: (i) unauthorized disclosure of any confidential or proprietary information of any member of the Company Group; (ii) any activity that would be grounds to terminate the Participant’s employment or service with the Service Recipient for Cause; (iii) a breach by the Participant of any restrictive covenant by which such Participant is bound, including, without limitation, any covenant not to compete or not to hire or solicit, in any agreement with any member of the Company Group; or (iv) fraud, gross negligence or conduct contributing to any financial restatements or irregularities, as determined by the Committee in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419" w:right="339" w:bottom="1440" w:gutter="0" w:footer="0" w:header="0"/>
        </w:sectPr>
      </w:pPr>
    </w:p>
    <w:bookmarkStart w:id="132" w:name="page133"/>
    <w:bookmarkEnd w:id="132"/>
    <w:p>
      <w:pPr>
        <w:jc w:val="both"/>
        <w:ind w:firstLine="1304"/>
        <w:spacing w:after="0" w:line="246" w:lineRule="auto"/>
        <w:tabs>
          <w:tab w:leader="none" w:pos="1606"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 Venue</w:t>
      </w:r>
      <w:r>
        <w:rPr>
          <w:rFonts w:ascii="Arial" w:cs="Arial" w:eastAsia="Arial" w:hAnsi="Arial"/>
          <w:sz w:val="20"/>
          <w:szCs w:val="20"/>
          <w:color w:val="auto"/>
        </w:rPr>
        <w:t>. This Restricted Stock Unit Agreement shall be construed and interpreted in accordance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Houston, Texas.</w:t>
      </w:r>
    </w:p>
    <w:p>
      <w:pPr>
        <w:spacing w:after="0" w:line="184" w:lineRule="exact"/>
        <w:rPr>
          <w:rFonts w:ascii="Arial" w:cs="Arial" w:eastAsia="Arial" w:hAnsi="Arial"/>
          <w:sz w:val="20"/>
          <w:szCs w:val="20"/>
          <w:color w:val="auto"/>
        </w:rPr>
      </w:pPr>
    </w:p>
    <w:p>
      <w:pPr>
        <w:jc w:val="both"/>
        <w:ind w:firstLine="1304"/>
        <w:spacing w:after="0" w:line="258" w:lineRule="auto"/>
        <w:tabs>
          <w:tab w:leader="none" w:pos="1606"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Award Subject to Plan</w:t>
      </w:r>
      <w:r>
        <w:rPr>
          <w:rFonts w:ascii="Arial" w:cs="Arial" w:eastAsia="Arial" w:hAnsi="Arial"/>
          <w:sz w:val="19"/>
          <w:szCs w:val="19"/>
          <w:color w:val="auto"/>
        </w:rPr>
        <w:t>. The Restricted Stock Units granted hereunder, and the shares of Common Stock issued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upon settlement of vested Earned Restricted Stock Units, are subject to the Plan and the terms of the Plan are hereby incorporated into this Restricted Stock Unit Agreement. By accepting the Restricted Stock Units, the Participant acknowledges that the Participant has received and read the Plan and agrees to be bound by the terms, conditions, and restrictions set forth in the Plan, this Restricted Stock Unit Agreement, and the Company’s policies, as in effect from time to time, relating to the Plan. In the event of a conflict between any term or provision contained herein and a term or provision of the Plan, the applicable terms and provisions of the Plan will govern and prevail. The provisions of this Restricted Stock Unit Agreement shall survive the termination of this Award to the extent consistent with, or necessary to carry out, the purposes thereof.</w:t>
      </w:r>
    </w:p>
    <w:p>
      <w:pPr>
        <w:spacing w:after="0" w:line="173" w:lineRule="exact"/>
        <w:rPr>
          <w:rFonts w:ascii="Arial" w:cs="Arial" w:eastAsia="Arial" w:hAnsi="Arial"/>
          <w:sz w:val="19"/>
          <w:szCs w:val="19"/>
          <w:color w:val="auto"/>
        </w:rPr>
      </w:pPr>
    </w:p>
    <w:p>
      <w:pPr>
        <w:jc w:val="both"/>
        <w:ind w:firstLine="1304"/>
        <w:spacing w:after="0" w:line="253" w:lineRule="auto"/>
        <w:tabs>
          <w:tab w:leader="none" w:pos="1593"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It is intended that the Restricted Stock Units granted hereunder shall be exempt from Section 409A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Code pursuant to the “short-term deferral” rule applicable to such section, as set forth in the regulations or other guidance published by the Internal Revenue Service thereunder.</w:t>
      </w:r>
    </w:p>
    <w:p>
      <w:pPr>
        <w:spacing w:after="0" w:line="177" w:lineRule="exact"/>
        <w:rPr>
          <w:rFonts w:ascii="Arial" w:cs="Arial" w:eastAsia="Arial" w:hAnsi="Arial"/>
          <w:sz w:val="20"/>
          <w:szCs w:val="20"/>
          <w:color w:val="auto"/>
        </w:rPr>
      </w:pPr>
    </w:p>
    <w:p>
      <w:pPr>
        <w:jc w:val="both"/>
        <w:ind w:firstLine="1304"/>
        <w:spacing w:after="0" w:line="248" w:lineRule="auto"/>
        <w:tabs>
          <w:tab w:leader="none" w:pos="1593"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83" w:lineRule="exact"/>
        <w:rPr>
          <w:rFonts w:ascii="Arial" w:cs="Arial" w:eastAsia="Arial" w:hAnsi="Arial"/>
          <w:sz w:val="20"/>
          <w:szCs w:val="20"/>
          <w:color w:val="auto"/>
        </w:rPr>
      </w:pPr>
    </w:p>
    <w:p>
      <w:pPr>
        <w:jc w:val="both"/>
        <w:ind w:firstLine="1304"/>
        <w:spacing w:after="0" w:line="265" w:lineRule="auto"/>
        <w:tabs>
          <w:tab w:leader="none" w:pos="1633" w:val="left"/>
        </w:tabs>
        <w:numPr>
          <w:ilvl w:val="0"/>
          <w:numId w:val="89"/>
        </w:numPr>
        <w:rPr>
          <w:rFonts w:ascii="Arial" w:cs="Arial" w:eastAsia="Arial" w:hAnsi="Arial"/>
          <w:sz w:val="19"/>
          <w:szCs w:val="19"/>
          <w:color w:val="auto"/>
        </w:rPr>
      </w:pPr>
      <w:r>
        <w:rPr>
          <w:rFonts w:ascii="Arial" w:cs="Arial" w:eastAsia="Arial" w:hAnsi="Arial"/>
          <w:sz w:val="19"/>
          <w:szCs w:val="19"/>
          <w:b w:val="1"/>
          <w:bCs w:val="1"/>
          <w:u w:val="single" w:color="auto"/>
          <w:color w:val="auto"/>
        </w:rPr>
        <w:t>Transmission Acknowledgement</w:t>
      </w:r>
      <w:r>
        <w:rPr>
          <w:rFonts w:ascii="Arial" w:cs="Arial" w:eastAsia="Arial" w:hAnsi="Arial"/>
          <w:sz w:val="19"/>
          <w:szCs w:val="19"/>
          <w:color w:val="auto"/>
        </w:rPr>
        <w:t>. To the extent necessary, the Participant authorizes, agrees and unambiguously</w:t>
      </w:r>
      <w:r>
        <w:rPr>
          <w:rFonts w:ascii="Arial" w:cs="Arial" w:eastAsia="Arial" w:hAnsi="Arial"/>
          <w:sz w:val="19"/>
          <w:szCs w:val="19"/>
          <w:b w:val="1"/>
          <w:bCs w:val="1"/>
          <w:color w:val="auto"/>
        </w:rPr>
        <w:t xml:space="preserve"> </w:t>
      </w:r>
      <w:r>
        <w:rPr>
          <w:rFonts w:ascii="Arial" w:cs="Arial" w:eastAsia="Arial" w:hAnsi="Arial"/>
          <w:sz w:val="19"/>
          <w:szCs w:val="19"/>
          <w:color w:val="auto"/>
        </w:rPr>
        <w:t>consents to the transmission by the Company or any other member of the Company Group of any of the Participant’s personal data related to the Award for legitimate business purposes (including, without limitation, the administration of the Plan). The Participant confirms and acknowledges that the Participant gives this authorization and consent freely.</w:t>
      </w:r>
    </w:p>
    <w:p>
      <w:pPr>
        <w:spacing w:after="0" w:line="169" w:lineRule="exact"/>
        <w:rPr>
          <w:rFonts w:ascii="Arial" w:cs="Arial" w:eastAsia="Arial" w:hAnsi="Arial"/>
          <w:sz w:val="19"/>
          <w:szCs w:val="19"/>
          <w:color w:val="auto"/>
        </w:rPr>
      </w:pPr>
    </w:p>
    <w:p>
      <w:pPr>
        <w:jc w:val="both"/>
        <w:ind w:firstLine="1304"/>
        <w:spacing w:after="0" w:line="244" w:lineRule="auto"/>
        <w:tabs>
          <w:tab w:leader="none" w:pos="1593"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color w:val="auto"/>
        </w:rPr>
        <w:t>. The Company may, in its sole discretion, decide to deliver any documents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 In the event that any information regarding the Restricted Stock Units provided to the Participant through the third-party stock plan administrator’s web portal or otherwise conflicts with any of the terms and conditions of this Restricted Stock Unit Agreement or the Plan (collectively, the “</w:t>
      </w:r>
      <w:r>
        <w:rPr>
          <w:rFonts w:ascii="Arial" w:cs="Arial" w:eastAsia="Arial" w:hAnsi="Arial"/>
          <w:sz w:val="20"/>
          <w:szCs w:val="20"/>
          <w:u w:val="single" w:color="auto"/>
          <w:color w:val="auto"/>
        </w:rPr>
        <w:t>Restricted Stock Unit Governing Documents</w:t>
      </w:r>
      <w:r>
        <w:rPr>
          <w:rFonts w:ascii="Arial" w:cs="Arial" w:eastAsia="Arial" w:hAnsi="Arial"/>
          <w:sz w:val="20"/>
          <w:szCs w:val="20"/>
          <w:color w:val="auto"/>
        </w:rPr>
        <w:t>”), the Restricted Stock Unit Governing Documents shall control.</w:t>
      </w:r>
    </w:p>
    <w:p>
      <w:pPr>
        <w:spacing w:after="0" w:line="212" w:lineRule="exact"/>
        <w:rPr>
          <w:rFonts w:ascii="Arial" w:cs="Arial" w:eastAsia="Arial" w:hAnsi="Arial"/>
          <w:sz w:val="20"/>
          <w:szCs w:val="20"/>
          <w:color w:val="auto"/>
        </w:rPr>
      </w:pPr>
    </w:p>
    <w:p>
      <w:pPr>
        <w:jc w:val="both"/>
        <w:ind w:firstLine="1304"/>
        <w:spacing w:after="0" w:line="253" w:lineRule="auto"/>
        <w:tabs>
          <w:tab w:leader="none" w:pos="1593" w:val="left"/>
        </w:tabs>
        <w:numPr>
          <w:ilvl w:val="0"/>
          <w:numId w:val="89"/>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The Restricted Stock Unit Governing Documents constitute the entire agreement of the parties hereto</w:t>
      </w:r>
      <w:r>
        <w:rPr>
          <w:rFonts w:ascii="Arial" w:cs="Arial" w:eastAsia="Arial" w:hAnsi="Arial"/>
          <w:sz w:val="20"/>
          <w:szCs w:val="20"/>
          <w:b w:val="1"/>
          <w:bCs w:val="1"/>
          <w:color w:val="auto"/>
        </w:rPr>
        <w:t xml:space="preserve"> </w:t>
      </w:r>
      <w:r>
        <w:rPr>
          <w:rFonts w:ascii="Arial" w:cs="Arial" w:eastAsia="Arial" w:hAnsi="Arial"/>
          <w:sz w:val="20"/>
          <w:szCs w:val="20"/>
          <w:color w:val="auto"/>
        </w:rPr>
        <w:t>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3"/>
          <w:szCs w:val="13"/>
          <w:color w:val="auto"/>
        </w:rPr>
        <w:t>430908.12</w:t>
      </w:r>
    </w:p>
    <w:p>
      <w:pPr>
        <w:sectPr>
          <w:pgSz w:w="11900" w:h="16838" w:orient="portrait"/>
          <w:cols w:equalWidth="0" w:num="1">
            <w:col w:w="11240"/>
          </w:cols>
          <w:pgMar w:left="320" w:top="1413"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10.27</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2018 TIME OPTION GRANTS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NEW ACADEMY HOLDING COMPANY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 OPTION AWARD AGREEMENT</w:t>
      </w: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TIME OPTION AWARD AGREEMENT (this “</w:t>
      </w:r>
      <w:r>
        <w:rPr>
          <w:rFonts w:ascii="Arial" w:cs="Arial" w:eastAsia="Arial" w:hAnsi="Arial"/>
          <w:sz w:val="18"/>
          <w:szCs w:val="18"/>
          <w:u w:val="single" w:color="auto"/>
          <w:color w:val="auto"/>
        </w:rPr>
        <w:t>Award</w:t>
      </w:r>
      <w:r>
        <w:rPr>
          <w:rFonts w:ascii="Arial" w:cs="Arial" w:eastAsia="Arial" w:hAnsi="Arial"/>
          <w:sz w:val="18"/>
          <w:szCs w:val="18"/>
          <w:color w:val="auto"/>
        </w:rPr>
        <w:t>”), made by and between New Academy Holding Company LLC, a Delaware limited liability company (hereinafter referred to as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individual/participant whose name is set forth on the Master Signature Page attached to this Award (the “</w:t>
      </w:r>
      <w:r>
        <w:rPr>
          <w:rFonts w:ascii="Arial" w:cs="Arial" w:eastAsia="Arial" w:hAnsi="Arial"/>
          <w:sz w:val="18"/>
          <w:szCs w:val="18"/>
          <w:u w:val="single" w:color="auto"/>
          <w:color w:val="auto"/>
        </w:rPr>
        <w:t>Grantee</w:t>
      </w:r>
      <w:r>
        <w:rPr>
          <w:rFonts w:ascii="Arial" w:cs="Arial" w:eastAsia="Arial" w:hAnsi="Arial"/>
          <w:sz w:val="18"/>
          <w:szCs w:val="18"/>
          <w:color w:val="auto"/>
        </w:rPr>
        <w:t>”), is entered into as of the “Grant Date” set forth on such Master Signature Page (the “</w:t>
      </w:r>
      <w:r>
        <w:rPr>
          <w:rFonts w:ascii="Arial" w:cs="Arial" w:eastAsia="Arial" w:hAnsi="Arial"/>
          <w:sz w:val="18"/>
          <w:szCs w:val="18"/>
          <w:u w:val="single" w:color="auto"/>
          <w:color w:val="auto"/>
        </w:rPr>
        <w:t>Grant Date</w:t>
      </w:r>
      <w:r>
        <w:rPr>
          <w:rFonts w:ascii="Arial" w:cs="Arial" w:eastAsia="Arial" w:hAnsi="Arial"/>
          <w:sz w:val="18"/>
          <w:szCs w:val="18"/>
          <w:color w:val="auto"/>
        </w:rPr>
        <w:t>”). Any capitalized terms used but not otherwise defined herein shall have the meaning set forth in the New Academy Holding Company LLC 2011 Unit Incentive Plan, as amended, modified or supplemented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as an incentive for the Grantee’s efforts in connection with his or her Employment by, or performance of other services for, the Company (or its Affiliates, as applicable), the Company wishes to afford the Grantee the opportunity to purchase a number of Membership Units (which Membership Units shall entitle the Grantee to any and all rights and benefits to which the holder of such Membership Units may be provided under the LLC Agreement and the Delaware Limited Liability Company Act), subject to the terms and conditions set forth herein and in the Plan; and</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wishes to carry out the Plan, the terms of which are hereby incorporated by reference and made a part of this Award, pursuant to which the Committee, appointed to administer the Plan, has instructed the undersigned officers to issue this Time Option.</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NOW, THEREFORE, in consideration of the mutual covenants herein contained and other good and valuable consideration, receipt of which is hereby acknowledged, this Award shall be granted in accordance with and subject to the terms and conditions as follows: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20"/>
          <w:szCs w:val="20"/>
          <w:u w:val="single" w:color="auto"/>
          <w:color w:val="auto"/>
        </w:rPr>
        <w:t>DEFINITIONS</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Whenever the following terms are used in this Award, they shall have the meaning specified below unless the context clearly indicates to the contrary.</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6"/>
          <w:szCs w:val="16"/>
          <w:u w:val="single" w:color="auto"/>
          <w:color w:val="auto"/>
        </w:rPr>
        <w:t>Cause</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Cause</w:t>
      </w:r>
      <w:r>
        <w:rPr>
          <w:rFonts w:ascii="Arial" w:cs="Arial" w:eastAsia="Arial" w:hAnsi="Arial"/>
          <w:sz w:val="19"/>
          <w:szCs w:val="19"/>
          <w:color w:val="auto"/>
        </w:rPr>
        <w:t>” means “Cause” as defined and determined in the Employment Agreement, if any, or if the Grantee has no Employment Agreement or the term “Cause” is not defined in the Employment Agreement, “Cause” shall mean the (i) Grantee’s act of dishonesty or disloyalty (including, but not limited to, fraud, misrepresentation, embezzlement or misappropriation), (ii) Grantee’s failure to timely or sufficiently perform any material and reasonable duties assigned to him/her, (iii) Grantee’s failure to reach the material and reasonable goals set forth for the Grantee, including poor performance and/or failure to achieve an acceptable performance rating, (iv) Grantee’s breach of any policy of Academy, Ltd., including but not limited to all employment, ethics, conflict of interest, and code of conduct policies, (v) Grantee’s drug or alcohol abuse, (vi) Grantee’s conviction, guilty plea, no contest plea, deferred adjudication or other trial diversion regarding any felony or any crime involving moral turpitude, or (vii) Grantee’s willful disregard of any material and reasonable directive, or material misconduct with respect to the business or affairs of Academy, Ltd., including any act or acts which adversely affect its image or reputation or which result in material financial loss to Academy,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240"/>
          </w:cols>
          <w:pgMar w:left="32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u w:val="single" w:color="auto"/>
          <w:color w:val="auto"/>
        </w:rPr>
        <w:t>Demotion</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Demotion</w:t>
      </w:r>
      <w:r>
        <w:rPr>
          <w:rFonts w:ascii="Arial" w:cs="Arial" w:eastAsia="Arial" w:hAnsi="Arial"/>
          <w:sz w:val="19"/>
          <w:szCs w:val="19"/>
          <w:color w:val="auto"/>
        </w:rPr>
        <w:t>” shall mean the demotion of the Grantee to an Employment position which is not then eligible for grants of options or to a position that is eligible for option grants at a lower level than the level for which the Grantee was eligible on the Grant Date.</w:t>
      </w:r>
    </w:p>
    <w:p>
      <w:pPr>
        <w:spacing w:after="0" w:line="15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9"/>
          <w:szCs w:val="19"/>
          <w:u w:val="single" w:color="auto"/>
          <w:color w:val="auto"/>
        </w:rPr>
        <w:t>Disability</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“Disability” as defined in and determined under the Employment Agreement, if any, or if the Grantee has no Employment Agreement or the term “Disability” is not defined in the Employment Agreement, shall mean a physical or mental illness, incapacity or disability which has prevented the Grantee from substantially performing the Grantee’s material duties for a period of one-hundred and eighty (180) consecutive days.</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18"/>
          <w:szCs w:val="18"/>
          <w:u w:val="single" w:color="auto"/>
          <w:color w:val="auto"/>
        </w:rPr>
        <w:t>Employed or Employment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Employed</w:t>
      </w:r>
      <w:r>
        <w:rPr>
          <w:rFonts w:ascii="Arial" w:cs="Arial" w:eastAsia="Arial" w:hAnsi="Arial"/>
          <w:sz w:val="20"/>
          <w:szCs w:val="20"/>
          <w:color w:val="auto"/>
        </w:rPr>
        <w:t>” or “</w:t>
      </w:r>
      <w:r>
        <w:rPr>
          <w:rFonts w:ascii="Arial" w:cs="Arial" w:eastAsia="Arial" w:hAnsi="Arial"/>
          <w:sz w:val="20"/>
          <w:szCs w:val="20"/>
          <w:u w:val="single" w:color="auto"/>
          <w:color w:val="auto"/>
        </w:rPr>
        <w:t>Employment</w:t>
      </w:r>
      <w:r>
        <w:rPr>
          <w:rFonts w:ascii="Arial" w:cs="Arial" w:eastAsia="Arial" w:hAnsi="Arial"/>
          <w:sz w:val="20"/>
          <w:szCs w:val="20"/>
          <w:color w:val="auto"/>
        </w:rPr>
        <w:t>” means employment by the Company or any of its Affiliates as an employee or the performance of services (whether as employee, consultant, director or member or other service provider) to the Company.</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8"/>
          <w:szCs w:val="18"/>
          <w:u w:val="single" w:color="auto"/>
          <w:color w:val="auto"/>
        </w:rPr>
        <w:t>Employment Agreement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Employment Agreement</w:t>
      </w:r>
      <w:r>
        <w:rPr>
          <w:rFonts w:ascii="Arial" w:cs="Arial" w:eastAsia="Arial" w:hAnsi="Arial"/>
          <w:sz w:val="20"/>
          <w:szCs w:val="20"/>
          <w:color w:val="auto"/>
        </w:rPr>
        <w:t>” means that certain associate employment agreement or other employment agreement, if any, specifying the terms of the Grantee’s Employment by the Company, Academy, Ltd. and/or any of their respective Affiliates, as applicable, as the same may be amended from time to time in accordance with its terms.</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16"/>
          <w:szCs w:val="16"/>
          <w:u w:val="single" w:color="auto"/>
          <w:color w:val="auto"/>
        </w:rPr>
        <w:t>Exercise Price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Price</w:t>
      </w:r>
      <w:r>
        <w:rPr>
          <w:rFonts w:ascii="Arial" w:cs="Arial" w:eastAsia="Arial" w:hAnsi="Arial"/>
          <w:sz w:val="20"/>
          <w:szCs w:val="20"/>
          <w:color w:val="auto"/>
        </w:rPr>
        <w:t>” means the price at which a Membership Unit may be purchased upon the exercise of the Time Option. For all purposes hereunder, the Exercise Price of the Time Option shall initially be the Exercise Price set forth on Section B of the Master Signature Page attached hereto (which is the Fair Market Value per Membership Unit on the Grant Date) and shall thereafter be subject to adjustment pursuant to the Plan.</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8"/>
          <w:szCs w:val="18"/>
          <w:u w:val="single" w:color="auto"/>
          <w:color w:val="auto"/>
        </w:rPr>
        <w:t>New Position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Position</w:t>
      </w:r>
      <w:r>
        <w:rPr>
          <w:rFonts w:ascii="Arial" w:cs="Arial" w:eastAsia="Arial" w:hAnsi="Arial"/>
          <w:sz w:val="20"/>
          <w:szCs w:val="20"/>
          <w:color w:val="auto"/>
        </w:rPr>
        <w:t>” shall have the meaning ascribed to such term in Section 3.3.</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8"/>
          <w:szCs w:val="18"/>
          <w:u w:val="single" w:color="auto"/>
          <w:color w:val="auto"/>
        </w:rPr>
        <w:t>Time Option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Time Option</w:t>
      </w:r>
      <w:r>
        <w:rPr>
          <w:rFonts w:ascii="Arial" w:cs="Arial" w:eastAsia="Arial" w:hAnsi="Arial"/>
          <w:sz w:val="20"/>
          <w:szCs w:val="20"/>
          <w:color w:val="auto"/>
        </w:rPr>
        <w:t>” means the option to purchase any part or all of an aggregate of the number and series of Membership Units granted to the Grantee under Section 2.1 of this Award.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103" w:lineRule="exact"/>
        <w:rPr>
          <w:sz w:val="20"/>
          <w:szCs w:val="20"/>
          <w:color w:val="auto"/>
        </w:rPr>
      </w:pPr>
    </w:p>
    <w:p>
      <w:pPr>
        <w:ind w:left="4960"/>
        <w:spacing w:after="0"/>
        <w:rPr>
          <w:sz w:val="20"/>
          <w:szCs w:val="20"/>
          <w:color w:val="auto"/>
        </w:rPr>
      </w:pPr>
      <w:r>
        <w:rPr>
          <w:rFonts w:ascii="Arial" w:cs="Arial" w:eastAsia="Arial" w:hAnsi="Arial"/>
          <w:sz w:val="20"/>
          <w:szCs w:val="20"/>
          <w:u w:val="single" w:color="auto"/>
          <w:color w:val="auto"/>
        </w:rPr>
        <w:t>GRANT OF TIME OPTION</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8"/>
          <w:szCs w:val="18"/>
          <w:u w:val="single" w:color="auto"/>
          <w:color w:val="auto"/>
        </w:rPr>
        <w:t>Grant of Time Options; Exercise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240"/>
          </w:cols>
          <w:pgMar w:left="320" w:top="12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For good and valuable consideration, upon the terms and conditions set forth herein and in the Plan, on and as of the Grant Date, the Company grants to the Grantee an option to purchase any part or all of an aggregate of the number and series of Membership Units set forth on Section B of the Master Signature Page attached hereto, at the Exercise Price, without commission or other charge.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8" w:lineRule="exact"/>
        <w:rPr>
          <w:sz w:val="20"/>
          <w:szCs w:val="20"/>
          <w:color w:val="auto"/>
        </w:rPr>
      </w:pPr>
    </w:p>
    <w:p>
      <w:pPr>
        <w:ind w:left="4280"/>
        <w:spacing w:after="0"/>
        <w:rPr>
          <w:sz w:val="20"/>
          <w:szCs w:val="20"/>
          <w:color w:val="auto"/>
        </w:rPr>
      </w:pPr>
      <w:r>
        <w:rPr>
          <w:rFonts w:ascii="Arial" w:cs="Arial" w:eastAsia="Arial" w:hAnsi="Arial"/>
          <w:sz w:val="20"/>
          <w:szCs w:val="20"/>
          <w:u w:val="single" w:color="auto"/>
          <w:color w:val="auto"/>
        </w:rPr>
        <w:t>PERIOD OF EXERCISABILITY</w:t>
      </w:r>
    </w:p>
    <w:p>
      <w:pPr>
        <w:spacing w:after="0" w:line="24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8"/>
          <w:szCs w:val="18"/>
          <w:u w:val="single" w:color="auto"/>
          <w:color w:val="auto"/>
        </w:rPr>
        <w:t>Vesting and Commencement of Exercisability</w:t>
      </w:r>
    </w:p>
    <w:p>
      <w:pPr>
        <w:spacing w:after="0" w:line="216" w:lineRule="exact"/>
        <w:rPr>
          <w:sz w:val="20"/>
          <w:szCs w:val="20"/>
          <w:color w:val="auto"/>
        </w:rPr>
      </w:pPr>
    </w:p>
    <w:p>
      <w:pPr>
        <w:jc w:val="both"/>
        <w:ind w:left="100" w:firstLine="1293"/>
        <w:spacing w:after="0" w:line="246" w:lineRule="auto"/>
        <w:tabs>
          <w:tab w:leader="none" w:pos="1511"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a) Subject to Section 3.1(c) and so long as the Grantee continues to be Employed through the relevant vesting dates, the Time Option shall become vested and exercisable based on elapsed time, such that the percentages of the Time Option set forth in the table entitled Time Option Vesting Schedule on </w:t>
      </w:r>
      <w:r>
        <w:rPr>
          <w:rFonts w:ascii="Arial" w:cs="Arial" w:eastAsia="Arial" w:hAnsi="Arial"/>
          <w:sz w:val="20"/>
          <w:szCs w:val="20"/>
          <w:b w:val="1"/>
          <w:bCs w:val="1"/>
          <w:color w:val="auto"/>
        </w:rPr>
        <w:t>Appendix A</w:t>
      </w:r>
      <w:r>
        <w:rPr>
          <w:rFonts w:ascii="Arial" w:cs="Arial" w:eastAsia="Arial" w:hAnsi="Arial"/>
          <w:sz w:val="20"/>
          <w:szCs w:val="20"/>
          <w:color w:val="auto"/>
        </w:rPr>
        <w:t xml:space="preserve"> attached hereto shall become vested and exercisable on each of the corresponding vesting dates set forth in such table.</w:t>
      </w:r>
    </w:p>
    <w:p>
      <w:pPr>
        <w:spacing w:after="0" w:line="191" w:lineRule="exact"/>
        <w:rPr>
          <w:sz w:val="20"/>
          <w:szCs w:val="20"/>
          <w:color w:val="auto"/>
        </w:rPr>
      </w:pPr>
    </w:p>
    <w:p>
      <w:pPr>
        <w:jc w:val="both"/>
        <w:ind w:left="100" w:firstLine="1293"/>
        <w:spacing w:after="0" w:line="246" w:lineRule="auto"/>
        <w:tabs>
          <w:tab w:leader="none" w:pos="1525" w:val="left"/>
        </w:tabs>
        <w:numPr>
          <w:ilvl w:val="0"/>
          <w:numId w:val="91"/>
        </w:numPr>
        <w:rPr>
          <w:rFonts w:ascii="Arial" w:cs="Arial" w:eastAsia="Arial" w:hAnsi="Arial"/>
          <w:sz w:val="20"/>
          <w:szCs w:val="20"/>
          <w:color w:val="auto"/>
        </w:rPr>
      </w:pPr>
      <w:r>
        <w:rPr>
          <w:rFonts w:ascii="Arial" w:cs="Arial" w:eastAsia="Arial" w:hAnsi="Arial"/>
          <w:sz w:val="20"/>
          <w:szCs w:val="20"/>
          <w:color w:val="auto"/>
        </w:rPr>
        <w:t>b) Notwithstanding any of the foregoing, upon a termination of the Grantee’s Employment at any time by reason of death or Disability, that portion of the Time Option that would have become vested and exercisable on the vesting date of the Time Option immediately following the date of such termination, had the Grantee remained Employed through such vesting date, will become vested and exercisable as of such termination.</w:t>
      </w:r>
    </w:p>
    <w:p>
      <w:pPr>
        <w:spacing w:after="0" w:line="191" w:lineRule="exact"/>
        <w:rPr>
          <w:sz w:val="20"/>
          <w:szCs w:val="20"/>
          <w:color w:val="auto"/>
        </w:rPr>
      </w:pPr>
    </w:p>
    <w:p>
      <w:pPr>
        <w:jc w:val="both"/>
        <w:ind w:left="100" w:firstLine="1293"/>
        <w:spacing w:after="0" w:line="250" w:lineRule="auto"/>
        <w:tabs>
          <w:tab w:leader="none" w:pos="1538" w:val="left"/>
        </w:tabs>
        <w:numPr>
          <w:ilvl w:val="0"/>
          <w:numId w:val="92"/>
        </w:numPr>
        <w:rPr>
          <w:rFonts w:ascii="Arial" w:cs="Arial" w:eastAsia="Arial" w:hAnsi="Arial"/>
          <w:sz w:val="20"/>
          <w:szCs w:val="20"/>
          <w:color w:val="auto"/>
        </w:rPr>
      </w:pPr>
      <w:r>
        <w:rPr>
          <w:rFonts w:ascii="Arial" w:cs="Arial" w:eastAsia="Arial" w:hAnsi="Arial"/>
          <w:sz w:val="20"/>
          <w:szCs w:val="20"/>
          <w:color w:val="auto"/>
        </w:rPr>
        <w:t>c) Notwithstanding any of Sections 3.1(a) or 3.1(b) above, in connection with any Change of Control, any then-outstanding and unvested portion of the Time Option shall become vested and exercisable as to one hundred percent (100%) of the Membership Units that are subject to such unvested portion, immediately prior to such Change of Control.</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Expiration of Time Option</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Grantee may not exercise the exercisable portion of the Time Option to any extent and the unexercised portion of the Time Option shall lapse, upon the first to occur of the following events:</w:t>
      </w:r>
    </w:p>
    <w:p>
      <w:pPr>
        <w:spacing w:after="0" w:line="177"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tenth anniversary of the Grant Date;</w:t>
      </w:r>
    </w:p>
    <w:p>
      <w:pPr>
        <w:spacing w:after="0" w:line="215" w:lineRule="exact"/>
        <w:rPr>
          <w:rFonts w:ascii="Arial" w:cs="Arial" w:eastAsia="Arial" w:hAnsi="Arial"/>
          <w:sz w:val="20"/>
          <w:szCs w:val="20"/>
          <w:color w:val="auto"/>
        </w:rPr>
      </w:pPr>
    </w:p>
    <w:p>
      <w:pPr>
        <w:ind w:firstLine="656"/>
        <w:spacing w:after="0" w:line="260" w:lineRule="auto"/>
        <w:tabs>
          <w:tab w:leader="none" w:pos="1284"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first anniversary of the date of the Grantee’s termination of Employment, if the Grantee’s Employment is terminated by reason of death or Disability; or</w:t>
      </w:r>
    </w:p>
    <w:p>
      <w:pPr>
        <w:spacing w:after="0" w:line="176" w:lineRule="exact"/>
        <w:rPr>
          <w:rFonts w:ascii="Arial" w:cs="Arial" w:eastAsia="Arial" w:hAnsi="Arial"/>
          <w:sz w:val="20"/>
          <w:szCs w:val="20"/>
          <w:color w:val="auto"/>
        </w:rPr>
      </w:pPr>
    </w:p>
    <w:p>
      <w:pPr>
        <w:ind w:firstLine="656"/>
        <w:spacing w:after="0" w:line="260" w:lineRule="auto"/>
        <w:tabs>
          <w:tab w:leader="none" w:pos="1286" w:val="left"/>
        </w:tabs>
        <w:numPr>
          <w:ilvl w:val="0"/>
          <w:numId w:val="93"/>
        </w:numPr>
        <w:rPr>
          <w:rFonts w:ascii="Arial" w:cs="Arial" w:eastAsia="Arial" w:hAnsi="Arial"/>
          <w:sz w:val="20"/>
          <w:szCs w:val="20"/>
          <w:color w:val="auto"/>
        </w:rPr>
      </w:pPr>
      <w:r>
        <w:rPr>
          <w:rFonts w:ascii="Arial" w:cs="Arial" w:eastAsia="Arial" w:hAnsi="Arial"/>
          <w:sz w:val="20"/>
          <w:szCs w:val="20"/>
          <w:color w:val="auto"/>
        </w:rPr>
        <w:t>one hundred eighty (180) days after the date of the Grantee’s termination of Employment by the Company or its Affiliates without Cause (for any reason other than as set forth in Section 3.2(b)); or</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immediately upon the date of the Grantee’s termination of Employment by the Company or its Affiliates for Cause; or</w:t>
      </w:r>
    </w:p>
    <w:p>
      <w:pPr>
        <w:spacing w:after="0" w:line="227" w:lineRule="exact"/>
        <w:rPr>
          <w:rFonts w:ascii="Arial" w:cs="Arial" w:eastAsia="Arial" w:hAnsi="Arial"/>
          <w:sz w:val="19"/>
          <w:szCs w:val="19"/>
          <w:color w:val="auto"/>
        </w:rPr>
      </w:pPr>
    </w:p>
    <w:p>
      <w:pPr>
        <w:ind w:left="1300" w:hanging="644"/>
        <w:spacing w:after="0"/>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thirty (30) days after termination of Employment by the Grantee (for any reason other than as set forth in Section 3.2(b)); or</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date the Time Option is terminated pursuant to Section 5.1 or 5.2 of the Management Unitholder’s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240"/>
          </w:cols>
          <w:pgMar w:left="320" w:top="125"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the Committee so determines pursuant to Section 7 or 8 of the Plan.</w:t>
      </w:r>
    </w:p>
    <w:p>
      <w:pPr>
        <w:spacing w:after="0" w:line="32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8"/>
          <w:szCs w:val="18"/>
          <w:u w:val="single" w:color="auto"/>
          <w:color w:val="auto"/>
        </w:rPr>
        <w:t>Demotion</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No portion of the Time Option which has not become vested and exercisable at the date of the Grantee’s Demotion shall thereafter become vested and exercisable;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of Demotion to a position that is eligible for option grants at a lower level than the level for which the Grantee was eligible on the Grant Date (the “</w:t>
      </w:r>
      <w:r>
        <w:rPr>
          <w:rFonts w:ascii="Arial" w:cs="Arial" w:eastAsia="Arial" w:hAnsi="Arial"/>
          <w:sz w:val="18"/>
          <w:szCs w:val="18"/>
          <w:u w:val="single" w:color="auto"/>
          <w:color w:val="auto"/>
        </w:rPr>
        <w:t>New Position</w:t>
      </w:r>
      <w:r>
        <w:rPr>
          <w:rFonts w:ascii="Arial" w:cs="Arial" w:eastAsia="Arial" w:hAnsi="Arial"/>
          <w:sz w:val="18"/>
          <w:szCs w:val="18"/>
          <w:color w:val="auto"/>
        </w:rPr>
        <w:t xml:space="preserve">”), then the Grantee acknowledges and agrees that (a) the terms of the foregoing shall apply only to that part (if any) of the portion of the Time Option which has not become vested and exercisable and exceeds the minimum number of options to which the New Position is eligible and (b) the Company may, in its sole discretion, further adjust (e.g., increase or reduce) the portion of the Time Option which has not become vested and exercisable at the date of the Grantee’s Demotion if, in its sole judgment, such further adjustment is appropriate;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this Section 3.3 does not permit the Company to make an adjustment that results in an increase in the number of Membership Units subject to the Time Option that is greater than the number of Membership Units subject to each such portion of the Time Option granted pursuant to Section 2.1 and set forth on Section B of the Master Signature Page attached hereto. Notwithstanding anything to the contrary in the foregoing, the Company may, in its sole discretion, waive or adjust any portion of the terms of the immediately preceding sentence in the event of Demotion due to the transfer, illness or disability of the Grantee, the occurrence of a force majeure event (including without limitation acts of God, strikes or labor disturbances) affecting the Grantee’s position or other similar circumstances.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EXERCISE OF TIME OPTION</w:t>
      </w:r>
    </w:p>
    <w:p>
      <w:pPr>
        <w:spacing w:after="0" w:line="24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8"/>
          <w:szCs w:val="18"/>
          <w:u w:val="single" w:color="auto"/>
          <w:color w:val="auto"/>
        </w:rPr>
        <w:t>Person Eligible to Exercise</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Except as expressly provided for herein, the Plan or in the Management Unitholder’s Agreement, during the lifetime of the Grantee (other than in the case of the Disability of the Grantee), only the Grantee may exercise the Time Option or any portion thereof. After the Disability or death of the Grantee, any exercisable portion of the Time Option may, prior to the time when the Time Option becomes unexercisable under Section 3.2, be exercised by the Grantee’s legatees, personal representatives, or distributees.</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Partial Exercise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Any exercisable portion of the Time Option or the entire Time Option, if then wholly exercisable, may be exercised in whole or in part at any time prior to the time when the Time Option or portion thereof becomes unexercisable under Section 3.2; </w:t>
      </w:r>
      <w:r>
        <w:rPr>
          <w:rFonts w:ascii="Arial" w:cs="Arial" w:eastAsia="Arial" w:hAnsi="Arial"/>
          <w:sz w:val="20"/>
          <w:szCs w:val="20"/>
          <w:u w:val="single" w:color="auto"/>
          <w:color w:val="auto"/>
        </w:rPr>
        <w:t>provided</w:t>
      </w:r>
      <w:r>
        <w:rPr>
          <w:rFonts w:ascii="Arial" w:cs="Arial" w:eastAsia="Arial" w:hAnsi="Arial"/>
          <w:sz w:val="20"/>
          <w:szCs w:val="20"/>
          <w:color w:val="auto"/>
        </w:rPr>
        <w:t>, that any partial exercise shall be for whole Membership Units only.</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Manner of Exercise</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Time Option, or any exercisable portion thereof, may be exercised solely by delivering to the Secretary of the Company all of the following on or prior to the time when the Time Option or such portion becomes unexercisable under Section 3.2, and the satisfaction of all of the foregoing shall be determined in the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240"/>
          </w:cols>
          <w:pgMar w:left="320" w:top="12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56"/>
        <w:spacing w:after="0" w:line="250" w:lineRule="auto"/>
        <w:tabs>
          <w:tab w:leader="none" w:pos="1286" w:val="left"/>
        </w:tabs>
        <w:numPr>
          <w:ilvl w:val="0"/>
          <w:numId w:val="95"/>
        </w:numPr>
        <w:rPr>
          <w:rFonts w:ascii="Arial" w:cs="Arial" w:eastAsia="Arial" w:hAnsi="Arial"/>
          <w:sz w:val="20"/>
          <w:szCs w:val="20"/>
          <w:color w:val="auto"/>
        </w:rPr>
      </w:pPr>
      <w:r>
        <w:rPr>
          <w:rFonts w:ascii="Arial" w:cs="Arial" w:eastAsia="Arial" w:hAnsi="Arial"/>
          <w:sz w:val="20"/>
          <w:szCs w:val="20"/>
          <w:color w:val="auto"/>
        </w:rPr>
        <w:t>notice in writing signed by the Grantee or any other person then entitled to exercise the Time Option or portion thereof, stating that the Time Option or portion thereof is thereby exercised, such notice complying with all applicable rules established by the Committee;</w:t>
      </w:r>
    </w:p>
    <w:p>
      <w:pPr>
        <w:spacing w:after="0" w:line="185" w:lineRule="exact"/>
        <w:rPr>
          <w:rFonts w:ascii="Arial" w:cs="Arial" w:eastAsia="Arial" w:hAnsi="Arial"/>
          <w:sz w:val="20"/>
          <w:szCs w:val="20"/>
          <w:color w:val="auto"/>
        </w:rPr>
      </w:pPr>
    </w:p>
    <w:p>
      <w:pPr>
        <w:jc w:val="both"/>
        <w:ind w:firstLine="656"/>
        <w:spacing w:after="0" w:line="244" w:lineRule="auto"/>
        <w:tabs>
          <w:tab w:leader="none" w:pos="1284" w:val="left"/>
        </w:tabs>
        <w:numPr>
          <w:ilvl w:val="0"/>
          <w:numId w:val="95"/>
        </w:numPr>
        <w:rPr>
          <w:rFonts w:ascii="Arial" w:cs="Arial" w:eastAsia="Arial" w:hAnsi="Arial"/>
          <w:sz w:val="20"/>
          <w:szCs w:val="20"/>
          <w:color w:val="auto"/>
        </w:rPr>
      </w:pPr>
      <w:r>
        <w:rPr>
          <w:rFonts w:ascii="Arial" w:cs="Arial" w:eastAsia="Arial" w:hAnsi="Arial"/>
          <w:sz w:val="20"/>
          <w:szCs w:val="20"/>
          <w:color w:val="auto"/>
        </w:rPr>
        <w:t>full payment of the exercise price applicable to any Time Option in cash, by check, in Membership Units (any such Membership Units valued at Fair Market Value on the date of exercise) that the Grantee has held for at least six months (or such lesser period of time as may be required by the Company’s accountants), through the withholding of Membership Units (any such Membership Units valued at Fair Market Value on the date of exercise) otherwise issuable upon the exercise of the Time Option in a manner that is compliant with applicable law, or a combination of the foregoing methods;</w:t>
      </w:r>
    </w:p>
    <w:p>
      <w:pPr>
        <w:spacing w:after="0" w:line="194" w:lineRule="exact"/>
        <w:rPr>
          <w:rFonts w:ascii="Arial" w:cs="Arial" w:eastAsia="Arial" w:hAnsi="Arial"/>
          <w:sz w:val="20"/>
          <w:szCs w:val="20"/>
          <w:color w:val="auto"/>
        </w:rPr>
      </w:pPr>
    </w:p>
    <w:p>
      <w:pPr>
        <w:jc w:val="both"/>
        <w:ind w:firstLine="656"/>
        <w:spacing w:after="0" w:line="250" w:lineRule="auto"/>
        <w:tabs>
          <w:tab w:leader="none" w:pos="1286" w:val="left"/>
        </w:tabs>
        <w:numPr>
          <w:ilvl w:val="0"/>
          <w:numId w:val="95"/>
        </w:numPr>
        <w:rPr>
          <w:rFonts w:ascii="Arial" w:cs="Arial" w:eastAsia="Arial" w:hAnsi="Arial"/>
          <w:sz w:val="20"/>
          <w:szCs w:val="20"/>
          <w:color w:val="auto"/>
        </w:rPr>
      </w:pPr>
      <w:r>
        <w:rPr>
          <w:rFonts w:ascii="Arial" w:cs="Arial" w:eastAsia="Arial" w:hAnsi="Arial"/>
          <w:sz w:val="20"/>
          <w:szCs w:val="20"/>
          <w:color w:val="auto"/>
        </w:rPr>
        <w:t>full payment in cash of any taxes due in respect of such exercise in cash, except that upon any termination of the Grantee’s Employment under a circumstance described in Section 3.2(b) or (c) above, the Grantee may make payment of any such taxes under any method described in Section 4.3(b) above;</w:t>
      </w:r>
    </w:p>
    <w:p>
      <w:pPr>
        <w:spacing w:after="0" w:line="185" w:lineRule="exact"/>
        <w:rPr>
          <w:rFonts w:ascii="Arial" w:cs="Arial" w:eastAsia="Arial" w:hAnsi="Arial"/>
          <w:sz w:val="20"/>
          <w:szCs w:val="20"/>
          <w:color w:val="auto"/>
        </w:rPr>
      </w:pPr>
    </w:p>
    <w:p>
      <w:pPr>
        <w:ind w:firstLine="656"/>
        <w:spacing w:after="0" w:line="287" w:lineRule="auto"/>
        <w:tabs>
          <w:tab w:leader="none" w:pos="1284" w:val="left"/>
        </w:tabs>
        <w:numPr>
          <w:ilvl w:val="0"/>
          <w:numId w:val="95"/>
        </w:numPr>
        <w:rPr>
          <w:rFonts w:ascii="Arial" w:cs="Arial" w:eastAsia="Arial" w:hAnsi="Arial"/>
          <w:sz w:val="19"/>
          <w:szCs w:val="19"/>
          <w:color w:val="auto"/>
        </w:rPr>
      </w:pPr>
      <w:r>
        <w:rPr>
          <w:rFonts w:ascii="Arial" w:cs="Arial" w:eastAsia="Arial" w:hAnsi="Arial"/>
          <w:sz w:val="19"/>
          <w:szCs w:val="19"/>
          <w:color w:val="auto"/>
        </w:rPr>
        <w:t>execution and delivery to the Company, to the extent not so previously executed and delivered, of the Management Unitholder’s Agreement and such other documents and instruments as may be reasonably required by the Committee;</w:t>
      </w:r>
    </w:p>
    <w:p>
      <w:pPr>
        <w:spacing w:after="0" w:line="152" w:lineRule="exact"/>
        <w:rPr>
          <w:rFonts w:ascii="Arial" w:cs="Arial" w:eastAsia="Arial" w:hAnsi="Arial"/>
          <w:sz w:val="19"/>
          <w:szCs w:val="19"/>
          <w:color w:val="auto"/>
        </w:rPr>
      </w:pPr>
    </w:p>
    <w:p>
      <w:pPr>
        <w:ind w:firstLine="656"/>
        <w:spacing w:after="0" w:line="260" w:lineRule="auto"/>
        <w:tabs>
          <w:tab w:leader="none" w:pos="1286" w:val="left"/>
        </w:tabs>
        <w:numPr>
          <w:ilvl w:val="0"/>
          <w:numId w:val="95"/>
        </w:numPr>
        <w:rPr>
          <w:rFonts w:ascii="Arial" w:cs="Arial" w:eastAsia="Arial" w:hAnsi="Arial"/>
          <w:sz w:val="20"/>
          <w:szCs w:val="20"/>
          <w:color w:val="auto"/>
        </w:rPr>
      </w:pPr>
      <w:r>
        <w:rPr>
          <w:rFonts w:ascii="Arial" w:cs="Arial" w:eastAsia="Arial" w:hAnsi="Arial"/>
          <w:sz w:val="20"/>
          <w:szCs w:val="20"/>
          <w:color w:val="auto"/>
        </w:rPr>
        <w:t>full payment to the Company of all amounts which, under federal, state or local law, it (or an Affiliate) is required to withhold upon exercise of the Time Option, except as otherwise agreed to by the Company under the Plan;</w:t>
      </w:r>
    </w:p>
    <w:p>
      <w:pPr>
        <w:spacing w:after="0" w:line="176" w:lineRule="exact"/>
        <w:rPr>
          <w:rFonts w:ascii="Arial" w:cs="Arial" w:eastAsia="Arial" w:hAnsi="Arial"/>
          <w:sz w:val="20"/>
          <w:szCs w:val="20"/>
          <w:color w:val="auto"/>
        </w:rPr>
      </w:pPr>
    </w:p>
    <w:p>
      <w:pPr>
        <w:ind w:firstLine="656"/>
        <w:spacing w:after="0" w:line="260" w:lineRule="auto"/>
        <w:tabs>
          <w:tab w:leader="none" w:pos="1291" w:val="left"/>
        </w:tabs>
        <w:numPr>
          <w:ilvl w:val="0"/>
          <w:numId w:val="95"/>
        </w:numPr>
        <w:rPr>
          <w:rFonts w:ascii="Arial" w:cs="Arial" w:eastAsia="Arial" w:hAnsi="Arial"/>
          <w:sz w:val="20"/>
          <w:szCs w:val="20"/>
          <w:color w:val="auto"/>
        </w:rPr>
      </w:pPr>
      <w:r>
        <w:rPr>
          <w:rFonts w:ascii="Arial" w:cs="Arial" w:eastAsia="Arial" w:hAnsi="Arial"/>
          <w:sz w:val="20"/>
          <w:szCs w:val="20"/>
          <w:color w:val="auto"/>
        </w:rPr>
        <w:t>in the event the Time Option or portion thereof shall be exercised pursuant to Section 4.1 by any person or persons other than the Grantee, appropriate proof of the right of such person or persons to exercise the option; and</w:t>
      </w:r>
    </w:p>
    <w:p>
      <w:pPr>
        <w:spacing w:after="0" w:line="176" w:lineRule="exact"/>
        <w:rPr>
          <w:rFonts w:ascii="Arial" w:cs="Arial" w:eastAsia="Arial" w:hAnsi="Arial"/>
          <w:sz w:val="20"/>
          <w:szCs w:val="20"/>
          <w:color w:val="auto"/>
        </w:rPr>
      </w:pPr>
    </w:p>
    <w:p>
      <w:pPr>
        <w:ind w:left="1300" w:hanging="644"/>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so requested by the Committee, an irrevocable voting proxy and power of attorney in favor of a designated member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Board.</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addition, following an IPO, the Grantee may satisfy his or her obligations under Section 4.3(b) and/or (c) through the sale of Membership Units (or equity securities into which Membership Units are convertible) into the public market pursuant to a cashless exercise program that is compliant with applicable law, to the extent the sale of such Membership Units (or equity securities, as applicable) is permitted under the Management Unitholder’s Agreement.</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Without limiting the generality of the foregoing, the Committee may require an opinion of counsel acceptable to it to the effect that any subsequent transfer of Membership Units acquired on exercise of the Time Option does not violate the Securities Act of 1933, as amended, and may issue stop-transfer orders covering such Membership Units.</w:t>
      </w:r>
    </w:p>
    <w:p>
      <w:pPr>
        <w:spacing w:after="0" w:line="18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8"/>
          <w:szCs w:val="18"/>
          <w:u w:val="single" w:color="auto"/>
          <w:color w:val="auto"/>
        </w:rPr>
        <w:t>Conditions to Issuance of Membership Units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shall not be required to record the ownership by the Grantee of Membership Units purchased upon the exercise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Time Option or portion thereof prior to fulfillment of all of the following conditions:</w:t>
      </w:r>
    </w:p>
    <w:p>
      <w:pPr>
        <w:spacing w:after="0" w:line="200" w:lineRule="exact"/>
        <w:rPr>
          <w:sz w:val="20"/>
          <w:szCs w:val="20"/>
          <w:color w:val="auto"/>
        </w:rPr>
      </w:pPr>
    </w:p>
    <w:p>
      <w:pPr>
        <w:ind w:firstLine="656"/>
        <w:spacing w:after="0" w:line="260" w:lineRule="auto"/>
        <w:tabs>
          <w:tab w:leader="none" w:pos="1286"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obtaining of approval or other clearance from any federal, state, local or non-U.S. governmental agency which the Committee shall, in its reasonable and good faith discretion, determine to be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240"/>
          </w:cols>
          <w:pgMar w:left="320" w:top="125"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656"/>
        <w:spacing w:after="0" w:line="260" w:lineRule="auto"/>
        <w:tabs>
          <w:tab w:leader="none" w:pos="1284"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lapse of such reasonable period of time following the exercise of the Time Option as may otherwise be required by applicable law; and</w:t>
      </w:r>
    </w:p>
    <w:p>
      <w:pPr>
        <w:spacing w:after="0" w:line="176" w:lineRule="exact"/>
        <w:rPr>
          <w:rFonts w:ascii="Arial" w:cs="Arial" w:eastAsia="Arial" w:hAnsi="Arial"/>
          <w:sz w:val="20"/>
          <w:szCs w:val="20"/>
          <w:color w:val="auto"/>
        </w:rPr>
      </w:pPr>
    </w:p>
    <w:p>
      <w:pPr>
        <w:ind w:firstLine="656"/>
        <w:spacing w:after="0" w:line="260" w:lineRule="auto"/>
        <w:tabs>
          <w:tab w:leader="none" w:pos="1286"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execution and to the Company, to the extent not so previously executed and delivered, of the Management Unitholder’s Agreement and such other documents and instruments as may be reasonably required by the Committee.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4.5</w:t>
      </w:r>
      <w:r>
        <w:rPr>
          <w:sz w:val="20"/>
          <w:szCs w:val="20"/>
          <w:color w:val="auto"/>
        </w:rPr>
        <w:tab/>
      </w:r>
      <w:r>
        <w:rPr>
          <w:rFonts w:ascii="Arial" w:cs="Arial" w:eastAsia="Arial" w:hAnsi="Arial"/>
          <w:sz w:val="18"/>
          <w:szCs w:val="18"/>
          <w:u w:val="single" w:color="auto"/>
          <w:color w:val="auto"/>
        </w:rPr>
        <w:t>Rights as Unitholder; Member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The Grantee shall not be, and shall not have any of the rights or privileges of, unitholders or members of the Company in respect of any Membership Units purchasable upon exercise of the Time Option or any portion thereof unless and until a book entry representing such Membership Units has been made on the books and records of the Company and the Grantee has been admitted as a member pursuant to the terms of the LLC Agreement; </w:t>
      </w:r>
      <w:r>
        <w:rPr>
          <w:rFonts w:ascii="Arial" w:cs="Arial" w:eastAsia="Arial" w:hAnsi="Arial"/>
          <w:sz w:val="19"/>
          <w:szCs w:val="19"/>
          <w:u w:val="single" w:color="auto"/>
          <w:color w:val="auto"/>
        </w:rPr>
        <w:t>provided</w:t>
      </w:r>
      <w:r>
        <w:rPr>
          <w:rFonts w:ascii="Arial" w:cs="Arial" w:eastAsia="Arial" w:hAnsi="Arial"/>
          <w:sz w:val="19"/>
          <w:szCs w:val="19"/>
          <w:color w:val="auto"/>
        </w:rPr>
        <w:t>, that the Grantee shall be deemed to be admitted as a member, retroactive to the date of exercise of the Time Option, once the criteria contained in Sections 4.3 and 4.4 hereof have been satisfied.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MISCELLANEOUS</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8"/>
          <w:szCs w:val="18"/>
          <w:u w:val="single" w:color="auto"/>
          <w:color w:val="auto"/>
        </w:rPr>
        <w:t>Administration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The Committee shall have the power to interpret the Plan and this Award and to adopt such rules for the administration, interpretation and application of the Plan as are consistent therewith and to interpret or revoke any such rules and all actions taken and all interpretations and determinations made by the Committee in good faith shall be final and binding upon the Grantee, the Company and all other interested persons;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powers shall not govern any determinations of “Cause” or “Disability” for purposes of this Award, which shall instead be subject to dispute pursuant to Section 5.6. In its absolute discretion, the Board may at any time and from time to time exercise any and all rights and duties of the Committee under the Plan and this Award; </w:t>
      </w:r>
      <w:r>
        <w:rPr>
          <w:rFonts w:ascii="Arial" w:cs="Arial" w:eastAsia="Arial" w:hAnsi="Arial"/>
          <w:sz w:val="19"/>
          <w:szCs w:val="19"/>
          <w:u w:val="single" w:color="auto"/>
          <w:color w:val="auto"/>
        </w:rPr>
        <w:t>provided</w:t>
      </w:r>
      <w:r>
        <w:rPr>
          <w:rFonts w:ascii="Arial" w:cs="Arial" w:eastAsia="Arial" w:hAnsi="Arial"/>
          <w:sz w:val="19"/>
          <w:szCs w:val="19"/>
          <w:color w:val="auto"/>
        </w:rPr>
        <w:t>, that in no event may the Board or Committee terminate the Plan or the Time Option other than pursuant to Section 7 or 8 of the Plan or the Management Unitholder’s Agreement without the Grantee’s written consent.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6"/>
          <w:szCs w:val="16"/>
          <w:u w:val="single" w:color="auto"/>
          <w:color w:val="auto"/>
        </w:rPr>
        <w:t>Notices</w:t>
      </w:r>
    </w:p>
    <w:p>
      <w:pPr>
        <w:spacing w:after="0" w:line="21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Any notice to be given under the terms of this Award to the Company shall be addressed to the Company in care of the Secretary, and any notice to be given to the Grantee shall be addressed to the Grantee at the address set forth in the Company’s books and records. By a notice given pursuant to this Section 5.2, either party may hereafter designate a different address for notices to be given to that party. Any notice which is required to be given to the Grantee, shall, if the Grantee is then deceased, be given to the Grantee’s personal representative if such representative has previously informed the Company of the representative’s status and address by written notice under this Section 5.2.</w:t>
      </w:r>
    </w:p>
    <w:p>
      <w:pPr>
        <w:spacing w:after="0" w:line="13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8"/>
          <w:szCs w:val="18"/>
          <w:u w:val="single" w:color="auto"/>
          <w:color w:val="auto"/>
        </w:rPr>
        <w:t>Time Option Subject to Plan and Management Unitholder’s Agreement; Survival of Terms; Conflicts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Time Option, and the Membership Units issued to the Grantee upon exercise of the Time Option, shall be subject to all of the terms and provisions of the Plan and the Management Unitholder’s Agreement, to the extent applicable to the Time Option and such Membership Units, and all such applicable terms are hereby incorporated by reference and made a part hereof, including, without limitation, those provisions contained in Sections 4.1, 5 and 7 of the Management Unitholder’s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240"/>
          </w:cols>
          <w:pgMar w:left="320" w:top="125"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Agreement. In the event of any conflict between this Award and the Management Unitholder’s Agreement, the Management Unitholder’s Agreement shall control. This Award also remains subject to the terms of the Plan, and, in the event of any conflict between specific provisions of the Plan and the Award, the Plan shall control. The provisions of the Award shall survive the termination of the Award to the extent consistent with, or necessary to carry out, the purposes thereof.</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8"/>
          <w:szCs w:val="18"/>
          <w:u w:val="single" w:color="auto"/>
          <w:color w:val="auto"/>
        </w:rPr>
        <w:t>Amendment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Subject to Section 9 of the Plan, this Award may be amended only by a writing executed by the parties hereto, which specifically states that it is amending this Award.</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8"/>
          <w:szCs w:val="18"/>
          <w:u w:val="single" w:color="auto"/>
          <w:color w:val="auto"/>
        </w:rPr>
        <w:t>Governing Law</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Award shall be governed in all respects by the laws of the State of Delaware, without giving effect to the principal of conflict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laws.</w:t>
      </w:r>
    </w:p>
    <w:p>
      <w:pPr>
        <w:spacing w:after="0" w:line="20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5.6</w:t>
      </w:r>
      <w:r>
        <w:rPr>
          <w:sz w:val="20"/>
          <w:szCs w:val="20"/>
          <w:color w:val="auto"/>
        </w:rPr>
        <w:tab/>
      </w:r>
      <w:r>
        <w:rPr>
          <w:rFonts w:ascii="Arial" w:cs="Arial" w:eastAsia="Arial" w:hAnsi="Arial"/>
          <w:sz w:val="16"/>
          <w:szCs w:val="16"/>
          <w:u w:val="single" w:color="auto"/>
          <w:color w:val="auto"/>
        </w:rPr>
        <w:t>Disputes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Notwithstanding anything in the Plan to the contrary, any dispute with regard to the enforcement of this Award shall be exclusively resolved pursuant to the dispute resolution procedures set forth in the Employment Agreement, if any, or if the Grantee has no Employment Agreement or if no such procedures exist therein, pursuant to Section 14(h) of the Plan; </w:t>
      </w:r>
      <w:r>
        <w:rPr>
          <w:rFonts w:ascii="Arial" w:cs="Arial" w:eastAsia="Arial" w:hAnsi="Arial"/>
          <w:sz w:val="20"/>
          <w:szCs w:val="20"/>
          <w:u w:val="single" w:color="auto"/>
          <w:color w:val="auto"/>
        </w:rPr>
        <w:t>provided</w:t>
      </w:r>
      <w:r>
        <w:rPr>
          <w:rFonts w:ascii="Arial" w:cs="Arial" w:eastAsia="Arial" w:hAnsi="Arial"/>
          <w:sz w:val="20"/>
          <w:szCs w:val="20"/>
          <w:color w:val="auto"/>
        </w:rPr>
        <w:t>, that any arbitration conducted pursuant to Section 14(h) of the Plan shall be conducted in the State of Texas.</w:t>
      </w:r>
    </w:p>
    <w:p>
      <w:pPr>
        <w:spacing w:after="0" w:line="19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8"/>
          <w:szCs w:val="18"/>
          <w:u w:val="single" w:color="auto"/>
          <w:color w:val="auto"/>
        </w:rPr>
        <w:t>Conformity to Section 409A</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It is intended that the Time Option either be exempt from or comply with Section 409A, and this Award shall be interpreted accordingly. The Committee shall use commercially reasonable efforts to implement the provisions of this Section 5.7 in good faith;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the Company, the Board, the Committee nor any of the Company’s employees, directors or representatives shall have any liability to Participants with respect to this Section 5.7 to the extent administered in accordance therewith.</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5.8</w:t>
      </w:r>
      <w:r>
        <w:rPr>
          <w:sz w:val="20"/>
          <w:szCs w:val="20"/>
          <w:color w:val="auto"/>
        </w:rPr>
        <w:tab/>
      </w:r>
      <w:r>
        <w:rPr>
          <w:rFonts w:ascii="Arial" w:cs="Arial" w:eastAsia="Arial" w:hAnsi="Arial"/>
          <w:sz w:val="18"/>
          <w:szCs w:val="18"/>
          <w:u w:val="single" w:color="auto"/>
          <w:color w:val="auto"/>
        </w:rPr>
        <w:t>No Right of Employment or Service</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Nothing contained herein shall confer on the Grantee any right to be continued in the Employ or service of the Company and/or any Affiliate, constitute any contract or agreement of Employment or other service or affect an employee’s status as an at-will employee, nor shall anything contained herein affect any rights which the Company and/or an Affiliate may have to change the Grantee’s compensation or other benefits or terminate such person’s Employment or association with the Company and/or its Affiliate for any reason (with or without Cause, with or without compensation) at any time.</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5.9</w:t>
      </w:r>
      <w:r>
        <w:rPr>
          <w:sz w:val="20"/>
          <w:szCs w:val="20"/>
          <w:color w:val="auto"/>
        </w:rPr>
        <w:tab/>
      </w:r>
      <w:r>
        <w:rPr>
          <w:rFonts w:ascii="Arial" w:cs="Arial" w:eastAsia="Arial" w:hAnsi="Arial"/>
          <w:sz w:val="16"/>
          <w:szCs w:val="16"/>
          <w:u w:val="single" w:color="auto"/>
          <w:color w:val="auto"/>
        </w:rPr>
        <w:t>Counterparts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Award may be signed in counterparts, each of which shall be an original, with the same effect as if the signatures thereto and hereto were upon the same instrument.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u w:val="single" w:color="auto"/>
          <w:color w:val="auto"/>
        </w:rPr>
        <w:t>Electronic Delivery</w:t>
      </w:r>
    </w:p>
    <w:p>
      <w:pPr>
        <w:spacing w:after="0" w:line="216" w:lineRule="exact"/>
        <w:rPr>
          <w:sz w:val="20"/>
          <w:szCs w:val="20"/>
          <w:color w:val="auto"/>
        </w:rPr>
      </w:pPr>
    </w:p>
    <w:p>
      <w:pPr>
        <w:jc w:val="both"/>
        <w:ind w:firstLine="222"/>
        <w:spacing w:after="0" w:line="291" w:lineRule="auto"/>
        <w:rPr>
          <w:sz w:val="20"/>
          <w:szCs w:val="20"/>
          <w:color w:val="auto"/>
        </w:rPr>
      </w:pPr>
      <w:r>
        <w:rPr>
          <w:rFonts w:ascii="Arial" w:cs="Arial" w:eastAsia="Arial" w:hAnsi="Arial"/>
          <w:sz w:val="18"/>
          <w:szCs w:val="18"/>
          <w:color w:val="auto"/>
        </w:rPr>
        <w:t>The Company may, in its sole discretion, decide to deliver any documents related to this Award by electronic means. The Grantee hereby consents to receive such documents by electronic delivery and agrees to participate in the Plan through an online or electronic system established and maintained by the Company or a third party designated by the Company. In the event that any information regarding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240"/>
          </w:cols>
          <w:pgMar w:left="320" w:top="125"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Time Option provided to the Grantee through the stock plan administrator’s web portal or otherwise conflicts with any of the terms and conditions of this Award, the Plan or the Management Unitholder’s Agreement (collectively, the “</w:t>
      </w:r>
      <w:r>
        <w:rPr>
          <w:rFonts w:ascii="Arial" w:cs="Arial" w:eastAsia="Arial" w:hAnsi="Arial"/>
          <w:sz w:val="20"/>
          <w:szCs w:val="20"/>
          <w:b w:val="1"/>
          <w:bCs w:val="1"/>
          <w:i w:val="1"/>
          <w:iCs w:val="1"/>
          <w:color w:val="auto"/>
        </w:rPr>
        <w:t>Award Governing Documents</w:t>
      </w:r>
      <w:r>
        <w:rPr>
          <w:rFonts w:ascii="Arial" w:cs="Arial" w:eastAsia="Arial" w:hAnsi="Arial"/>
          <w:sz w:val="20"/>
          <w:szCs w:val="20"/>
          <w:color w:val="auto"/>
        </w:rPr>
        <w:t>”), the Award Governing Documents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146050</wp:posOffset>
            </wp:positionV>
            <wp:extent cx="5100320" cy="1329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5100320" cy="1329055"/>
                    </a:xfrm>
                    <a:prstGeom prst="rect">
                      <a:avLst/>
                    </a:prstGeom>
                    <a:noFill/>
                  </pic:spPr>
                </pic:pic>
              </a:graphicData>
            </a:graphic>
          </wp:anchor>
        </w:drawing>
      </w:r>
    </w:p>
    <w:p>
      <w:pPr>
        <w:spacing w:after="0" w:line="391" w:lineRule="exact"/>
        <w:rPr>
          <w:sz w:val="20"/>
          <w:szCs w:val="20"/>
          <w:color w:val="auto"/>
        </w:rPr>
      </w:pPr>
    </w:p>
    <w:p>
      <w:pPr>
        <w:jc w:val="center"/>
        <w:ind w:left="660"/>
        <w:spacing w:after="0"/>
        <w:rPr>
          <w:sz w:val="20"/>
          <w:szCs w:val="20"/>
          <w:color w:val="auto"/>
        </w:rPr>
      </w:pPr>
      <w:r>
        <w:rPr>
          <w:rFonts w:ascii="Arial" w:cs="Arial" w:eastAsia="Arial" w:hAnsi="Arial"/>
          <w:sz w:val="22"/>
          <w:szCs w:val="22"/>
          <w:color w:val="auto"/>
        </w:rPr>
        <w:t>* * * * *</w:t>
      </w:r>
    </w:p>
    <w:p>
      <w:pPr>
        <w:spacing w:after="0" w:line="214" w:lineRule="exact"/>
        <w:rPr>
          <w:sz w:val="20"/>
          <w:szCs w:val="20"/>
          <w:color w:val="auto"/>
        </w:rPr>
      </w:pPr>
    </w:p>
    <w:p>
      <w:pPr>
        <w:jc w:val="both"/>
        <w:ind w:left="2000" w:right="1360" w:firstLine="648"/>
        <w:spacing w:after="0" w:line="256" w:lineRule="auto"/>
        <w:rPr>
          <w:sz w:val="20"/>
          <w:szCs w:val="20"/>
          <w:color w:val="auto"/>
        </w:rPr>
      </w:pPr>
      <w:r>
        <w:rPr>
          <w:rFonts w:ascii="Arial" w:cs="Arial" w:eastAsia="Arial" w:hAnsi="Arial"/>
          <w:sz w:val="22"/>
          <w:szCs w:val="22"/>
          <w:b w:val="1"/>
          <w:bCs w:val="1"/>
          <w:color w:val="auto"/>
        </w:rPr>
        <w:t>This Time Option Award Agreement between the Company and the Grantee named on the Master Signature Page attached hereto is dated and executed as of the date set forth on such Master Signature Page.</w:t>
      </w:r>
    </w:p>
    <w:p>
      <w:pPr>
        <w:spacing w:after="0" w:line="182" w:lineRule="exact"/>
        <w:rPr>
          <w:sz w:val="20"/>
          <w:szCs w:val="20"/>
          <w:color w:val="auto"/>
        </w:rPr>
      </w:pPr>
    </w:p>
    <w:p>
      <w:pPr>
        <w:ind w:left="5900"/>
        <w:spacing w:after="0"/>
        <w:rPr>
          <w:sz w:val="20"/>
          <w:szCs w:val="20"/>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240"/>
          </w:cols>
          <w:pgMar w:left="320" w:top="125" w:right="339"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80" w:type="dxa"/>
            <w:vAlign w:val="bottom"/>
            <w:gridSpan w:val="4"/>
          </w:tcPr>
          <w:p>
            <w:pPr>
              <w:jc w:val="center"/>
              <w:ind w:right="4870"/>
              <w:spacing w:after="0"/>
              <w:rPr>
                <w:sz w:val="20"/>
                <w:szCs w:val="20"/>
                <w:color w:val="auto"/>
              </w:rPr>
            </w:pPr>
            <w:r>
              <w:rPr>
                <w:rFonts w:ascii="Arial" w:cs="Arial" w:eastAsia="Arial" w:hAnsi="Arial"/>
                <w:sz w:val="18"/>
                <w:szCs w:val="18"/>
                <w:b w:val="1"/>
                <w:bCs w:val="1"/>
                <w:color w:val="auto"/>
                <w:w w:val="91"/>
              </w:rPr>
              <w:t>Appendix A</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20" w:type="dxa"/>
            <w:vAlign w:val="bottom"/>
          </w:tcPr>
          <w:p>
            <w:pPr>
              <w:spacing w:after="0"/>
              <w:rPr>
                <w:sz w:val="24"/>
                <w:szCs w:val="24"/>
                <w:color w:val="auto"/>
              </w:rPr>
            </w:pPr>
          </w:p>
        </w:tc>
        <w:tc>
          <w:tcPr>
            <w:tcW w:w="6520" w:type="dxa"/>
            <w:vAlign w:val="bottom"/>
            <w:gridSpan w:val="5"/>
          </w:tcPr>
          <w:p>
            <w:pPr>
              <w:jc w:val="center"/>
              <w:ind w:right="4230"/>
              <w:spacing w:after="0"/>
              <w:rPr>
                <w:sz w:val="20"/>
                <w:szCs w:val="20"/>
                <w:color w:val="auto"/>
              </w:rPr>
            </w:pPr>
            <w:r>
              <w:rPr>
                <w:rFonts w:ascii="Arial" w:cs="Arial" w:eastAsia="Arial" w:hAnsi="Arial"/>
                <w:sz w:val="18"/>
                <w:szCs w:val="18"/>
                <w:color w:val="auto"/>
                <w:w w:val="90"/>
              </w:rPr>
              <w:t>Time Option Vesting Schedule</w:t>
            </w:r>
          </w:p>
        </w:tc>
        <w:tc>
          <w:tcPr>
            <w:tcW w:w="0" w:type="dxa"/>
            <w:vAlign w:val="bottom"/>
          </w:tcPr>
          <w:p>
            <w:pPr>
              <w:spacing w:after="0"/>
              <w:rPr>
                <w:sz w:val="1"/>
                <w:szCs w:val="1"/>
                <w:color w:val="auto"/>
              </w:rPr>
            </w:pPr>
          </w:p>
        </w:tc>
      </w:tr>
      <w:tr>
        <w:trPr>
          <w:trHeight w:val="290"/>
        </w:trPr>
        <w:tc>
          <w:tcPr>
            <w:tcW w:w="4520" w:type="dxa"/>
            <w:vAlign w:val="bottom"/>
            <w:tcBorders>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gridSpan w:val="2"/>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520" w:type="dxa"/>
            <w:vAlign w:val="bottom"/>
            <w:tcBorders>
              <w:left w:val="single" w:sz="8" w:color="auto"/>
            </w:tcBorders>
            <w:vMerge w:val="restart"/>
          </w:tcPr>
          <w:p>
            <w:pPr>
              <w:jc w:val="center"/>
              <w:ind w:left="650"/>
              <w:spacing w:after="0"/>
              <w:rPr>
                <w:sz w:val="20"/>
                <w:szCs w:val="20"/>
                <w:color w:val="auto"/>
              </w:rPr>
            </w:pPr>
            <w:r>
              <w:rPr>
                <w:rFonts w:ascii="Arial" w:cs="Arial" w:eastAsia="Arial" w:hAnsi="Arial"/>
                <w:sz w:val="18"/>
                <w:szCs w:val="18"/>
                <w:b w:val="1"/>
                <w:bCs w:val="1"/>
                <w:color w:val="auto"/>
                <w:w w:val="90"/>
              </w:rPr>
              <w:t>The following percentages of the Time Option:</w:t>
            </w:r>
          </w:p>
        </w:tc>
        <w:tc>
          <w:tcPr>
            <w:tcW w:w="6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57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Shall become vested and exercisable on the following corresponding</w:t>
            </w:r>
          </w:p>
        </w:tc>
        <w:tc>
          <w:tcPr>
            <w:tcW w:w="0" w:type="dxa"/>
            <w:vAlign w:val="bottom"/>
          </w:tcPr>
          <w:p>
            <w:pPr>
              <w:spacing w:after="0"/>
              <w:rPr>
                <w:sz w:val="1"/>
                <w:szCs w:val="1"/>
                <w:color w:val="auto"/>
              </w:rPr>
            </w:pPr>
          </w:p>
        </w:tc>
      </w:tr>
      <w:tr>
        <w:trPr>
          <w:trHeight w:val="126"/>
        </w:trPr>
        <w:tc>
          <w:tcPr>
            <w:tcW w:w="4520" w:type="dxa"/>
            <w:vAlign w:val="bottom"/>
            <w:tcBorders>
              <w:left w:val="single" w:sz="8" w:color="auto"/>
            </w:tcBorders>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320" w:type="dxa"/>
            <w:vAlign w:val="bottom"/>
            <w:tcBorders>
              <w:right w:val="single" w:sz="8" w:color="auto"/>
            </w:tcBorders>
            <w:vMerge w:val="restart"/>
          </w:tcPr>
          <w:p>
            <w:pPr>
              <w:jc w:val="center"/>
              <w:ind w:right="1410"/>
              <w:spacing w:after="0"/>
              <w:rPr>
                <w:sz w:val="20"/>
                <w:szCs w:val="20"/>
                <w:color w:val="auto"/>
              </w:rPr>
            </w:pPr>
            <w:r>
              <w:rPr>
                <w:rFonts w:ascii="Arial" w:cs="Arial" w:eastAsia="Arial" w:hAnsi="Arial"/>
                <w:sz w:val="18"/>
                <w:szCs w:val="18"/>
                <w:b w:val="1"/>
                <w:bCs w:val="1"/>
                <w:color w:val="auto"/>
                <w:w w:val="91"/>
              </w:rPr>
              <w:t>anniversaries of the Grant Date:</w:t>
            </w:r>
          </w:p>
        </w:tc>
        <w:tc>
          <w:tcPr>
            <w:tcW w:w="0" w:type="dxa"/>
            <w:vAlign w:val="bottom"/>
          </w:tcPr>
          <w:p>
            <w:pPr>
              <w:spacing w:after="0"/>
              <w:rPr>
                <w:sz w:val="1"/>
                <w:szCs w:val="1"/>
                <w:color w:val="auto"/>
              </w:rPr>
            </w:pPr>
          </w:p>
        </w:tc>
      </w:tr>
      <w:tr>
        <w:trPr>
          <w:trHeight w:val="108"/>
        </w:trPr>
        <w:tc>
          <w:tcPr>
            <w:tcW w:w="4520" w:type="dxa"/>
            <w:vAlign w:val="bottom"/>
            <w:tcBorders>
              <w:lef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Borders>
              <w:left w:val="single" w:sz="8" w:color="auto"/>
            </w:tcBorders>
          </w:tcPr>
          <w:p>
            <w:pPr>
              <w:jc w:val="center"/>
              <w:ind w:left="650"/>
              <w:spacing w:after="0"/>
              <w:rPr>
                <w:sz w:val="20"/>
                <w:szCs w:val="20"/>
                <w:color w:val="auto"/>
              </w:rPr>
            </w:pPr>
            <w:r>
              <w:rPr>
                <w:rFonts w:ascii="Arial" w:cs="Arial" w:eastAsia="Arial" w:hAnsi="Arial"/>
                <w:sz w:val="18"/>
                <w:szCs w:val="18"/>
                <w:color w:val="auto"/>
                <w:w w:val="94"/>
              </w:rPr>
              <w:t>25%</w:t>
            </w:r>
          </w:p>
        </w:tc>
        <w:tc>
          <w:tcPr>
            <w:tcW w:w="6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320" w:type="dxa"/>
            <w:vAlign w:val="bottom"/>
            <w:tcBorders>
              <w:right w:val="single" w:sz="8" w:color="auto"/>
            </w:tcBorders>
          </w:tcPr>
          <w:p>
            <w:pPr>
              <w:jc w:val="center"/>
              <w:ind w:right="1410"/>
              <w:spacing w:after="0"/>
              <w:rPr>
                <w:sz w:val="20"/>
                <w:szCs w:val="20"/>
                <w:color w:val="auto"/>
              </w:rPr>
            </w:pPr>
            <w:r>
              <w:rPr>
                <w:rFonts w:ascii="Arial" w:cs="Arial" w:eastAsia="Arial" w:hAnsi="Arial"/>
                <w:sz w:val="18"/>
                <w:szCs w:val="18"/>
                <w:color w:val="auto"/>
                <w:w w:val="90"/>
              </w:rPr>
              <w:t>First anniversary of the Grant Date</w:t>
            </w: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Borders>
              <w:left w:val="single" w:sz="8" w:color="auto"/>
            </w:tcBorders>
          </w:tcPr>
          <w:p>
            <w:pPr>
              <w:jc w:val="center"/>
              <w:ind w:left="650"/>
              <w:spacing w:after="0"/>
              <w:rPr>
                <w:sz w:val="20"/>
                <w:szCs w:val="20"/>
                <w:color w:val="auto"/>
              </w:rPr>
            </w:pPr>
            <w:r>
              <w:rPr>
                <w:rFonts w:ascii="Arial" w:cs="Arial" w:eastAsia="Arial" w:hAnsi="Arial"/>
                <w:sz w:val="18"/>
                <w:szCs w:val="18"/>
                <w:color w:val="auto"/>
                <w:w w:val="94"/>
              </w:rPr>
              <w:t>25%</w:t>
            </w:r>
          </w:p>
        </w:tc>
        <w:tc>
          <w:tcPr>
            <w:tcW w:w="6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320" w:type="dxa"/>
            <w:vAlign w:val="bottom"/>
            <w:tcBorders>
              <w:right w:val="single" w:sz="8" w:color="auto"/>
            </w:tcBorders>
          </w:tcPr>
          <w:p>
            <w:pPr>
              <w:jc w:val="center"/>
              <w:ind w:right="1410"/>
              <w:spacing w:after="0"/>
              <w:rPr>
                <w:sz w:val="20"/>
                <w:szCs w:val="20"/>
                <w:color w:val="auto"/>
              </w:rPr>
            </w:pPr>
            <w:r>
              <w:rPr>
                <w:rFonts w:ascii="Arial" w:cs="Arial" w:eastAsia="Arial" w:hAnsi="Arial"/>
                <w:sz w:val="18"/>
                <w:szCs w:val="18"/>
                <w:color w:val="auto"/>
                <w:w w:val="89"/>
              </w:rPr>
              <w:t>Second anniversary of the Grant Date</w:t>
            </w: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Borders>
              <w:left w:val="single" w:sz="8" w:color="auto"/>
            </w:tcBorders>
          </w:tcPr>
          <w:p>
            <w:pPr>
              <w:jc w:val="center"/>
              <w:ind w:left="650"/>
              <w:spacing w:after="0"/>
              <w:rPr>
                <w:sz w:val="20"/>
                <w:szCs w:val="20"/>
                <w:color w:val="auto"/>
              </w:rPr>
            </w:pPr>
            <w:r>
              <w:rPr>
                <w:rFonts w:ascii="Arial" w:cs="Arial" w:eastAsia="Arial" w:hAnsi="Arial"/>
                <w:sz w:val="18"/>
                <w:szCs w:val="18"/>
                <w:color w:val="auto"/>
                <w:w w:val="94"/>
              </w:rPr>
              <w:t>25%</w:t>
            </w:r>
          </w:p>
        </w:tc>
        <w:tc>
          <w:tcPr>
            <w:tcW w:w="6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320" w:type="dxa"/>
            <w:vAlign w:val="bottom"/>
            <w:tcBorders>
              <w:right w:val="single" w:sz="8" w:color="auto"/>
            </w:tcBorders>
          </w:tcPr>
          <w:p>
            <w:pPr>
              <w:jc w:val="center"/>
              <w:ind w:right="1410"/>
              <w:spacing w:after="0"/>
              <w:rPr>
                <w:sz w:val="20"/>
                <w:szCs w:val="20"/>
                <w:color w:val="auto"/>
              </w:rPr>
            </w:pPr>
            <w:r>
              <w:rPr>
                <w:rFonts w:ascii="Arial" w:cs="Arial" w:eastAsia="Arial" w:hAnsi="Arial"/>
                <w:sz w:val="18"/>
                <w:szCs w:val="18"/>
                <w:color w:val="auto"/>
                <w:w w:val="91"/>
              </w:rPr>
              <w:t>Third anniversary of the Grant Date</w:t>
            </w: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20" w:type="dxa"/>
            <w:vAlign w:val="bottom"/>
            <w:tcBorders>
              <w:left w:val="single" w:sz="8" w:color="auto"/>
            </w:tcBorders>
          </w:tcPr>
          <w:p>
            <w:pPr>
              <w:jc w:val="center"/>
              <w:ind w:left="650"/>
              <w:spacing w:after="0"/>
              <w:rPr>
                <w:sz w:val="20"/>
                <w:szCs w:val="20"/>
                <w:color w:val="auto"/>
              </w:rPr>
            </w:pPr>
            <w:r>
              <w:rPr>
                <w:rFonts w:ascii="Arial" w:cs="Arial" w:eastAsia="Arial" w:hAnsi="Arial"/>
                <w:sz w:val="18"/>
                <w:szCs w:val="18"/>
                <w:color w:val="auto"/>
                <w:w w:val="94"/>
              </w:rPr>
              <w:t>25%</w:t>
            </w:r>
          </w:p>
        </w:tc>
        <w:tc>
          <w:tcPr>
            <w:tcW w:w="64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320" w:type="dxa"/>
            <w:vAlign w:val="bottom"/>
            <w:tcBorders>
              <w:right w:val="single" w:sz="8" w:color="auto"/>
            </w:tcBorders>
          </w:tcPr>
          <w:p>
            <w:pPr>
              <w:jc w:val="center"/>
              <w:ind w:right="1410"/>
              <w:spacing w:after="0"/>
              <w:rPr>
                <w:sz w:val="20"/>
                <w:szCs w:val="20"/>
                <w:color w:val="auto"/>
              </w:rPr>
            </w:pPr>
            <w:r>
              <w:rPr>
                <w:rFonts w:ascii="Arial" w:cs="Arial" w:eastAsia="Arial" w:hAnsi="Arial"/>
                <w:sz w:val="18"/>
                <w:szCs w:val="18"/>
                <w:color w:val="auto"/>
                <w:w w:val="90"/>
              </w:rPr>
              <w:t>Fourth anniversary of the Grant Date</w:t>
            </w:r>
          </w:p>
        </w:tc>
        <w:tc>
          <w:tcPr>
            <w:tcW w:w="0" w:type="dxa"/>
            <w:vAlign w:val="bottom"/>
          </w:tcPr>
          <w:p>
            <w:pPr>
              <w:spacing w:after="0"/>
              <w:rPr>
                <w:sz w:val="1"/>
                <w:szCs w:val="1"/>
                <w:color w:val="auto"/>
              </w:rPr>
            </w:pPr>
          </w:p>
        </w:tc>
      </w:tr>
      <w:tr>
        <w:trPr>
          <w:trHeight w:val="27"/>
        </w:trPr>
        <w:tc>
          <w:tcPr>
            <w:tcW w:w="4520" w:type="dxa"/>
            <w:vAlign w:val="bottom"/>
            <w:tcBorders>
              <w:left w:val="single" w:sz="8" w:color="auto"/>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351964.7</w:t>
      </w:r>
    </w:p>
    <w:p>
      <w:pPr>
        <w:sectPr>
          <w:pgSz w:w="11900" w:h="16838" w:orient="portrait"/>
          <w:cols w:equalWidth="0" w:num="1">
            <w:col w:w="11020"/>
          </w:cols>
          <w:pgMar w:left="320" w:top="1404" w:right="55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MANAGING CO., L.L.C.,</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ACADEMY HOLDING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JAMEY TRAYWICK RUTHERFORD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October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25"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THIS EXECUTIVE EMPLOYMENT AGREEMENT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October 1, 2018 (the “</w:t>
      </w:r>
      <w:r>
        <w:rPr>
          <w:rFonts w:ascii="Arial" w:cs="Arial" w:eastAsia="Arial" w:hAnsi="Arial"/>
          <w:sz w:val="21"/>
          <w:szCs w:val="21"/>
          <w:b w:val="1"/>
          <w:bCs w:val="1"/>
          <w:i w:val="1"/>
          <w:iCs w:val="1"/>
          <w:color w:val="auto"/>
        </w:rPr>
        <w:t>Effective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Date</w:t>
      </w:r>
      <w:r>
        <w:rPr>
          <w:rFonts w:ascii="Arial" w:cs="Arial" w:eastAsia="Arial" w:hAnsi="Arial"/>
          <w:sz w:val="21"/>
          <w:szCs w:val="21"/>
          <w:color w:val="auto"/>
        </w:rPr>
        <w:t>”), is entered into by and among Jamey Traywick Rutherford (the “</w:t>
      </w:r>
      <w:r>
        <w:rPr>
          <w:rFonts w:ascii="Arial" w:cs="Arial" w:eastAsia="Arial" w:hAnsi="Arial"/>
          <w:sz w:val="21"/>
          <w:szCs w:val="21"/>
          <w:b w:val="1"/>
          <w:bCs w:val="1"/>
          <w:i w:val="1"/>
          <w:iCs w:val="1"/>
          <w:color w:val="auto"/>
        </w:rPr>
        <w:t>Executive</w:t>
      </w:r>
      <w:r>
        <w:rPr>
          <w:rFonts w:ascii="Arial" w:cs="Arial" w:eastAsia="Arial" w:hAnsi="Arial"/>
          <w:sz w:val="21"/>
          <w:szCs w:val="21"/>
          <w:color w:val="auto"/>
        </w:rPr>
        <w:t>”), Academy Managing Co., L.L.C., a Texas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limited liability company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New Academy Holding Company, LLC, a Delaware limited liability company (the “</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Effective on and after the Effective Date, this Agreement hereby supersedes and replaces in its entirety the Team Member Employment Agreement by and between the Executive and Academy, Ltd., a Texas limited partnership (“</w:t>
      </w:r>
      <w:r>
        <w:rPr>
          <w:rFonts w:ascii="Arial" w:cs="Arial" w:eastAsia="Arial" w:hAnsi="Arial"/>
          <w:sz w:val="21"/>
          <w:szCs w:val="21"/>
          <w:b w:val="1"/>
          <w:bCs w:val="1"/>
          <w:i w:val="1"/>
          <w:iCs w:val="1"/>
          <w:color w:val="auto"/>
        </w:rPr>
        <w:t>Academy</w:t>
      </w:r>
      <w:r>
        <w:rPr>
          <w:rFonts w:ascii="Arial" w:cs="Arial" w:eastAsia="Arial" w:hAnsi="Arial"/>
          <w:sz w:val="21"/>
          <w:szCs w:val="21"/>
          <w:color w:val="auto"/>
        </w:rPr>
        <w:t>”) dated as of June 13, 2018 (the “</w:t>
      </w:r>
      <w:r>
        <w:rPr>
          <w:rFonts w:ascii="Arial" w:cs="Arial" w:eastAsia="Arial" w:hAnsi="Arial"/>
          <w:sz w:val="21"/>
          <w:szCs w:val="21"/>
          <w:b w:val="1"/>
          <w:bCs w:val="1"/>
          <w:i w:val="1"/>
          <w:iCs w:val="1"/>
          <w:color w:val="auto"/>
        </w:rPr>
        <w:t>Prior Agreement</w:t>
      </w:r>
      <w:r>
        <w:rPr>
          <w:rFonts w:ascii="Arial" w:cs="Arial" w:eastAsia="Arial" w:hAnsi="Arial"/>
          <w:sz w:val="21"/>
          <w:szCs w:val="21"/>
          <w:color w:val="auto"/>
        </w:rPr>
        <w:t>”), except that Executive’s confidentiality and non-disclosure obligations in the Prior Agreement, Executive’s repayment obligations for Relocation Assistance in Section 7 of the Prior Agreement, and Executive’s repayment obligations for the Sign-On Bonus in Section 8 of the Prior Agreement all remain in full effect according to the terms of those sections in the Prior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Company is the sole general partner of Academy; and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Company desires to retain the Executive as Senior Vice President – Omnichannel for the Company and to encourage the attention and dedication to the Company Group (as such term is defined below) of the Executive as a member of the Company’s management pursuant to the terms and conditions set forth in this Agreement; and</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WHEREAS, the Executive acknowledges that (i) the Executive’s employment with the Company will provide the Executive with trade secrets of, and confidential information concerning, the Company, the Parent and the entities controlled by, controlling or under common control with the Company or the Parent that conduct Academy’s business (such entities, together with Academy, the Company and the Parent, collectively, the “</w:t>
      </w:r>
      <w:r>
        <w:rPr>
          <w:rFonts w:ascii="Arial" w:cs="Arial" w:eastAsia="Arial" w:hAnsi="Arial"/>
          <w:sz w:val="21"/>
          <w:szCs w:val="21"/>
          <w:b w:val="1"/>
          <w:bCs w:val="1"/>
          <w:i w:val="1"/>
          <w:iCs w:val="1"/>
          <w:color w:val="auto"/>
        </w:rPr>
        <w:t>Company Group</w:t>
      </w:r>
      <w:r>
        <w:rPr>
          <w:rFonts w:ascii="Arial" w:cs="Arial" w:eastAsia="Arial" w:hAnsi="Arial"/>
          <w:sz w:val="21"/>
          <w:szCs w:val="21"/>
          <w:color w:val="auto"/>
        </w:rPr>
        <w:t>”), and (ii) the covenants contained in this Agreement are essential to protect the business and goodwill of the Company Group.</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in consideration of the premises and the respective covenants and agreements of the parties herein contained, and intending to be legally bound hereby, the parties hereto agree as follows:</w:t>
      </w:r>
    </w:p>
    <w:p>
      <w:pPr>
        <w:spacing w:after="0" w:line="175" w:lineRule="exact"/>
        <w:rPr>
          <w:sz w:val="20"/>
          <w:szCs w:val="20"/>
          <w:color w:val="auto"/>
        </w:rPr>
      </w:pPr>
    </w:p>
    <w:p>
      <w:pPr>
        <w:jc w:val="both"/>
        <w:ind w:firstLine="656"/>
        <w:spacing w:after="0" w:line="289" w:lineRule="auto"/>
        <w:tabs>
          <w:tab w:leader="none" w:pos="1296"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Employment and Term</w:t>
      </w:r>
      <w:r>
        <w:rPr>
          <w:rFonts w:ascii="Arial" w:cs="Arial" w:eastAsia="Arial" w:hAnsi="Arial"/>
          <w:sz w:val="19"/>
          <w:szCs w:val="19"/>
          <w:color w:val="auto"/>
        </w:rPr>
        <w:t>. The Company hereby agrees to employ the Executive, and the Executive hereby accepts such employment, on the terms and conditions hereinafter set forth. Subject to earlier termination of the Executive’s employment pursuant to Section 6 hereof, the period of employment of the Executive by the Company hereunder (the “</w:t>
      </w:r>
      <w:r>
        <w:rPr>
          <w:rFonts w:ascii="Arial" w:cs="Arial" w:eastAsia="Arial" w:hAnsi="Arial"/>
          <w:sz w:val="19"/>
          <w:szCs w:val="19"/>
          <w:b w:val="1"/>
          <w:bCs w:val="1"/>
          <w:i w:val="1"/>
          <w:iCs w:val="1"/>
          <w:color w:val="auto"/>
        </w:rPr>
        <w:t>Employment Period</w:t>
      </w:r>
      <w:r>
        <w:rPr>
          <w:rFonts w:ascii="Arial" w:cs="Arial" w:eastAsia="Arial" w:hAnsi="Arial"/>
          <w:sz w:val="19"/>
          <w:szCs w:val="19"/>
          <w:color w:val="auto"/>
        </w:rPr>
        <w:t xml:space="preserve">”) shall commence on the Effective Date, and shall end on the first anniversary of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Employment Period shall be automatically extended for an additional year on each anniversary of the Effective Date </w:t>
      </w:r>
      <w:r>
        <w:rPr>
          <w:rFonts w:ascii="Arial" w:cs="Arial" w:eastAsia="Arial" w:hAnsi="Arial"/>
          <w:sz w:val="19"/>
          <w:szCs w:val="19"/>
          <w:u w:val="single" w:color="auto"/>
          <w:color w:val="auto"/>
        </w:rPr>
        <w:t>unless</w:t>
      </w:r>
      <w:r>
        <w:rPr>
          <w:rFonts w:ascii="Arial" w:cs="Arial" w:eastAsia="Arial" w:hAnsi="Arial"/>
          <w:sz w:val="19"/>
          <w:szCs w:val="19"/>
          <w:color w:val="auto"/>
        </w:rPr>
        <w:t xml:space="preserve"> written Notice of Termination (as defined in Section 7(a) hereof) is given, not later than thirty (30) days prior to the end of the Employment Period (including any extension of the Employment Period), by either the Company or the Executive to the other party that the Company or the Executive, as applicable, has elected not to extend the Employment Period for an additional year, such that, subject to the second and third provisos in Section 6(e), the Employment Period shall expire, and the Executive’s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1" w:right="3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employment with the Company shall terminate, effective as of the last day of the then-current Employment Period.</w:t>
      </w:r>
    </w:p>
    <w:p>
      <w:pPr>
        <w:spacing w:after="0" w:line="220"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Position and Duties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259" w:lineRule="auto"/>
        <w:tabs>
          <w:tab w:leader="none" w:pos="1293"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As of the Effective Date, Executive shall serve as Senior Vice President – Omnichannel for the Company, in which capacity the Executive shall perform the usual and customary duties of such office, which shall be those normally inherent in such capacity in companies of similar size and character as the Company Group. The Executive shall report to the President and Chief Executive Officer of the Company. The Executive shall, if requested, also serve as an officer or director of any member of the Company Group for no additional compensation. When reasonably requested by the President and Chief Executive Officer, the Executive shall also be required to perform the usual and customary duties of any executive with the title of Senior Vice President with companies of similar size and character as the Company Group, whether or not such duties are within the scope of the Executive’s duties on the Effective Date.</w:t>
      </w:r>
    </w:p>
    <w:p>
      <w:pPr>
        <w:spacing w:after="0" w:line="183" w:lineRule="exact"/>
        <w:rPr>
          <w:rFonts w:ascii="Arial" w:cs="Arial" w:eastAsia="Arial" w:hAnsi="Arial"/>
          <w:sz w:val="21"/>
          <w:szCs w:val="21"/>
          <w:color w:val="auto"/>
        </w:rPr>
      </w:pPr>
    </w:p>
    <w:p>
      <w:pPr>
        <w:jc w:val="both"/>
        <w:ind w:firstLine="656"/>
        <w:spacing w:after="0" w:line="288" w:lineRule="auto"/>
        <w:tabs>
          <w:tab w:leader="none" w:pos="129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During the Employment Period, the Executive agrees to devote substantially her full time, attention and energies to the Company Group’s business and agrees to faithfully and diligently endeavor to the best of her ability to further the best interests of the Company Group. The Executive shall not engage in any other business activity, whether or not such business activity is pursued for gain, profit or other pecuniary advantage. Subject to the covenants of Section 9 hereof, this shall not be construed as preventing the Executive from investing her own assets in such form or manner as will not require her services in the daily operations of the affairs of the companies in which such investments are made. Further, subject to the covenants of Section 9 hereof, the Executive may serve as a director of other companies, if such service is approved by the Parent’s Board of Managers or, if and when applicable, the equivalent ultimate governing authority of the Company Group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so long as such service is not detrimental to the Company Group, does not interfere with the Executive’s service to the Company Group, and does not present the Executive with a conflict of interest.</w:t>
      </w:r>
    </w:p>
    <w:p>
      <w:pPr>
        <w:spacing w:after="0" w:line="159" w:lineRule="exact"/>
        <w:rPr>
          <w:rFonts w:ascii="Arial" w:cs="Arial" w:eastAsia="Arial" w:hAnsi="Arial"/>
          <w:sz w:val="19"/>
          <w:szCs w:val="19"/>
          <w:color w:val="auto"/>
        </w:rPr>
      </w:pPr>
    </w:p>
    <w:p>
      <w:pPr>
        <w:jc w:val="both"/>
        <w:ind w:firstLine="656"/>
        <w:spacing w:after="0" w:line="247" w:lineRule="auto"/>
        <w:tabs>
          <w:tab w:leader="none" w:pos="1293"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Executive agrees and acknowledges that, in connection with the Executive’s employment relationship with the Company, the Executive owes fiduciary duties to the Company Group and will act accordingly. In keeping with the Executive’s fiduciary duties to the Company Group, the Executive agrees that she shall not, directly or indirectly, become involved in any conflict of interest, or upon discovery thereof, allow such a conflict to continue. Moreover, the Executive agrees that she shall promptly disclose to the Board any facts which might involve any reasonable possibility of a conflict of interest, or be perceived as such.</w:t>
      </w:r>
    </w:p>
    <w:p>
      <w:pPr>
        <w:spacing w:after="0" w:line="192" w:lineRule="exact"/>
        <w:rPr>
          <w:rFonts w:ascii="Arial" w:cs="Arial" w:eastAsia="Arial" w:hAnsi="Arial"/>
          <w:sz w:val="22"/>
          <w:szCs w:val="22"/>
          <w:color w:val="auto"/>
        </w:rPr>
      </w:pPr>
    </w:p>
    <w:p>
      <w:pPr>
        <w:jc w:val="both"/>
        <w:ind w:firstLine="656"/>
        <w:spacing w:after="0" w:line="247" w:lineRule="auto"/>
        <w:tabs>
          <w:tab w:leader="none" w:pos="129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Circumstances in which a conflict of interest on the part of the Executive would or might arise, and which should be reported immediately by the Executive to the Board, include, but are not limited to, the following: (i) ownership of a material interest in, acting in any capacity for, or accepting directly or indirectly any payments, services or loans from a supplier, contractor, subcontractor, customer or other entity with which the Company Group does business; (ii) misuse of information or facilities to which the Executive has access in a manner which will be detrimental to the Company Group’s interest; (iii) disclosure or other misuse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7" w:right="339" w:bottom="1440" w:gutter="0" w:footer="0" w:header="0"/>
        </w:sectPr>
      </w:pPr>
    </w:p>
    <w:bookmarkStart w:id="145" w:name="page146"/>
    <w:bookmarkEnd w:id="145"/>
    <w:p>
      <w:pPr>
        <w:jc w:val="both"/>
        <w:spacing w:after="0" w:line="259" w:lineRule="auto"/>
        <w:rPr>
          <w:sz w:val="20"/>
          <w:szCs w:val="20"/>
          <w:color w:val="auto"/>
        </w:rPr>
      </w:pPr>
      <w:r>
        <w:rPr>
          <w:rFonts w:ascii="Arial" w:cs="Arial" w:eastAsia="Arial" w:hAnsi="Arial"/>
          <w:sz w:val="21"/>
          <w:szCs w:val="21"/>
          <w:color w:val="auto"/>
        </w:rPr>
        <w:t>Confidential Information (as defined in Section 9(a) hereof); (iv) acquiring or trading in, directly or indirectly, other properties or interests connected with the design, manufacture or marketing of products or services designed, manufactured or marketed by the Company Group; (v) the appropriation to the Executive or the diversion to others, directly or indirectly, of any opportunity in which it is known or could reasonably be anticipated that the Company Group would be interested; and (vi) the ownership, directly or indirectly, of a material interest in an enterprise in competition with the Company Group or acting as a director, officer, partner, consultant, employee or agent of any enterprise which is in competition with the Company Group; and (vii) if not otherwise listed in this provision, any other circumstances that would create a conflict of interest under the Company’s Ethics and Code of Conduct Policy and any successors thereto.</w:t>
      </w:r>
    </w:p>
    <w:p>
      <w:pPr>
        <w:spacing w:after="0" w:line="183"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Further, the Executive covenants, warrants and represents that she shall:</w:t>
      </w:r>
    </w:p>
    <w:p>
      <w:pPr>
        <w:spacing w:after="0" w:line="220"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(i)devote her full and best efforts to the fulfillment of her employment obligations hereunder;</w:t>
      </w:r>
    </w:p>
    <w:p>
      <w:pPr>
        <w:spacing w:after="0" w:line="220" w:lineRule="exact"/>
        <w:rPr>
          <w:sz w:val="20"/>
          <w:szCs w:val="20"/>
          <w:color w:val="auto"/>
        </w:rPr>
      </w:pPr>
    </w:p>
    <w:p>
      <w:pPr>
        <w:ind w:left="660" w:right="20" w:firstLine="384"/>
        <w:spacing w:after="0" w:line="263" w:lineRule="auto"/>
        <w:rPr>
          <w:sz w:val="20"/>
          <w:szCs w:val="20"/>
          <w:color w:val="auto"/>
        </w:rPr>
      </w:pPr>
      <w:r>
        <w:rPr>
          <w:rFonts w:ascii="Arial" w:cs="Arial" w:eastAsia="Arial" w:hAnsi="Arial"/>
          <w:sz w:val="22"/>
          <w:szCs w:val="22"/>
          <w:color w:val="auto"/>
        </w:rPr>
        <w:t>(ii)exercise the highest degree of fiduciary loyalty and care and the highest standards of conduct in the performance of her duties hereunder; and</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(iii)endeavor to prevent any harm, in any way, to the business or reputation of the Company Group.</w:t>
      </w:r>
    </w:p>
    <w:p>
      <w:pPr>
        <w:spacing w:after="0" w:line="220" w:lineRule="exact"/>
        <w:rPr>
          <w:sz w:val="20"/>
          <w:szCs w:val="20"/>
          <w:color w:val="auto"/>
        </w:rPr>
      </w:pPr>
    </w:p>
    <w:p>
      <w:pPr>
        <w:jc w:val="both"/>
        <w:ind w:firstLine="656"/>
        <w:spacing w:after="0" w:line="294" w:lineRule="auto"/>
        <w:tabs>
          <w:tab w:leader="none" w:pos="129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For purposes of this Section 2, the determination of whether any matter or transaction constitutes a conflict of interest hereunder shall be made solely by the Board in its reasonable, good faith discretion; provided that any matter or transaction that is permitted by or otherwise in compliance with the terms and conditions of all applicable ethics, conflict of interest or similar written policies of the Company Group in effect at the time of such determination shall not be a conflict of interest hereunder. The determination of whether any matter or transaction is permitted by or otherwise in compliance with the terms and conditions of such policies shall be made solely by the Board in its reasonable, good faith discretion.</w:t>
      </w:r>
    </w:p>
    <w:p>
      <w:pPr>
        <w:spacing w:after="0" w:line="149" w:lineRule="exact"/>
        <w:rPr>
          <w:sz w:val="20"/>
          <w:szCs w:val="20"/>
          <w:color w:val="auto"/>
        </w:rPr>
      </w:pPr>
    </w:p>
    <w:p>
      <w:pPr>
        <w:jc w:val="both"/>
        <w:ind w:firstLine="656"/>
        <w:spacing w:after="0" w:line="302" w:lineRule="auto"/>
        <w:tabs>
          <w:tab w:leader="none" w:pos="1296"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Place of Performance</w:t>
      </w:r>
      <w:r>
        <w:rPr>
          <w:rFonts w:ascii="Arial" w:cs="Arial" w:eastAsia="Arial" w:hAnsi="Arial"/>
          <w:sz w:val="19"/>
          <w:szCs w:val="19"/>
          <w:color w:val="auto"/>
        </w:rPr>
        <w:t>. In connection with the Executive’s employment by the Company, the Executive’s principal business address shall be at the Company’s current principal executive offices in Katy, Texas (the “</w:t>
      </w:r>
      <w:r>
        <w:rPr>
          <w:rFonts w:ascii="Arial" w:cs="Arial" w:eastAsia="Arial" w:hAnsi="Arial"/>
          <w:sz w:val="19"/>
          <w:szCs w:val="19"/>
          <w:b w:val="1"/>
          <w:bCs w:val="1"/>
          <w:i w:val="1"/>
          <w:iCs w:val="1"/>
          <w:color w:val="auto"/>
        </w:rPr>
        <w:t>Principal Place of</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Employment</w:t>
      </w:r>
      <w:r>
        <w:rPr>
          <w:rFonts w:ascii="Arial" w:cs="Arial" w:eastAsia="Arial" w:hAnsi="Arial"/>
          <w:sz w:val="19"/>
          <w:szCs w:val="19"/>
          <w:color w:val="auto"/>
        </w:rPr>
        <w:t>”). The Executive acknowledges that the Executive’s duties and responsibilities shall require the Executive to travel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business to the extent reasonably necessary to fully perform the Executive's duties and responsibilities hereunder.</w:t>
      </w:r>
    </w:p>
    <w:p>
      <w:pPr>
        <w:spacing w:after="0" w:line="169" w:lineRule="exact"/>
        <w:rPr>
          <w:rFonts w:ascii="Arial" w:cs="Arial" w:eastAsia="Arial" w:hAnsi="Arial"/>
          <w:sz w:val="19"/>
          <w:szCs w:val="19"/>
          <w:color w:val="auto"/>
        </w:rPr>
      </w:pPr>
    </w:p>
    <w:p>
      <w:pPr>
        <w:ind w:left="1300" w:hanging="644"/>
        <w:spacing w:after="0"/>
        <w:tabs>
          <w:tab w:leader="none" w:pos="130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20" w:lineRule="exact"/>
        <w:rPr>
          <w:sz w:val="20"/>
          <w:szCs w:val="20"/>
          <w:color w:val="auto"/>
        </w:rPr>
      </w:pPr>
    </w:p>
    <w:p>
      <w:pPr>
        <w:jc w:val="both"/>
        <w:ind w:firstLine="656"/>
        <w:spacing w:after="0" w:line="302" w:lineRule="auto"/>
        <w:tabs>
          <w:tab w:leader="none" w:pos="1293" w:val="left"/>
        </w:tabs>
        <w:numPr>
          <w:ilvl w:val="0"/>
          <w:numId w:val="104"/>
        </w:numPr>
        <w:rPr>
          <w:rFonts w:ascii="Arial" w:cs="Arial" w:eastAsia="Arial" w:hAnsi="Arial"/>
          <w:sz w:val="19"/>
          <w:szCs w:val="19"/>
          <w:color w:val="auto"/>
        </w:rPr>
      </w:pPr>
      <w:r>
        <w:rPr>
          <w:rFonts w:ascii="Arial" w:cs="Arial" w:eastAsia="Arial" w:hAnsi="Arial"/>
          <w:sz w:val="19"/>
          <w:szCs w:val="19"/>
          <w:i w:val="1"/>
          <w:iCs w:val="1"/>
          <w:color w:val="auto"/>
        </w:rPr>
        <w:t xml:space="preserve">Base Salary. </w:t>
      </w:r>
      <w:r>
        <w:rPr>
          <w:rFonts w:ascii="Arial" w:cs="Arial" w:eastAsia="Arial" w:hAnsi="Arial"/>
          <w:sz w:val="19"/>
          <w:szCs w:val="19"/>
          <w:color w:val="auto"/>
        </w:rPr>
        <w:t>During the Employment Period, the Company shall pay, or cause Academy to pay, the Executive an</w:t>
      </w:r>
      <w:r>
        <w:rPr>
          <w:rFonts w:ascii="Arial" w:cs="Arial" w:eastAsia="Arial" w:hAnsi="Arial"/>
          <w:sz w:val="19"/>
          <w:szCs w:val="19"/>
          <w:i w:val="1"/>
          <w:iCs w:val="1"/>
          <w:color w:val="auto"/>
        </w:rPr>
        <w:t xml:space="preserve"> </w:t>
      </w:r>
      <w:r>
        <w:rPr>
          <w:rFonts w:ascii="Arial" w:cs="Arial" w:eastAsia="Arial" w:hAnsi="Arial"/>
          <w:sz w:val="19"/>
          <w:szCs w:val="19"/>
          <w:color w:val="auto"/>
        </w:rPr>
        <w:t>annual base salary (“</w:t>
      </w:r>
      <w:r>
        <w:rPr>
          <w:rFonts w:ascii="Arial" w:cs="Arial" w:eastAsia="Arial" w:hAnsi="Arial"/>
          <w:sz w:val="19"/>
          <w:szCs w:val="19"/>
          <w:b w:val="1"/>
          <w:bCs w:val="1"/>
          <w:i w:val="1"/>
          <w:iCs w:val="1"/>
          <w:color w:val="auto"/>
        </w:rPr>
        <w:t>Base Salary</w:t>
      </w:r>
      <w:r>
        <w:rPr>
          <w:rFonts w:ascii="Arial" w:cs="Arial" w:eastAsia="Arial" w:hAnsi="Arial"/>
          <w:sz w:val="19"/>
          <w:szCs w:val="19"/>
          <w:color w:val="auto"/>
        </w:rPr>
        <w:t>”) in an amount that shall be established from time to time by the Board or a compensation committee thereof, payable in approximately equal installments in accordance with the Company Group’s customary payroll practices. The Base Salary for fiscal year 2018 shall be $325,000.00 (prorated for 2018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7" w:right="339" w:bottom="1440" w:gutter="0" w:footer="0" w:header="0"/>
        </w:sectPr>
      </w:pPr>
    </w:p>
    <w:bookmarkStart w:id="146" w:name="page147"/>
    <w:bookmarkEnd w:id="146"/>
    <w:p>
      <w:pPr>
        <w:jc w:val="both"/>
        <w:spacing w:after="0" w:line="312" w:lineRule="auto"/>
        <w:rPr>
          <w:sz w:val="20"/>
          <w:szCs w:val="20"/>
          <w:color w:val="auto"/>
        </w:rPr>
      </w:pPr>
      <w:r>
        <w:rPr>
          <w:rFonts w:ascii="Arial" w:cs="Arial" w:eastAsia="Arial" w:hAnsi="Arial"/>
          <w:sz w:val="19"/>
          <w:szCs w:val="19"/>
          <w:color w:val="auto"/>
        </w:rPr>
        <w:t>date Executive actually began working for the Company in 2018). The Board or a compensation committee thereof shall review the Executive’s Base Salary at least once annually during the Employment Period. The Executive’s Base Salary may, at the discretion of the Board or a compensation committee thereof, be increased but not decreased during the Employment Period.</w:t>
      </w:r>
    </w:p>
    <w:p>
      <w:pPr>
        <w:spacing w:after="0" w:line="133" w:lineRule="exact"/>
        <w:rPr>
          <w:sz w:val="20"/>
          <w:szCs w:val="20"/>
          <w:color w:val="auto"/>
        </w:rPr>
      </w:pPr>
    </w:p>
    <w:p>
      <w:pPr>
        <w:jc w:val="both"/>
        <w:ind w:firstLine="656"/>
        <w:spacing w:after="0" w:line="257" w:lineRule="auto"/>
        <w:tabs>
          <w:tab w:leader="none" w:pos="1291" w:val="left"/>
        </w:tabs>
        <w:numPr>
          <w:ilvl w:val="0"/>
          <w:numId w:val="105"/>
        </w:numPr>
        <w:rPr>
          <w:rFonts w:ascii="Arial" w:cs="Arial" w:eastAsia="Arial" w:hAnsi="Arial"/>
          <w:sz w:val="21"/>
          <w:szCs w:val="21"/>
          <w:color w:val="auto"/>
        </w:rPr>
      </w:pPr>
      <w:r>
        <w:rPr>
          <w:rFonts w:ascii="Arial" w:cs="Arial" w:eastAsia="Arial" w:hAnsi="Arial"/>
          <w:sz w:val="21"/>
          <w:szCs w:val="21"/>
          <w:i w:val="1"/>
          <w:iCs w:val="1"/>
          <w:color w:val="auto"/>
        </w:rPr>
        <w:t xml:space="preserve">Bonuses. </w:t>
      </w:r>
      <w:r>
        <w:rPr>
          <w:rFonts w:ascii="Arial" w:cs="Arial" w:eastAsia="Arial" w:hAnsi="Arial"/>
          <w:sz w:val="21"/>
          <w:szCs w:val="21"/>
          <w:color w:val="auto"/>
        </w:rPr>
        <w:t>During the Employment Period, the Executive shall be eligible to participate in an annual cash bonus</w:t>
      </w:r>
      <w:r>
        <w:rPr>
          <w:rFonts w:ascii="Arial" w:cs="Arial" w:eastAsia="Arial" w:hAnsi="Arial"/>
          <w:sz w:val="21"/>
          <w:szCs w:val="21"/>
          <w:i w:val="1"/>
          <w:iCs w:val="1"/>
          <w:color w:val="auto"/>
        </w:rPr>
        <w:t xml:space="preserve"> </w:t>
      </w:r>
      <w:r>
        <w:rPr>
          <w:rFonts w:ascii="Arial" w:cs="Arial" w:eastAsia="Arial" w:hAnsi="Arial"/>
          <w:sz w:val="21"/>
          <w:szCs w:val="21"/>
          <w:color w:val="auto"/>
        </w:rPr>
        <w:t>plan maintained by the Company Group (the “</w:t>
      </w:r>
      <w:r>
        <w:rPr>
          <w:rFonts w:ascii="Arial" w:cs="Arial" w:eastAsia="Arial" w:hAnsi="Arial"/>
          <w:sz w:val="21"/>
          <w:szCs w:val="21"/>
          <w:b w:val="1"/>
          <w:bCs w:val="1"/>
          <w:i w:val="1"/>
          <w:iCs w:val="1"/>
          <w:color w:val="auto"/>
        </w:rPr>
        <w:t>Annual Incentive Plan</w:t>
      </w:r>
      <w:r>
        <w:rPr>
          <w:rFonts w:ascii="Arial" w:cs="Arial" w:eastAsia="Arial" w:hAnsi="Arial"/>
          <w:sz w:val="21"/>
          <w:szCs w:val="21"/>
          <w:color w:val="auto"/>
        </w:rPr>
        <w:t>”)</w:t>
      </w:r>
      <w:r>
        <w:rPr>
          <w:rFonts w:ascii="Arial" w:cs="Arial" w:eastAsia="Arial" w:hAnsi="Arial"/>
          <w:sz w:val="21"/>
          <w:szCs w:val="21"/>
          <w:i w:val="1"/>
          <w:iCs w:val="1"/>
          <w:color w:val="auto"/>
        </w:rPr>
        <w:t>.</w:t>
      </w:r>
      <w:r>
        <w:rPr>
          <w:rFonts w:ascii="Arial" w:cs="Arial" w:eastAsia="Arial" w:hAnsi="Arial"/>
          <w:sz w:val="21"/>
          <w:szCs w:val="21"/>
          <w:color w:val="auto"/>
        </w:rPr>
        <w:t xml:space="preserve"> Except as expressly provided otherwise in this Section 4(b), the annual bonus opportunity afforded the Executive pursuant to this Section 4(b) (the “</w:t>
      </w:r>
      <w:r>
        <w:rPr>
          <w:rFonts w:ascii="Arial" w:cs="Arial" w:eastAsia="Arial" w:hAnsi="Arial"/>
          <w:sz w:val="21"/>
          <w:szCs w:val="21"/>
          <w:b w:val="1"/>
          <w:bCs w:val="1"/>
          <w:i w:val="1"/>
          <w:iCs w:val="1"/>
          <w:color w:val="auto"/>
        </w:rPr>
        <w:t>Annual Bonus</w:t>
      </w:r>
      <w:r>
        <w:rPr>
          <w:rFonts w:ascii="Arial" w:cs="Arial" w:eastAsia="Arial" w:hAnsi="Arial"/>
          <w:sz w:val="21"/>
          <w:szCs w:val="21"/>
          <w:color w:val="auto"/>
        </w:rPr>
        <w:t>”) may vary from year to year and any Annual Bonus earned thereunder shall be paid at a time and in a manner consistent with the Company’s or Academy’s, as applicable, customary practices. During the Employment Period, the Annual Bonus for each fiscal year will be determined in accordance with the Annual Incentive Plan established for such fiscal year, which will afford the Executive an opportunity to earn an annual bonus amount targeted at seventy-five percent (75%) of the Base Salary in effect for such fiscal year (the “</w:t>
      </w:r>
      <w:r>
        <w:rPr>
          <w:rFonts w:ascii="Arial" w:cs="Arial" w:eastAsia="Arial" w:hAnsi="Arial"/>
          <w:sz w:val="21"/>
          <w:szCs w:val="21"/>
          <w:b w:val="1"/>
          <w:bCs w:val="1"/>
          <w:i w:val="1"/>
          <w:iCs w:val="1"/>
          <w:color w:val="auto"/>
        </w:rPr>
        <w:t>Target Bonus Opportunity</w:t>
      </w:r>
      <w:r>
        <w:rPr>
          <w:rFonts w:ascii="Arial" w:cs="Arial" w:eastAsia="Arial" w:hAnsi="Arial"/>
          <w:sz w:val="21"/>
          <w:szCs w:val="21"/>
          <w:color w:val="auto"/>
        </w:rPr>
        <w:t>”), with the actual Annual Bonus payable, if any, being determined based on the achievement of such pre-established performance targets for such fiscal year, with any Annual Bonus earned thereunder to be paid in the immediately following fiscal year in accordance with the Annual Incentive Plan. The establishment of performance targets and the determination of the achievement of those targets will in all cases be subject to the determination of the Board or a compensation committee thereof. The Annual Bonus is not an accrued right under this Agreement. Except as specifically provided in Section 8 hereof, the Executive shall not be entitled to a pro rata Annual Bonus upon a termination of employment for any reason.</w:t>
      </w:r>
    </w:p>
    <w:p>
      <w:pPr>
        <w:spacing w:after="0" w:line="186" w:lineRule="exact"/>
        <w:rPr>
          <w:rFonts w:ascii="Arial" w:cs="Arial" w:eastAsia="Arial" w:hAnsi="Arial"/>
          <w:sz w:val="21"/>
          <w:szCs w:val="21"/>
          <w:color w:val="auto"/>
        </w:rPr>
      </w:pPr>
    </w:p>
    <w:p>
      <w:pPr>
        <w:jc w:val="both"/>
        <w:ind w:firstLine="656"/>
        <w:spacing w:after="0" w:line="297" w:lineRule="auto"/>
        <w:tabs>
          <w:tab w:leader="none" w:pos="1293" w:val="left"/>
        </w:tabs>
        <w:numPr>
          <w:ilvl w:val="0"/>
          <w:numId w:val="105"/>
        </w:numPr>
        <w:rPr>
          <w:rFonts w:ascii="Arial" w:cs="Arial" w:eastAsia="Arial" w:hAnsi="Arial"/>
          <w:sz w:val="19"/>
          <w:szCs w:val="19"/>
          <w:color w:val="auto"/>
        </w:rPr>
      </w:pPr>
      <w:r>
        <w:rPr>
          <w:rFonts w:ascii="Arial" w:cs="Arial" w:eastAsia="Arial" w:hAnsi="Arial"/>
          <w:sz w:val="19"/>
          <w:szCs w:val="19"/>
          <w:i w:val="1"/>
          <w:iCs w:val="1"/>
          <w:color w:val="auto"/>
        </w:rPr>
        <w:t xml:space="preserve">Expenses. </w:t>
      </w:r>
      <w:r>
        <w:rPr>
          <w:rFonts w:ascii="Arial" w:cs="Arial" w:eastAsia="Arial" w:hAnsi="Arial"/>
          <w:sz w:val="19"/>
          <w:szCs w:val="19"/>
          <w:color w:val="auto"/>
        </w:rPr>
        <w:t>The Company shall (or shall cause Academy to) reimburse the Executive for all reasonable business</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incurred during the Employment Period by the Executive in performing services hereunder in accordance with the Company’s or Academy’s, as applicable, expense reimbursement policy, including all travel expenses while away from home on business or at the request of and in the service of the Company; provided, in each case, that such expenses are incurred and accounted for in accordance with the Company’s expense reimbursement policy.</w:t>
      </w:r>
    </w:p>
    <w:p>
      <w:pPr>
        <w:spacing w:after="0" w:line="146" w:lineRule="exact"/>
        <w:rPr>
          <w:rFonts w:ascii="Arial" w:cs="Arial" w:eastAsia="Arial" w:hAnsi="Arial"/>
          <w:sz w:val="19"/>
          <w:szCs w:val="19"/>
          <w:color w:val="auto"/>
        </w:rPr>
      </w:pPr>
    </w:p>
    <w:p>
      <w:pPr>
        <w:jc w:val="both"/>
        <w:ind w:firstLine="656"/>
        <w:spacing w:after="0" w:line="247" w:lineRule="auto"/>
        <w:tabs>
          <w:tab w:leader="none" w:pos="1291"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 xml:space="preserve">Other Benefits. </w:t>
      </w:r>
      <w:r>
        <w:rPr>
          <w:rFonts w:ascii="Arial" w:cs="Arial" w:eastAsia="Arial" w:hAnsi="Arial"/>
          <w:sz w:val="22"/>
          <w:szCs w:val="22"/>
          <w:color w:val="auto"/>
        </w:rPr>
        <w:t>During the Employment Period, the Executive shall be entitled to participate in all of the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benefit plans and programs and fringe benefits and perquisites arrangements made available by the Company to its other senior executive officers, subject to and on a basis consistent with the terms, conditions and overall administration of such plans, programs and arrangements. The Company shall have the right to change, amend or discontinue any benefit plan, program, or arrangement, subject to and on a basis consistent with the terms, conditions and overall administration of such plans, programs and arrangements.</w:t>
      </w:r>
    </w:p>
    <w:p>
      <w:pPr>
        <w:spacing w:after="0" w:line="192" w:lineRule="exact"/>
        <w:rPr>
          <w:rFonts w:ascii="Arial" w:cs="Arial" w:eastAsia="Arial" w:hAnsi="Arial"/>
          <w:sz w:val="22"/>
          <w:szCs w:val="22"/>
          <w:color w:val="auto"/>
        </w:rPr>
      </w:pPr>
    </w:p>
    <w:p>
      <w:pPr>
        <w:jc w:val="both"/>
        <w:ind w:firstLine="656"/>
        <w:spacing w:after="0" w:line="250" w:lineRule="auto"/>
        <w:tabs>
          <w:tab w:leader="none" w:pos="1293"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 xml:space="preserve">Vacation. </w:t>
      </w:r>
      <w:r>
        <w:rPr>
          <w:rFonts w:ascii="Arial" w:cs="Arial" w:eastAsia="Arial" w:hAnsi="Arial"/>
          <w:sz w:val="22"/>
          <w:szCs w:val="22"/>
          <w:color w:val="auto"/>
        </w:rPr>
        <w:t>During the Employment Period, the Executive shall be entitled to paid vacations and holidays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the Company’s vacation and holiday policies in effect from time to time for the Company’s senior executive officers, but in no event shall the Executive be entitled to less than two hundred (200) paid hours of vacation during each fiscal year (prorated for 2018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7" w:right="339" w:bottom="1440" w:gutter="0" w:footer="0" w:header="0"/>
        </w:sectPr>
      </w:pPr>
    </w:p>
    <w:bookmarkStart w:id="147" w:name="page148"/>
    <w:bookmarkEnd w:id="147"/>
    <w:p>
      <w:pPr>
        <w:jc w:val="both"/>
        <w:ind w:firstLine="656"/>
        <w:spacing w:after="0" w:line="297" w:lineRule="auto"/>
        <w:tabs>
          <w:tab w:leader="none" w:pos="1296" w:val="left"/>
        </w:tabs>
        <w:numPr>
          <w:ilvl w:val="0"/>
          <w:numId w:val="106"/>
        </w:numPr>
        <w:rPr>
          <w:rFonts w:ascii="Arial" w:cs="Arial" w:eastAsia="Arial" w:hAnsi="Arial"/>
          <w:sz w:val="19"/>
          <w:szCs w:val="19"/>
          <w:color w:val="auto"/>
        </w:rPr>
      </w:pPr>
      <w:r>
        <w:rPr>
          <w:rFonts w:ascii="Arial" w:cs="Arial" w:eastAsia="Arial" w:hAnsi="Arial"/>
          <w:sz w:val="19"/>
          <w:szCs w:val="19"/>
          <w:i w:val="1"/>
          <w:iCs w:val="1"/>
          <w:color w:val="auto"/>
        </w:rPr>
        <w:t xml:space="preserve">Investment Opportunity. </w:t>
      </w:r>
      <w:r>
        <w:rPr>
          <w:rFonts w:ascii="Arial" w:cs="Arial" w:eastAsia="Arial" w:hAnsi="Arial"/>
          <w:sz w:val="19"/>
          <w:szCs w:val="19"/>
          <w:color w:val="auto"/>
        </w:rPr>
        <w:t>At a time determined by the Board (and subject to the Executive’s continued employment</w:t>
      </w:r>
      <w:r>
        <w:rPr>
          <w:rFonts w:ascii="Arial" w:cs="Arial" w:eastAsia="Arial" w:hAnsi="Arial"/>
          <w:sz w:val="19"/>
          <w:szCs w:val="19"/>
          <w:i w:val="1"/>
          <w:iCs w:val="1"/>
          <w:color w:val="auto"/>
        </w:rPr>
        <w:t xml:space="preserve"> </w:t>
      </w:r>
      <w:r>
        <w:rPr>
          <w:rFonts w:ascii="Arial" w:cs="Arial" w:eastAsia="Arial" w:hAnsi="Arial"/>
          <w:sz w:val="19"/>
          <w:szCs w:val="19"/>
          <w:color w:val="auto"/>
        </w:rPr>
        <w:t>at such time), the Executive will be permitted to indirectly invest in the equity of the Parent, through the purchase of Class B Units of Allstar Managers LLC, a Delaware limited liability company (“</w:t>
      </w:r>
      <w:r>
        <w:rPr>
          <w:rFonts w:ascii="Arial" w:cs="Arial" w:eastAsia="Arial" w:hAnsi="Arial"/>
          <w:sz w:val="19"/>
          <w:szCs w:val="19"/>
          <w:b w:val="1"/>
          <w:bCs w:val="1"/>
          <w:i w:val="1"/>
          <w:iCs w:val="1"/>
          <w:color w:val="auto"/>
        </w:rPr>
        <w:t>Allstar Managers</w:t>
      </w:r>
      <w:r>
        <w:rPr>
          <w:rFonts w:ascii="Arial" w:cs="Arial" w:eastAsia="Arial" w:hAnsi="Arial"/>
          <w:sz w:val="19"/>
          <w:szCs w:val="19"/>
          <w:color w:val="auto"/>
        </w:rPr>
        <w:t>”) and member of the Parent, in an amount having an aggregate value to be determined by the Board and the Executive, based on a purchase price per unit equal to the then-current fair market value per Class B Unit of Allstar Managers, as determined by the Board.</w:t>
      </w:r>
    </w:p>
    <w:p>
      <w:pPr>
        <w:spacing w:after="0" w:line="147" w:lineRule="exact"/>
        <w:rPr>
          <w:sz w:val="20"/>
          <w:szCs w:val="20"/>
          <w:color w:val="auto"/>
        </w:rPr>
      </w:pPr>
    </w:p>
    <w:p>
      <w:pPr>
        <w:jc w:val="both"/>
        <w:ind w:firstLine="656"/>
        <w:spacing w:after="0" w:line="289" w:lineRule="auto"/>
        <w:tabs>
          <w:tab w:leader="none" w:pos="1296"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Indemnification; Insurance</w:t>
      </w:r>
      <w:r>
        <w:rPr>
          <w:rFonts w:ascii="Arial" w:cs="Arial" w:eastAsia="Arial" w:hAnsi="Arial"/>
          <w:sz w:val="19"/>
          <w:szCs w:val="19"/>
          <w:color w:val="auto"/>
        </w:rPr>
        <w:t>. The Company shall indemnify, defend and hold harmless the Executive to the fullest extent permitted by the laws of the Company’s state of organization in effect at that time, or regulations of the Company, whichever affords the greater protection to the Executive, for all losses, liabilities, payments or expenses incurred or damages paid or payable by the Executive for bona fide claims against the Executive or the Company Group (including settlement amounts), where such claims are based upon the actions or failures to act by the Executive in the Executive’s capacity as a service provider to the Company Group. The Executive will be entitled to coverage under any insurance policies the Company Group may elect to maintain generally for the benefit of its officers, directors and managers against all costs, charges and expenses incurred in connection with any action, suit or proceeding to which the Executive may be made a party by reason of being an officer, director or manager of any member of the Company Group.</w:t>
      </w:r>
    </w:p>
    <w:p>
      <w:pPr>
        <w:spacing w:after="0" w:line="156"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Employment Period shall end and this Agreement shall terminate in the event of a termination of the Executive’s employment in accordance with any of the provisions of this Section 6 and Section 7, as applicable, on the Date of Termination.</w:t>
      </w:r>
    </w:p>
    <w:p>
      <w:pPr>
        <w:spacing w:after="0" w:line="185"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 xml:space="preserve">Death. </w:t>
      </w:r>
      <w:r>
        <w:rPr>
          <w:rFonts w:ascii="Arial" w:cs="Arial" w:eastAsia="Arial" w:hAnsi="Arial"/>
          <w:sz w:val="22"/>
          <w:szCs w:val="22"/>
          <w:color w:val="auto"/>
        </w:rPr>
        <w:t>The Executive’s employment hereunder and this Agreement shall terminate upon her death.</w:t>
      </w:r>
    </w:p>
    <w:p>
      <w:pPr>
        <w:spacing w:after="0" w:line="219" w:lineRule="exact"/>
        <w:rPr>
          <w:rFonts w:ascii="Arial" w:cs="Arial" w:eastAsia="Arial" w:hAnsi="Arial"/>
          <w:sz w:val="22"/>
          <w:szCs w:val="22"/>
          <w:color w:val="auto"/>
        </w:rPr>
      </w:pPr>
    </w:p>
    <w:p>
      <w:pPr>
        <w:jc w:val="both"/>
        <w:ind w:firstLine="656"/>
        <w:spacing w:after="0" w:line="287" w:lineRule="auto"/>
        <w:tabs>
          <w:tab w:leader="none" w:pos="1291" w:val="left"/>
        </w:tabs>
        <w:numPr>
          <w:ilvl w:val="0"/>
          <w:numId w:val="108"/>
        </w:numPr>
        <w:rPr>
          <w:rFonts w:ascii="Arial" w:cs="Arial" w:eastAsia="Arial" w:hAnsi="Arial"/>
          <w:sz w:val="19"/>
          <w:szCs w:val="19"/>
          <w:color w:val="auto"/>
        </w:rPr>
      </w:pPr>
      <w:r>
        <w:rPr>
          <w:rFonts w:ascii="Arial" w:cs="Arial" w:eastAsia="Arial" w:hAnsi="Arial"/>
          <w:sz w:val="19"/>
          <w:szCs w:val="19"/>
          <w:i w:val="1"/>
          <w:iCs w:val="1"/>
          <w:color w:val="auto"/>
        </w:rPr>
        <w:t>Disability</w:t>
      </w:r>
      <w:r>
        <w:rPr>
          <w:rFonts w:ascii="Arial" w:cs="Arial" w:eastAsia="Arial" w:hAnsi="Arial"/>
          <w:sz w:val="19"/>
          <w:szCs w:val="19"/>
          <w:color w:val="auto"/>
        </w:rPr>
        <w:t>. The Company may terminate the Executive’s employment and this Agreement as a result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Executive’s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as that term is defined below, provided that the Company allows the Executive thirty (30) days following Notice of Termination (as defined in Section 7(a) hereof) to return to the performance of the essential functions of her position, with or without reasonable accommodation. For purposes of this Agreement,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xml:space="preserve"> means a physical or mental illness, incapacity or disability which has prevented the Executive from substantially performing Executive’s material duties for a period of one hundred eighty (180) consecutive days. During any such period that, as a result of such illness, incapacity or disability, the Executive fails to perform the essential function of her position, with or without reasonable accommodation (“</w:t>
      </w:r>
      <w:r>
        <w:rPr>
          <w:rFonts w:ascii="Arial" w:cs="Arial" w:eastAsia="Arial" w:hAnsi="Arial"/>
          <w:sz w:val="19"/>
          <w:szCs w:val="19"/>
          <w:b w:val="1"/>
          <w:bCs w:val="1"/>
          <w:i w:val="1"/>
          <w:iCs w:val="1"/>
          <w:color w:val="auto"/>
        </w:rPr>
        <w:t>Disability Period</w:t>
      </w:r>
      <w:r>
        <w:rPr>
          <w:rFonts w:ascii="Arial" w:cs="Arial" w:eastAsia="Arial" w:hAnsi="Arial"/>
          <w:sz w:val="19"/>
          <w:szCs w:val="19"/>
          <w:color w:val="auto"/>
        </w:rPr>
        <w:t>”), the Executive shall continue to receive her Base Salary at the rate in effect at the beginning of such period as well as all other payments and benefits set forth in Section 4 hereof, reduced, to the extent permitted by Section 409A (as define in Section 10 below), by any payments made to the Executive during the Disability Period under the disability benefit plans of the Company then in effect or under the Social Security disability insurance program.</w:t>
      </w:r>
    </w:p>
    <w:p>
      <w:pPr>
        <w:spacing w:after="0" w:line="163" w:lineRule="exact"/>
        <w:rPr>
          <w:rFonts w:ascii="Arial" w:cs="Arial" w:eastAsia="Arial" w:hAnsi="Arial"/>
          <w:sz w:val="19"/>
          <w:szCs w:val="19"/>
          <w:color w:val="auto"/>
        </w:rPr>
      </w:pPr>
    </w:p>
    <w:p>
      <w:pPr>
        <w:ind w:right="20" w:firstLine="656"/>
        <w:spacing w:after="0" w:line="263" w:lineRule="auto"/>
        <w:tabs>
          <w:tab w:leader="none" w:pos="1293" w:val="left"/>
        </w:tabs>
        <w:numPr>
          <w:ilvl w:val="0"/>
          <w:numId w:val="108"/>
        </w:numPr>
        <w:rPr>
          <w:rFonts w:ascii="Arial" w:cs="Arial" w:eastAsia="Arial" w:hAnsi="Arial"/>
          <w:sz w:val="22"/>
          <w:szCs w:val="22"/>
          <w:color w:val="auto"/>
        </w:rPr>
      </w:pPr>
      <w:r>
        <w:rPr>
          <w:rFonts w:ascii="Arial" w:cs="Arial" w:eastAsia="Arial" w:hAnsi="Arial"/>
          <w:sz w:val="22"/>
          <w:szCs w:val="22"/>
          <w:i w:val="1"/>
          <w:iCs w:val="1"/>
          <w:color w:val="auto"/>
        </w:rPr>
        <w:t xml:space="preserve">Cause. </w:t>
      </w:r>
      <w:r>
        <w:rPr>
          <w:rFonts w:ascii="Arial" w:cs="Arial" w:eastAsia="Arial" w:hAnsi="Arial"/>
          <w:sz w:val="22"/>
          <w:szCs w:val="22"/>
          <w:color w:val="auto"/>
        </w:rPr>
        <w:t>The Company may terminate the Executive’s employment hereunder and this Agreement for Cause. For</w:t>
      </w:r>
      <w:r>
        <w:rPr>
          <w:rFonts w:ascii="Arial" w:cs="Arial" w:eastAsia="Arial" w:hAnsi="Arial"/>
          <w:sz w:val="22"/>
          <w:szCs w:val="22"/>
          <w:i w:val="1"/>
          <w:iCs w:val="1"/>
          <w:color w:val="auto"/>
        </w:rPr>
        <w:t xml:space="preserve"> </w:t>
      </w:r>
      <w:r>
        <w:rPr>
          <w:rFonts w:ascii="Arial" w:cs="Arial" w:eastAsia="Arial" w:hAnsi="Arial"/>
          <w:sz w:val="22"/>
          <w:szCs w:val="22"/>
          <w:color w:val="auto"/>
        </w:rPr>
        <w:t>purposes of this Agreement, the Company shall have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7"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terminate the Executive’s employment hereunder upon the occurrence of any of the following events:</w:t>
      </w:r>
    </w:p>
    <w:p>
      <w:pPr>
        <w:spacing w:after="0" w:line="220" w:lineRule="exact"/>
        <w:rPr>
          <w:sz w:val="20"/>
          <w:szCs w:val="20"/>
          <w:color w:val="auto"/>
        </w:rPr>
      </w:pPr>
    </w:p>
    <w:p>
      <w:pPr>
        <w:jc w:val="both"/>
        <w:ind w:left="660" w:firstLine="444"/>
        <w:spacing w:after="0" w:line="287" w:lineRule="auto"/>
        <w:rPr>
          <w:sz w:val="20"/>
          <w:szCs w:val="20"/>
          <w:color w:val="auto"/>
        </w:rPr>
      </w:pPr>
      <w:r>
        <w:rPr>
          <w:rFonts w:ascii="Arial" w:cs="Arial" w:eastAsia="Arial" w:hAnsi="Arial"/>
          <w:sz w:val="21"/>
          <w:szCs w:val="21"/>
          <w:color w:val="auto"/>
        </w:rPr>
        <w:t>(i)the Executive has committed gross negligence or willful misconduct, an act of fraud, embezzlement, theft or other criminal act in connection with her duties or in the course of her employment with the Company;</w:t>
      </w:r>
    </w:p>
    <w:p>
      <w:pPr>
        <w:spacing w:after="0" w:line="151" w:lineRule="exact"/>
        <w:rPr>
          <w:sz w:val="20"/>
          <w:szCs w:val="20"/>
          <w:color w:val="auto"/>
        </w:rPr>
      </w:pPr>
    </w:p>
    <w:p>
      <w:pPr>
        <w:jc w:val="both"/>
        <w:ind w:left="660" w:firstLine="384"/>
        <w:spacing w:after="0" w:line="263" w:lineRule="auto"/>
        <w:rPr>
          <w:sz w:val="20"/>
          <w:szCs w:val="20"/>
          <w:color w:val="auto"/>
        </w:rPr>
      </w:pPr>
      <w:r>
        <w:rPr>
          <w:rFonts w:ascii="Arial" w:cs="Arial" w:eastAsia="Arial" w:hAnsi="Arial"/>
          <w:sz w:val="22"/>
          <w:szCs w:val="22"/>
          <w:color w:val="auto"/>
        </w:rPr>
        <w:t>(ii)the Executive has committed an act leading to a conviction of a felony or a misdemeanor involving moral turpitude;</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(iii)the Executive has committed a material breach of any provision of this Agreement; or</w:t>
      </w:r>
    </w:p>
    <w:p>
      <w:pPr>
        <w:spacing w:after="0" w:line="220" w:lineRule="exact"/>
        <w:rPr>
          <w:sz w:val="20"/>
          <w:szCs w:val="20"/>
          <w:color w:val="auto"/>
        </w:rPr>
      </w:pPr>
    </w:p>
    <w:p>
      <w:pPr>
        <w:jc w:val="both"/>
        <w:ind w:left="660" w:right="20" w:firstLine="336"/>
        <w:spacing w:after="0" w:line="253" w:lineRule="auto"/>
        <w:rPr>
          <w:sz w:val="20"/>
          <w:szCs w:val="20"/>
          <w:color w:val="auto"/>
        </w:rPr>
      </w:pPr>
      <w:r>
        <w:rPr>
          <w:rFonts w:ascii="Arial" w:cs="Arial" w:eastAsia="Arial" w:hAnsi="Arial"/>
          <w:sz w:val="22"/>
          <w:szCs w:val="22"/>
          <w:color w:val="auto"/>
        </w:rPr>
        <w:t>(iv)the failure by the Executive to perform any and all covenants contained in (A) Section 2 hereof for any reason other than the Executive’s death, Disability or following the Executive’s delivery of a Notice of Termination for Good Reason and (B) Section 9 hereof.</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provided, that, if reasonably capable of being cured, the Executive shall have thirty (30) days from the date on which the Executive receives the Company’s Notice of Termination for Cause under clause (iii) or (iv) above to remedy any such occurrence otherwise constituting Cause under such clause (iii) or (iv). The determination of whether there has been “Cause” for purposes of this Agreement shall be determined by the Board or any committee thereof in its sole discretion.</w:t>
      </w:r>
    </w:p>
    <w:p>
      <w:pPr>
        <w:spacing w:after="0" w:line="175" w:lineRule="exact"/>
        <w:rPr>
          <w:sz w:val="20"/>
          <w:szCs w:val="20"/>
          <w:color w:val="auto"/>
        </w:rPr>
      </w:pPr>
    </w:p>
    <w:p>
      <w:pPr>
        <w:jc w:val="both"/>
        <w:ind w:firstLine="656"/>
        <w:spacing w:after="0" w:line="312" w:lineRule="auto"/>
        <w:tabs>
          <w:tab w:leader="none" w:pos="1291" w:val="left"/>
        </w:tabs>
        <w:numPr>
          <w:ilvl w:val="0"/>
          <w:numId w:val="109"/>
        </w:numPr>
        <w:rPr>
          <w:rFonts w:ascii="Arial" w:cs="Arial" w:eastAsia="Arial" w:hAnsi="Arial"/>
          <w:sz w:val="19"/>
          <w:szCs w:val="19"/>
          <w:color w:val="auto"/>
        </w:rPr>
      </w:pPr>
      <w:r>
        <w:rPr>
          <w:rFonts w:ascii="Arial" w:cs="Arial" w:eastAsia="Arial" w:hAnsi="Arial"/>
          <w:sz w:val="19"/>
          <w:szCs w:val="19"/>
          <w:i w:val="1"/>
          <w:iCs w:val="1"/>
          <w:color w:val="auto"/>
        </w:rPr>
        <w:t>Good Reason</w:t>
      </w:r>
      <w:r>
        <w:rPr>
          <w:rFonts w:ascii="Arial" w:cs="Arial" w:eastAsia="Arial" w:hAnsi="Arial"/>
          <w:sz w:val="19"/>
          <w:szCs w:val="19"/>
          <w:color w:val="auto"/>
        </w:rPr>
        <w:t>. The Executive may terminate the Executive’s employment hereunder for Good Reason. “</w:t>
      </w:r>
      <w:r>
        <w:rPr>
          <w:rFonts w:ascii="Arial" w:cs="Arial" w:eastAsia="Arial" w:hAnsi="Arial"/>
          <w:sz w:val="19"/>
          <w:szCs w:val="19"/>
          <w:b w:val="1"/>
          <w:bCs w:val="1"/>
          <w:i w:val="1"/>
          <w:iCs w:val="1"/>
          <w:color w:val="auto"/>
        </w:rPr>
        <w:t>Good</w:t>
      </w:r>
      <w:r>
        <w:rPr>
          <w:rFonts w:ascii="Arial" w:cs="Arial" w:eastAsia="Arial" w:hAnsi="Arial"/>
          <w:sz w:val="19"/>
          <w:szCs w:val="19"/>
          <w:i w:val="1"/>
          <w:iCs w:val="1"/>
          <w:color w:val="auto"/>
        </w:rPr>
        <w:t xml:space="preserve"> </w:t>
      </w:r>
      <w:r>
        <w:rPr>
          <w:rFonts w:ascii="Arial" w:cs="Arial" w:eastAsia="Arial" w:hAnsi="Arial"/>
          <w:sz w:val="19"/>
          <w:szCs w:val="19"/>
          <w:b w:val="1"/>
          <w:bCs w:val="1"/>
          <w:i w:val="1"/>
          <w:iCs w:val="1"/>
          <w:color w:val="auto"/>
        </w:rPr>
        <w:t>Reason</w:t>
      </w:r>
      <w:r>
        <w:rPr>
          <w:rFonts w:ascii="Arial" w:cs="Arial" w:eastAsia="Arial" w:hAnsi="Arial"/>
          <w:sz w:val="19"/>
          <w:szCs w:val="19"/>
          <w:color w:val="auto"/>
        </w:rPr>
        <w:t>” for the Executive’s termination of employment shall mean the occurrence, without the Executive’s prior written consent,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any one or more of the following that constitutes a material negative change to the Executive in the service relationship:</w:t>
      </w:r>
    </w:p>
    <w:p>
      <w:pPr>
        <w:spacing w:after="0" w:line="133" w:lineRule="exact"/>
        <w:rPr>
          <w:rFonts w:ascii="Arial" w:cs="Arial" w:eastAsia="Arial" w:hAnsi="Arial"/>
          <w:sz w:val="19"/>
          <w:szCs w:val="19"/>
          <w:color w:val="auto"/>
        </w:rPr>
      </w:pPr>
    </w:p>
    <w:p>
      <w:pPr>
        <w:ind w:left="660" w:firstLine="644"/>
        <w:spacing w:after="0" w:line="343" w:lineRule="auto"/>
        <w:tabs>
          <w:tab w:leader="none" w:pos="1944" w:val="left"/>
        </w:tabs>
        <w:numPr>
          <w:ilvl w:val="1"/>
          <w:numId w:val="109"/>
        </w:numPr>
        <w:rPr>
          <w:rFonts w:ascii="Arial" w:cs="Arial" w:eastAsia="Arial" w:hAnsi="Arial"/>
          <w:sz w:val="19"/>
          <w:szCs w:val="19"/>
          <w:color w:val="auto"/>
        </w:rPr>
      </w:pPr>
      <w:r>
        <w:rPr>
          <w:rFonts w:ascii="Arial" w:cs="Arial" w:eastAsia="Arial" w:hAnsi="Arial"/>
          <w:sz w:val="19"/>
          <w:szCs w:val="19"/>
          <w:color w:val="auto"/>
        </w:rPr>
        <w:t>a reduction in the Base Salary and Target Bonus Opportunity, in the aggregate, from the Base Salary and Target Bonus Opportunity, in the aggregate, as set by the Board from time to time following the Effective Date;</w:t>
      </w:r>
    </w:p>
    <w:p>
      <w:pPr>
        <w:spacing w:after="0" w:line="104" w:lineRule="exact"/>
        <w:rPr>
          <w:rFonts w:ascii="Arial" w:cs="Arial" w:eastAsia="Arial" w:hAnsi="Arial"/>
          <w:sz w:val="19"/>
          <w:szCs w:val="19"/>
          <w:color w:val="auto"/>
        </w:rPr>
      </w:pPr>
    </w:p>
    <w:p>
      <w:pPr>
        <w:ind w:left="660" w:firstLine="644"/>
        <w:spacing w:after="0" w:line="287" w:lineRule="auto"/>
        <w:tabs>
          <w:tab w:leader="none" w:pos="2043" w:val="left"/>
        </w:tabs>
        <w:numPr>
          <w:ilvl w:val="1"/>
          <w:numId w:val="109"/>
        </w:numPr>
        <w:rPr>
          <w:rFonts w:ascii="Arial" w:cs="Arial" w:eastAsia="Arial" w:hAnsi="Arial"/>
          <w:sz w:val="21"/>
          <w:szCs w:val="21"/>
          <w:color w:val="auto"/>
        </w:rPr>
      </w:pPr>
      <w:r>
        <w:rPr>
          <w:rFonts w:ascii="Arial" w:cs="Arial" w:eastAsia="Arial" w:hAnsi="Arial"/>
          <w:sz w:val="21"/>
          <w:szCs w:val="21"/>
          <w:color w:val="auto"/>
        </w:rPr>
        <w:t>the relocation of the principal place of employment to a location more than fifty (50) miles from the Principal Place of Employment, if a move to such other location materially increases the Executive’s commute; or</w:t>
      </w:r>
    </w:p>
    <w:p>
      <w:pPr>
        <w:spacing w:after="0" w:line="151" w:lineRule="exact"/>
        <w:rPr>
          <w:rFonts w:ascii="Arial" w:cs="Arial" w:eastAsia="Arial" w:hAnsi="Arial"/>
          <w:sz w:val="21"/>
          <w:szCs w:val="21"/>
          <w:color w:val="auto"/>
        </w:rPr>
      </w:pPr>
    </w:p>
    <w:p>
      <w:pPr>
        <w:ind w:left="1940" w:hanging="636"/>
        <w:spacing w:after="0"/>
        <w:tabs>
          <w:tab w:leader="none" w:pos="194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 material breach by the Company or the Parent of any applicable provision of this Agreement;</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in any case, that the Company shall have thirty (30) days from the date on which the Company receives the Executive’s Notice of Termination for Good Reason to remedy any such occurrence otherwise constituting Good Reason. Notwithstanding any provision of this Agreement to the contrary, the Executive shall not be treated as having terminated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7" w:right="339" w:bottom="1440" w:gutter="0" w:footer="0" w:header="0"/>
        </w:sectPr>
      </w:pPr>
    </w:p>
    <w:bookmarkStart w:id="149" w:name="page150"/>
    <w:bookmarkEnd w:id="149"/>
    <w:p>
      <w:pPr>
        <w:jc w:val="both"/>
        <w:spacing w:after="0" w:line="302" w:lineRule="auto"/>
        <w:rPr>
          <w:sz w:val="20"/>
          <w:szCs w:val="20"/>
          <w:color w:val="auto"/>
        </w:rPr>
      </w:pPr>
      <w:r>
        <w:rPr>
          <w:rFonts w:ascii="Arial" w:cs="Arial" w:eastAsia="Arial" w:hAnsi="Arial"/>
          <w:sz w:val="19"/>
          <w:szCs w:val="19"/>
          <w:color w:val="auto"/>
        </w:rPr>
        <w:t>Executive’s employment for a Good Reason event if the Executive incurs a Separation From Service (as defined in Section 10(b) hereof) more than six (6) months following the initial existence of the particular Good Reason condition or if the Executive has not given the Company written notice of the Good Reason condition within ninety (90) days after the initial existence of the Good Reason condition or if the Executive waives in writing the Executive’s right to claim Good Reason as a result of the event.</w:t>
      </w:r>
    </w:p>
    <w:p>
      <w:pPr>
        <w:spacing w:after="0" w:line="142" w:lineRule="exact"/>
        <w:rPr>
          <w:sz w:val="20"/>
          <w:szCs w:val="20"/>
          <w:color w:val="auto"/>
        </w:rPr>
      </w:pPr>
    </w:p>
    <w:p>
      <w:pPr>
        <w:jc w:val="both"/>
        <w:ind w:firstLine="534"/>
        <w:spacing w:after="0" w:line="287" w:lineRule="auto"/>
        <w:rPr>
          <w:sz w:val="20"/>
          <w:szCs w:val="20"/>
          <w:color w:val="auto"/>
        </w:rPr>
      </w:pPr>
      <w:r>
        <w:rPr>
          <w:rFonts w:ascii="Arial" w:cs="Arial" w:eastAsia="Arial" w:hAnsi="Arial"/>
          <w:sz w:val="19"/>
          <w:szCs w:val="19"/>
          <w:color w:val="auto"/>
        </w:rPr>
        <w:t>i.</w:t>
      </w:r>
      <w:r>
        <w:rPr>
          <w:rFonts w:ascii="Arial" w:cs="Arial" w:eastAsia="Arial" w:hAnsi="Arial"/>
          <w:sz w:val="19"/>
          <w:szCs w:val="19"/>
          <w:i w:val="1"/>
          <w:iCs w:val="1"/>
          <w:color w:val="auto"/>
        </w:rPr>
        <w:t>Without Cause or Good Reason</w:t>
      </w:r>
      <w:r>
        <w:rPr>
          <w:rFonts w:ascii="Arial" w:cs="Arial" w:eastAsia="Arial" w:hAnsi="Arial"/>
          <w:sz w:val="19"/>
          <w:szCs w:val="19"/>
          <w:color w:val="auto"/>
        </w:rPr>
        <w:t>. Either party hereto may terminate the employment of the Executive and this Agreement at any time, without Cause in the case of the Company and without Good Reason in the case of the Executive, by giving the other party prior written Notice of Termination in accordance with Section 7 hereof; provided, that the Executive shall be required to deliver such written notice to the Board at least thirty (30) days prior to the Date of Termination if the Executive intends to terminate the Executive’s employment without Good Reason; and provided, further, that, notwithstanding anything in this Agreement to the contrary, in the event Executive elects not to extend the Employment Period pursuant to Section 1, such nonrenewal shall be deemed a termination by Executive of the Executive’s employment with the Company without Good Reason effective as of the last day of the then current Employment Period, which shall constitute the Date of Termination for purposes of this Agreement, and provided, further, that, notwithstanding anything in this Agreement to the contrary, in the event the Company elects not to extend the Employment Period pursuant to Section 1, such nonrenewal shall be deemed a termination by the Company of the Executive’s employment with the Company without Cause effective as of the last day of the then current Employment Period, which shall constitute the Date of Termination for purposes of this Agreement.</w:t>
      </w:r>
    </w:p>
    <w:p>
      <w:pPr>
        <w:spacing w:after="0" w:line="186" w:lineRule="exact"/>
        <w:rPr>
          <w:sz w:val="20"/>
          <w:szCs w:val="20"/>
          <w:color w:val="auto"/>
        </w:rPr>
      </w:pPr>
    </w:p>
    <w:p>
      <w:pPr>
        <w:ind w:left="1300" w:hanging="644"/>
        <w:spacing w:after="0"/>
        <w:tabs>
          <w:tab w:leader="none" w:pos="130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Termination Procedure</w:t>
      </w:r>
      <w:r>
        <w:rPr>
          <w:rFonts w:ascii="Arial" w:cs="Arial" w:eastAsia="Arial" w:hAnsi="Arial"/>
          <w:sz w:val="22"/>
          <w:szCs w:val="22"/>
          <w:color w:val="auto"/>
        </w:rPr>
        <w:t>.</w:t>
      </w:r>
    </w:p>
    <w:p>
      <w:pPr>
        <w:spacing w:after="0" w:line="220"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22"/>
          <w:szCs w:val="22"/>
          <w:color w:val="auto"/>
        </w:rPr>
        <w:t>ii.</w:t>
      </w:r>
      <w:r>
        <w:rPr>
          <w:rFonts w:ascii="Arial" w:cs="Arial" w:eastAsia="Arial" w:hAnsi="Arial"/>
          <w:sz w:val="22"/>
          <w:szCs w:val="22"/>
          <w:i w:val="1"/>
          <w:iCs w:val="1"/>
          <w:color w:val="auto"/>
        </w:rPr>
        <w:t>Notice of Termination.</w:t>
      </w:r>
      <w:r>
        <w:rPr>
          <w:rFonts w:ascii="Arial" w:cs="Arial" w:eastAsia="Arial" w:hAnsi="Arial"/>
          <w:sz w:val="22"/>
          <w:szCs w:val="22"/>
          <w:color w:val="auto"/>
        </w:rPr>
        <w:t xml:space="preserve"> Any termination of the Executive’s employment by the Company or by the Executive (other than a termination pursuant to Section 6(a) hereof) shall be communicated by written Notice of Termination to the other party hereto in accordance with Section 12 hereof. For purposes of this Agreement, a “</w:t>
      </w:r>
      <w:r>
        <w:rPr>
          <w:rFonts w:ascii="Arial" w:cs="Arial" w:eastAsia="Arial" w:hAnsi="Arial"/>
          <w:sz w:val="22"/>
          <w:szCs w:val="22"/>
          <w:b w:val="1"/>
          <w:bCs w:val="1"/>
          <w:i w:val="1"/>
          <w:iCs w:val="1"/>
          <w:color w:val="auto"/>
        </w:rPr>
        <w:t>Notice of Termination</w:t>
      </w:r>
      <w:r>
        <w:rPr>
          <w:rFonts w:ascii="Arial" w:cs="Arial" w:eastAsia="Arial" w:hAnsi="Arial"/>
          <w:sz w:val="22"/>
          <w:szCs w:val="22"/>
          <w:color w:val="auto"/>
        </w:rPr>
        <w:t>” shall mean a notice that shall indicate the specific termination provision in this Agreement relied upon and, except in the case of termination pursuant to Section 6(e) hereof, shall set forth in reasonable detail the facts and circumstances claimed to provide a basis for termination of the Executive’s employment under the provision so indicated (including, in the case of any Notice of Termination for Good Reason, a specific description of the event or events that the Executive believes constitutes or constitute an event of Good Reason).</w:t>
      </w:r>
    </w:p>
    <w:p>
      <w:pPr>
        <w:spacing w:after="0" w:line="194"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9"/>
          <w:szCs w:val="19"/>
          <w:color w:val="auto"/>
        </w:rPr>
        <w:t>iii.</w:t>
      </w:r>
      <w:r>
        <w:rPr>
          <w:rFonts w:ascii="Arial" w:cs="Arial" w:eastAsia="Arial" w:hAnsi="Arial"/>
          <w:sz w:val="19"/>
          <w:szCs w:val="19"/>
          <w:i w:val="1"/>
          <w:iCs w:val="1"/>
          <w:color w:val="auto"/>
        </w:rPr>
        <w:t>Date of Termination.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 of Termination</w:t>
      </w:r>
      <w:r>
        <w:rPr>
          <w:rFonts w:ascii="Arial" w:cs="Arial" w:eastAsia="Arial" w:hAnsi="Arial"/>
          <w:sz w:val="19"/>
          <w:szCs w:val="19"/>
          <w:color w:val="auto"/>
        </w:rPr>
        <w:t xml:space="preserve">” shall mean the effective date of termination of the Executive’s employment for any reason, which shall be (i) if the Executive’s employment is terminated pursuant to Section 6(a) hereof, the date of the Executive’s death, or (ii) if the Executive’s employment is terminated pursuant to Section 6(b) hereof, the later of (A) the date that is thirty (30) days after the Notice of Termination is given and (B) the date that is the end of the one-hundred eighty (180) day period referenced in Section 6(b) 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the Executive shall not have returned to the performance of the Executive’s duties on a full-time basis during such period, or (iii) if the Executive’s employment is terminated pursuant to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7" w:right="339" w:bottom="1440" w:gutter="0" w:footer="0" w:header="0"/>
        </w:sectPr>
      </w:pPr>
    </w:p>
    <w:bookmarkStart w:id="150" w:name="page151"/>
    <w:bookmarkEnd w:id="150"/>
    <w:p>
      <w:pPr>
        <w:jc w:val="both"/>
        <w:spacing w:after="0" w:line="290" w:lineRule="auto"/>
        <w:rPr>
          <w:sz w:val="20"/>
          <w:szCs w:val="20"/>
          <w:color w:val="auto"/>
        </w:rPr>
      </w:pPr>
      <w:r>
        <w:rPr>
          <w:rFonts w:ascii="Arial" w:cs="Arial" w:eastAsia="Arial" w:hAnsi="Arial"/>
          <w:sz w:val="19"/>
          <w:szCs w:val="19"/>
          <w:color w:val="auto"/>
        </w:rPr>
        <w:t xml:space="preserve">6(c) hereof, the date specified in the Notice of Termination, which date may be no earlier than the date the Executive is given notice in accordance with Section 12 hereof, or (iv) if the Executive’s employment is terminated pursuant to Section 6(d) hereof, the date on which a Notice of Termination is given or any later date (within thirty (30) days of the date of such Notice of Termination) set forth in such Notice of Termination, or (v) if the Executive’s employment is terminated for any other reason, the date specified in the Notice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Executive’s employment is terminated by the Executive without Good Reason, such date shall be at least thirty (30) days following the date on which Notice of Termination is given (unless the Company accepts the Executive’s resignation prior to the expiration of such 30-day notice period). The Company may also place the Executive on “garden leave” for all or any portion of such notice period.</w:t>
      </w:r>
    </w:p>
    <w:p>
      <w:pPr>
        <w:spacing w:after="0" w:line="156"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 or During Disability</w:t>
      </w:r>
      <w:r>
        <w:rPr>
          <w:rFonts w:ascii="Arial" w:cs="Arial" w:eastAsia="Arial" w:hAnsi="Arial"/>
          <w:sz w:val="22"/>
          <w:szCs w:val="22"/>
          <w:color w:val="auto"/>
        </w:rPr>
        <w:t>.</w:t>
      </w:r>
    </w:p>
    <w:p>
      <w:pPr>
        <w:spacing w:after="0" w:line="220" w:lineRule="exact"/>
        <w:rPr>
          <w:sz w:val="20"/>
          <w:szCs w:val="20"/>
          <w:color w:val="auto"/>
        </w:rPr>
      </w:pPr>
    </w:p>
    <w:p>
      <w:pPr>
        <w:jc w:val="both"/>
        <w:ind w:firstLine="426"/>
        <w:spacing w:after="0" w:line="286" w:lineRule="auto"/>
        <w:rPr>
          <w:sz w:val="20"/>
          <w:szCs w:val="20"/>
          <w:color w:val="auto"/>
        </w:rPr>
      </w:pPr>
      <w:r>
        <w:rPr>
          <w:rFonts w:ascii="Arial" w:cs="Arial" w:eastAsia="Arial" w:hAnsi="Arial"/>
          <w:sz w:val="19"/>
          <w:szCs w:val="19"/>
          <w:color w:val="auto"/>
        </w:rPr>
        <w:t>iv.</w:t>
      </w:r>
      <w:r>
        <w:rPr>
          <w:rFonts w:ascii="Arial" w:cs="Arial" w:eastAsia="Arial" w:hAnsi="Arial"/>
          <w:sz w:val="19"/>
          <w:szCs w:val="19"/>
          <w:i w:val="1"/>
          <w:iCs w:val="1"/>
          <w:color w:val="auto"/>
        </w:rPr>
        <w:t>Accrued Salary, Prior Year Bonus and Accrued Obligation Defined.</w:t>
      </w:r>
      <w:r>
        <w:rPr>
          <w:rFonts w:ascii="Arial" w:cs="Arial" w:eastAsia="Arial" w:hAnsi="Arial"/>
          <w:sz w:val="19"/>
          <w:szCs w:val="19"/>
          <w:color w:val="auto"/>
        </w:rPr>
        <w:t xml:space="preserve"> For purposes of this Agreement, “</w:t>
      </w:r>
      <w:r>
        <w:rPr>
          <w:rFonts w:ascii="Arial" w:cs="Arial" w:eastAsia="Arial" w:hAnsi="Arial"/>
          <w:sz w:val="19"/>
          <w:szCs w:val="19"/>
          <w:b w:val="1"/>
          <w:bCs w:val="1"/>
          <w:i w:val="1"/>
          <w:iCs w:val="1"/>
          <w:color w:val="auto"/>
        </w:rPr>
        <w:t>Accrued Salary</w:t>
      </w:r>
      <w:r>
        <w:rPr>
          <w:rFonts w:ascii="Arial" w:cs="Arial" w:eastAsia="Arial" w:hAnsi="Arial"/>
          <w:sz w:val="19"/>
          <w:szCs w:val="19"/>
          <w:color w:val="auto"/>
        </w:rPr>
        <w:t>” means a lump sum amount in cash equal to the sum of the Base Salary accrued but not paid through the Date of Termination for periods through but not following the Date of Termination, and any accrued vacation pay, in each case to the extent not theretofore paid. For purposes of this Agreement, “</w:t>
      </w:r>
      <w:r>
        <w:rPr>
          <w:rFonts w:ascii="Arial" w:cs="Arial" w:eastAsia="Arial" w:hAnsi="Arial"/>
          <w:sz w:val="19"/>
          <w:szCs w:val="19"/>
          <w:b w:val="1"/>
          <w:bCs w:val="1"/>
          <w:i w:val="1"/>
          <w:iCs w:val="1"/>
          <w:color w:val="auto"/>
        </w:rPr>
        <w:t>Prior Year Bonus</w:t>
      </w:r>
      <w:r>
        <w:rPr>
          <w:rFonts w:ascii="Arial" w:cs="Arial" w:eastAsia="Arial" w:hAnsi="Arial"/>
          <w:sz w:val="19"/>
          <w:szCs w:val="19"/>
          <w:color w:val="auto"/>
        </w:rPr>
        <w:t>” means any bonus earned by the Executive under the Annual Incentive Plan for the fiscal year of the Company immediately preceding the fiscal year of the Company in which the Date of Termination occurs but not paid as of the Date of Termination. For purposes of this Agreement, payment of the “</w:t>
      </w:r>
      <w:r>
        <w:rPr>
          <w:rFonts w:ascii="Arial" w:cs="Arial" w:eastAsia="Arial" w:hAnsi="Arial"/>
          <w:sz w:val="19"/>
          <w:szCs w:val="19"/>
          <w:b w:val="1"/>
          <w:bCs w:val="1"/>
          <w:i w:val="1"/>
          <w:iCs w:val="1"/>
          <w:color w:val="auto"/>
        </w:rPr>
        <w:t>Accrued</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Obligation</w:t>
      </w:r>
      <w:r>
        <w:rPr>
          <w:rFonts w:ascii="Arial" w:cs="Arial" w:eastAsia="Arial" w:hAnsi="Arial"/>
          <w:sz w:val="19"/>
          <w:szCs w:val="19"/>
          <w:color w:val="auto"/>
        </w:rPr>
        <w:t>” shall mean payment by the Company or Academy, as applicable, to the Executive (or the Executive’s designated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beneficiary or legal representative, as applicable), when due, of all benefits to which the Executive is entitled under the terms of the employee benefit plans and programs in which the Executive is a participant as of the Date of Termination, including, without limitation, the vesting of any equity incentive awards in accordance with the terms of the plans and award agreements evidencing such awards, any rights of the Executive as an insured, or to coverage, under any director’s and officer’s liability insurance policy and any right to indemnification under applicable corporate law, this Agreement, the governing documents of the Company Group or any benefit plan of any member of the Company Group or otherwise.</w:t>
      </w:r>
    </w:p>
    <w:p>
      <w:pPr>
        <w:spacing w:after="0" w:line="16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v.</w:t>
      </w:r>
      <w:r>
        <w:rPr>
          <w:rFonts w:ascii="Arial" w:cs="Arial" w:eastAsia="Arial" w:hAnsi="Arial"/>
          <w:sz w:val="22"/>
          <w:szCs w:val="22"/>
          <w:i w:val="1"/>
          <w:iCs w:val="1"/>
          <w:color w:val="auto"/>
        </w:rPr>
        <w:t>Disability; Death.</w:t>
      </w:r>
      <w:r>
        <w:rPr>
          <w:rFonts w:ascii="Arial" w:cs="Arial" w:eastAsia="Arial" w:hAnsi="Arial"/>
          <w:sz w:val="22"/>
          <w:szCs w:val="22"/>
          <w:color w:val="auto"/>
        </w:rPr>
        <w:t xml:space="preserve"> Following the termination of the Executive’s employment pursuant to Section 6(a) or Section 6(b) hereof, the Company shall pay, or cause Academy to pay, to the Executive (or the Executive’s designated beneficiary or legal representative, if applicable):</w:t>
      </w:r>
    </w:p>
    <w:p>
      <w:pPr>
        <w:spacing w:after="0" w:line="185" w:lineRule="exact"/>
        <w:rPr>
          <w:sz w:val="20"/>
          <w:szCs w:val="20"/>
          <w:color w:val="auto"/>
        </w:rPr>
      </w:pPr>
    </w:p>
    <w:p>
      <w:pPr>
        <w:ind w:left="1960" w:hanging="656"/>
        <w:spacing w:after="0"/>
        <w:tabs>
          <w:tab w:leader="none" w:pos="19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Accrued Salary within thirty (30) days after the Date of Termination;</w:t>
      </w:r>
    </w:p>
    <w:p>
      <w:pPr>
        <w:spacing w:after="0" w:line="219" w:lineRule="exact"/>
        <w:rPr>
          <w:rFonts w:ascii="Arial" w:cs="Arial" w:eastAsia="Arial" w:hAnsi="Arial"/>
          <w:sz w:val="22"/>
          <w:szCs w:val="22"/>
          <w:color w:val="auto"/>
        </w:rPr>
      </w:pPr>
    </w:p>
    <w:p>
      <w:pPr>
        <w:ind w:left="660" w:firstLine="644"/>
        <w:spacing w:after="0" w:line="263" w:lineRule="auto"/>
        <w:tabs>
          <w:tab w:leader="none" w:pos="19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Prior Year Bonus, if any is due, at the same time in the year of termination as such payment would be made if the Executive had otherwise continued to be employed by the Company;</w:t>
      </w:r>
    </w:p>
    <w:p>
      <w:pPr>
        <w:spacing w:after="0" w:line="174" w:lineRule="exact"/>
        <w:rPr>
          <w:rFonts w:ascii="Arial" w:cs="Arial" w:eastAsia="Arial" w:hAnsi="Arial"/>
          <w:sz w:val="22"/>
          <w:szCs w:val="22"/>
          <w:color w:val="auto"/>
        </w:rPr>
      </w:pPr>
    </w:p>
    <w:p>
      <w:pPr>
        <w:ind w:left="660" w:right="20" w:firstLine="644"/>
        <w:spacing w:after="0" w:line="263" w:lineRule="auto"/>
        <w:tabs>
          <w:tab w:leader="none" w:pos="1947"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Accrued Obligation at the times specified in and in accordance with the terms of the applicable employee benefit plans and compensation arrangements;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7" w:right="339" w:bottom="1440" w:gutter="0" w:footer="0" w:header="0"/>
        </w:sectPr>
      </w:pPr>
    </w:p>
    <w:bookmarkStart w:id="151" w:name="page152"/>
    <w:bookmarkEnd w:id="151"/>
    <w:p>
      <w:pPr>
        <w:jc w:val="both"/>
        <w:ind w:left="660" w:firstLine="644"/>
        <w:spacing w:after="0" w:line="259" w:lineRule="auto"/>
        <w:tabs>
          <w:tab w:leader="none" w:pos="195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 pro rata portion of the Annual Bonus for the partial fiscal year in which the Date of Termination occurs in an amount equal to the product of (x) the Annual Bonus that the Executive would otherwise have been entitled to receive if the Executive had remained employed on the date on which such Annual Bonus is paid (but with the amount of the Annual Bonus payable calculated based solely on the level of achievement of the applicable financial performance metrics for such fiscal year and not on any personal performance goals) and (y) a fraction, the numerator of which is equal to the number of days between and including the first day of the fiscal year of the Company in which the Date of Termination occurs and the Date of Termination, and the denominator of which is equal to 365, payable in a lump sum payment on the date on which annual bonuses are paid to the Company’s other senior executive officers with respect to such fiscal year.</w:t>
      </w:r>
    </w:p>
    <w:p>
      <w:pPr>
        <w:spacing w:after="0" w:line="179" w:lineRule="exact"/>
        <w:rPr>
          <w:sz w:val="20"/>
          <w:szCs w:val="20"/>
          <w:color w:val="auto"/>
        </w:rPr>
      </w:pPr>
    </w:p>
    <w:p>
      <w:pPr>
        <w:jc w:val="both"/>
        <w:ind w:firstLine="426"/>
        <w:spacing w:after="0" w:line="289" w:lineRule="auto"/>
        <w:rPr>
          <w:sz w:val="20"/>
          <w:szCs w:val="20"/>
          <w:color w:val="auto"/>
        </w:rPr>
      </w:pPr>
      <w:r>
        <w:rPr>
          <w:rFonts w:ascii="Arial" w:cs="Arial" w:eastAsia="Arial" w:hAnsi="Arial"/>
          <w:sz w:val="19"/>
          <w:szCs w:val="19"/>
          <w:color w:val="auto"/>
        </w:rPr>
        <w:t>vi.</w:t>
      </w:r>
      <w:r>
        <w:rPr>
          <w:rFonts w:ascii="Arial" w:cs="Arial" w:eastAsia="Arial" w:hAnsi="Arial"/>
          <w:sz w:val="19"/>
          <w:szCs w:val="19"/>
          <w:i w:val="1"/>
          <w:iCs w:val="1"/>
          <w:color w:val="auto"/>
        </w:rPr>
        <w:t>By the Company for Cause or by the Executive Without Good Reason.</w:t>
      </w:r>
      <w:r>
        <w:rPr>
          <w:rFonts w:ascii="Arial" w:cs="Arial" w:eastAsia="Arial" w:hAnsi="Arial"/>
          <w:sz w:val="19"/>
          <w:szCs w:val="19"/>
          <w:color w:val="auto"/>
        </w:rPr>
        <w:t xml:space="preserve"> If during the Employment Period the Executive’s employment is terminated by the Company for Cause pursuant to Section 6(c) hereof or by the Executive without Good Reason pursuant to Section 6(e) hereof, the Company shall pay, or cause Academy to pay, to the Executive the Accrued Salary within thirty (30) days following the Date of Termination and the Prior Year Bonus, if any is due, at the same time in the year of termination as such payment would be made if the Executive had otherwise continued to be employed by the Company. Following such payments, the Company Group shall have no further obligations, including under the Annual Incentive Plan, to the Executive other than as may be required by law or with respect to any Accrued Obligation under the terms of an employee benefit plan of the Company Group. The Company shall pay, or cause Academy to pay, the Executive the Accrued Obligation at the times specified in and in accordance with the terms of the applicable employee benefit plans and compensation arrangements.</w:t>
      </w:r>
    </w:p>
    <w:p>
      <w:pPr>
        <w:spacing w:after="0" w:line="157" w:lineRule="exact"/>
        <w:rPr>
          <w:sz w:val="20"/>
          <w:szCs w:val="20"/>
          <w:color w:val="auto"/>
        </w:rPr>
      </w:pPr>
    </w:p>
    <w:p>
      <w:pPr>
        <w:jc w:val="both"/>
        <w:ind w:firstLine="366"/>
        <w:spacing w:after="0" w:line="250" w:lineRule="auto"/>
        <w:rPr>
          <w:sz w:val="20"/>
          <w:szCs w:val="20"/>
          <w:color w:val="auto"/>
        </w:rPr>
      </w:pPr>
      <w:r>
        <w:rPr>
          <w:rFonts w:ascii="Arial" w:cs="Arial" w:eastAsia="Arial" w:hAnsi="Arial"/>
          <w:sz w:val="22"/>
          <w:szCs w:val="22"/>
          <w:color w:val="auto"/>
        </w:rPr>
        <w:t>vii.</w:t>
      </w:r>
      <w:r>
        <w:rPr>
          <w:rFonts w:ascii="Arial" w:cs="Arial" w:eastAsia="Arial" w:hAnsi="Arial"/>
          <w:sz w:val="22"/>
          <w:szCs w:val="22"/>
          <w:i w:val="1"/>
          <w:iCs w:val="1"/>
          <w:color w:val="auto"/>
        </w:rPr>
        <w:t>By the Company Without Cause or by the Executive for Good Reason.</w:t>
      </w:r>
      <w:r>
        <w:rPr>
          <w:rFonts w:ascii="Arial" w:cs="Arial" w:eastAsia="Arial" w:hAnsi="Arial"/>
          <w:sz w:val="22"/>
          <w:szCs w:val="22"/>
          <w:color w:val="auto"/>
        </w:rPr>
        <w:t xml:space="preserve"> If during the Employment Period the Executive’s employment is terminated by the Company without Cause (including as a result of the Company’s non-extension of the Employment Period pursuant to Section 1), other than as a result of the Executive’s death or Disability, or if the Executive terminates the Executive’s employment for Good Reason, then:</w:t>
      </w:r>
    </w:p>
    <w:p>
      <w:pPr>
        <w:spacing w:after="0" w:line="188" w:lineRule="exact"/>
        <w:rPr>
          <w:sz w:val="20"/>
          <w:szCs w:val="20"/>
          <w:color w:val="auto"/>
        </w:rPr>
      </w:pPr>
    </w:p>
    <w:p>
      <w:pPr>
        <w:ind w:left="660" w:right="20" w:firstLine="644"/>
        <w:spacing w:after="0" w:line="263" w:lineRule="auto"/>
        <w:tabs>
          <w:tab w:leader="none" w:pos="195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Within thirty (30) days after the Date of Termination the Company shall pay, or cause Academy to pay, the Executive the Accrued Salary;</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4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 shall pay, or cause Academy to pay, the Executive the Prior Year Bonus, if any is due, at the same time in the year of termination as such payment would be made if the Executive continued to be employed by the Company;</w:t>
      </w:r>
    </w:p>
    <w:p>
      <w:pPr>
        <w:spacing w:after="0" w:line="185" w:lineRule="exact"/>
        <w:rPr>
          <w:rFonts w:ascii="Arial" w:cs="Arial" w:eastAsia="Arial" w:hAnsi="Arial"/>
          <w:sz w:val="22"/>
          <w:szCs w:val="22"/>
          <w:color w:val="auto"/>
        </w:rPr>
      </w:pPr>
    </w:p>
    <w:p>
      <w:pPr>
        <w:jc w:val="both"/>
        <w:ind w:left="660" w:firstLine="644"/>
        <w:spacing w:after="0" w:line="248" w:lineRule="auto"/>
        <w:tabs>
          <w:tab w:leader="none" w:pos="194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Company shall pay, or cause Academy to pay, to the Executive a cash severance payment in an amount equal to the product of (x) 1.5 multiplied by (y) the sum of (A) the Base Salary and (B) the average Annual Bonus paid to (or earned by, to the extent not yet paid as of the Date of Termination) the Executive under the Annual Incentive Plan for the two fiscal years of the Company immediately preceding the fiscal year in which the Date of Termination occurs. The Company shall make such payment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7" w:right="339" w:bottom="1440" w:gutter="0" w:footer="0" w:header="0"/>
        </w:sectPr>
      </w:pPr>
    </w:p>
    <w:bookmarkStart w:id="152" w:name="page153"/>
    <w:bookmarkEnd w:id="152"/>
    <w:p>
      <w:pPr>
        <w:jc w:val="both"/>
        <w:ind w:left="660"/>
        <w:spacing w:after="0" w:line="247" w:lineRule="auto"/>
        <w:rPr>
          <w:sz w:val="20"/>
          <w:szCs w:val="20"/>
          <w:color w:val="auto"/>
        </w:rPr>
      </w:pPr>
      <w:r>
        <w:rPr>
          <w:rFonts w:ascii="Arial" w:cs="Arial" w:eastAsia="Arial" w:hAnsi="Arial"/>
          <w:sz w:val="22"/>
          <w:szCs w:val="22"/>
          <w:color w:val="auto"/>
        </w:rPr>
        <w:t>equal installments ratably over eighteen (18) months following the Date of Termination (the “</w:t>
      </w:r>
      <w:r>
        <w:rPr>
          <w:rFonts w:ascii="Arial" w:cs="Arial" w:eastAsia="Arial" w:hAnsi="Arial"/>
          <w:sz w:val="22"/>
          <w:szCs w:val="22"/>
          <w:b w:val="1"/>
          <w:bCs w:val="1"/>
          <w:i w:val="1"/>
          <w:iCs w:val="1"/>
          <w:color w:val="auto"/>
        </w:rPr>
        <w:t>Severance Period</w:t>
      </w:r>
      <w:r>
        <w:rPr>
          <w:rFonts w:ascii="Arial" w:cs="Arial" w:eastAsia="Arial" w:hAnsi="Arial"/>
          <w:sz w:val="22"/>
          <w:szCs w:val="22"/>
          <w:color w:val="auto"/>
        </w:rPr>
        <w:t>”) in accordance with the Company’s normal payroll cycle and procedures, with the first installment to be paid on the first payroll date following the date on which the Release (as defined in Section 8(f) below) becomes irrevocable (the “</w:t>
      </w:r>
      <w:r>
        <w:rPr>
          <w:rFonts w:ascii="Arial" w:cs="Arial" w:eastAsia="Arial" w:hAnsi="Arial"/>
          <w:sz w:val="22"/>
          <w:szCs w:val="22"/>
          <w:b w:val="1"/>
          <w:bCs w:val="1"/>
          <w:i w:val="1"/>
          <w:iCs w:val="1"/>
          <w:color w:val="auto"/>
        </w:rPr>
        <w:t>Release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if the Executive’s death occurs subsequent to the Date of Termination, any unpaid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installments shall be paid to the Executive’s estate or beneficiaries in a lump sum payment within thirty (30) days following the date of the Executive’s death;</w:t>
      </w:r>
    </w:p>
    <w:p>
      <w:pPr>
        <w:spacing w:after="0" w:line="193" w:lineRule="exact"/>
        <w:rPr>
          <w:sz w:val="20"/>
          <w:szCs w:val="20"/>
          <w:color w:val="auto"/>
        </w:rPr>
      </w:pPr>
    </w:p>
    <w:p>
      <w:pPr>
        <w:jc w:val="both"/>
        <w:ind w:left="660" w:firstLine="644"/>
        <w:spacing w:after="0" w:line="287" w:lineRule="auto"/>
        <w:tabs>
          <w:tab w:leader="none" w:pos="1956"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The Company shall pay, or cause Academy to pay, to the Executive an amount equal to the product of (x) the Annual Bonus earned by the Executive under the Annual Incentive Plan for the fiscal year of the Company immediately preceding the fiscal year of the Company in which the Date of Termination occurs, multiplied by (y) a fraction, the numerator of which is equal to the number of days between and including the first day of the fiscal year of the Company in which the Date of Termination occurs and the Date of Termination, and the denominator of which is equal to 365. Such payment is in lieu of the Annual Bonus that would have otherwise been due to the Executive under the Annual Incentive Plan for the performance period in which the Date of Termination occurs. The Company shall make such payment in equal installments ratably over twelve (12) months following the Date of Termination in accordance with the Company’s normal payroll cycle and procedures, with the first installment to be paid on the first payroll date following the Release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Executive’s death occurs subsequent to the Date of Termination, any unpaid installments shall be paid to the Executive’s estate or beneficiaries in a lump sum payment within thirty (30) days following the date of the Executive’s death;</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660" w:firstLine="644"/>
        <w:spacing w:after="0" w:line="286" w:lineRule="auto"/>
        <w:tabs>
          <w:tab w:leader="none" w:pos="194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During the Severance Period, the Company shall (or shall cause Academy to) arrange to provide the Executive and the Executive’s covered dependents medical insurance benefits, contingent on the Executive electing continuation coverage under the Consolidated Omnibus Budget Reconciliation Act of 1985, as amended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xml:space="preserve">”), no less favorable than those provided to active senior executives of the Company and their dependents at a price equal to the COBRA rate while eligible for COBRA and thereafter at the cost of coverage (which shall be deemed to be the COBRA cost unless otherwise defined by the U.S. Treasury), and the Company shall pay, or cause Academy to pay, to the Executive each month during the Severance Period an amount equal to the excess, if any, of the monthly premium under the Company’s benefit plans under which such medical insurance benefits are provided, as in effect from time to time, over the amount of the Executive’s portion of such premiums as if the Executive was an active employee, which payment shall be paid in advance on the first payroll day of each month during the such Severance Period, commencing with the month immediately following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first such payment shall be made on the Release Effective Date. Notwithstanding the foregoing, the payments provided under this clause (v) shall cease at such time as the Executive commences to receive such benefits from a subsequent employer of the Executive during the Severance Period (and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53" w:name="page154"/>
    <w:bookmarkEnd w:id="153"/>
    <w:p>
      <w:pPr>
        <w:ind w:left="660"/>
        <w:spacing w:after="0" w:line="263" w:lineRule="auto"/>
        <w:rPr>
          <w:sz w:val="20"/>
          <w:szCs w:val="20"/>
          <w:color w:val="auto"/>
        </w:rPr>
      </w:pPr>
      <w:r>
        <w:rPr>
          <w:rFonts w:ascii="Arial" w:cs="Arial" w:eastAsia="Arial" w:hAnsi="Arial"/>
          <w:sz w:val="22"/>
          <w:szCs w:val="22"/>
          <w:color w:val="auto"/>
        </w:rPr>
        <w:t>shall have the obligation to notify the Company that the Executive is receiving such benefits from a subsequent employer);</w:t>
      </w:r>
    </w:p>
    <w:p>
      <w:pPr>
        <w:spacing w:after="0" w:line="175" w:lineRule="exact"/>
        <w:rPr>
          <w:sz w:val="20"/>
          <w:szCs w:val="20"/>
          <w:color w:val="auto"/>
        </w:rPr>
      </w:pPr>
    </w:p>
    <w:p>
      <w:pPr>
        <w:ind w:left="1940" w:hanging="636"/>
        <w:spacing w:after="0"/>
        <w:tabs>
          <w:tab w:leader="none" w:pos="194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Company shall, pay, or cause Academy to pay, the Executive an amount equivalent to the product of</w:t>
      </w:r>
    </w:p>
    <w:p>
      <w:pPr>
        <w:spacing w:after="0" w:line="55" w:lineRule="exact"/>
        <w:rPr>
          <w:rFonts w:ascii="Arial" w:cs="Arial" w:eastAsia="Arial" w:hAnsi="Arial"/>
          <w:sz w:val="19"/>
          <w:szCs w:val="19"/>
          <w:color w:val="auto"/>
        </w:rPr>
      </w:pPr>
    </w:p>
    <w:p>
      <w:pPr>
        <w:jc w:val="both"/>
        <w:ind w:left="660" w:hanging="4"/>
        <w:spacing w:after="0" w:line="290" w:lineRule="auto"/>
        <w:tabs>
          <w:tab w:leader="none" w:pos="996"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monthly basic life insurance premium applicable to the Executive’s basic life insurance coverage immediately prior to the Date of Termination and (y) the number of full and fractional calendar months of the Severance Period. The Company shall make such payment in a lump sum in cash on the first payroll date following the Release Effective Date. If applicable, the Executive may, at the Executive’s option, convert the Executive’s basic life insurance coverage to an individual policy after the Date of Termination by completing the forms required by the Company for this purpose, and the Company will reasonably cooperate in order to assist the Executive with such conversion; and</w:t>
      </w:r>
    </w:p>
    <w:p>
      <w:pPr>
        <w:spacing w:after="0" w:line="153" w:lineRule="exact"/>
        <w:rPr>
          <w:rFonts w:ascii="Arial" w:cs="Arial" w:eastAsia="Arial" w:hAnsi="Arial"/>
          <w:sz w:val="19"/>
          <w:szCs w:val="19"/>
          <w:color w:val="auto"/>
        </w:rPr>
      </w:pPr>
    </w:p>
    <w:p>
      <w:pPr>
        <w:ind w:left="660" w:firstLine="644"/>
        <w:spacing w:after="0" w:line="343" w:lineRule="auto"/>
        <w:tabs>
          <w:tab w:leader="none" w:pos="195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The Company shall pay, or cause Academy to pay, the Executive the Accrued Obligation at the times specified in and in accordance with the terms of the applicable employee benefit plans and compensation arrangements.</w:t>
      </w:r>
    </w:p>
    <w:p>
      <w:pPr>
        <w:spacing w:after="0" w:line="104" w:lineRule="exact"/>
        <w:rPr>
          <w:sz w:val="20"/>
          <w:szCs w:val="20"/>
          <w:color w:val="auto"/>
        </w:rPr>
      </w:pPr>
    </w:p>
    <w:p>
      <w:pPr>
        <w:jc w:val="both"/>
        <w:ind w:firstLine="306"/>
        <w:spacing w:after="0" w:line="263" w:lineRule="auto"/>
        <w:rPr>
          <w:sz w:val="20"/>
          <w:szCs w:val="20"/>
          <w:color w:val="auto"/>
        </w:rPr>
      </w:pPr>
      <w:r>
        <w:rPr>
          <w:rFonts w:ascii="Arial" w:cs="Arial" w:eastAsia="Arial" w:hAnsi="Arial"/>
          <w:sz w:val="22"/>
          <w:szCs w:val="22"/>
          <w:color w:val="auto"/>
        </w:rPr>
        <w:t>viii.</w:t>
      </w:r>
      <w:r>
        <w:rPr>
          <w:rFonts w:ascii="Arial" w:cs="Arial" w:eastAsia="Arial" w:hAnsi="Arial"/>
          <w:sz w:val="22"/>
          <w:szCs w:val="22"/>
          <w:i w:val="1"/>
          <w:iCs w:val="1"/>
          <w:color w:val="auto"/>
        </w:rPr>
        <w:t>No Right to Specify Year of Payment.</w:t>
      </w:r>
      <w:r>
        <w:rPr>
          <w:rFonts w:ascii="Arial" w:cs="Arial" w:eastAsia="Arial" w:hAnsi="Arial"/>
          <w:sz w:val="22"/>
          <w:szCs w:val="22"/>
          <w:color w:val="auto"/>
        </w:rPr>
        <w:t xml:space="preserve"> The Executive shall have no right to specify the year in which any payment made under this Section 8 shall be made.</w:t>
      </w:r>
    </w:p>
    <w:p>
      <w:pPr>
        <w:spacing w:after="0" w:line="175" w:lineRule="exact"/>
        <w:rPr>
          <w:sz w:val="20"/>
          <w:szCs w:val="20"/>
          <w:color w:val="auto"/>
        </w:rPr>
      </w:pPr>
    </w:p>
    <w:p>
      <w:pPr>
        <w:jc w:val="both"/>
        <w:ind w:firstLine="426"/>
        <w:spacing w:after="0" w:line="284" w:lineRule="auto"/>
        <w:rPr>
          <w:sz w:val="20"/>
          <w:szCs w:val="20"/>
          <w:color w:val="auto"/>
        </w:rPr>
      </w:pPr>
      <w:r>
        <w:rPr>
          <w:rFonts w:ascii="Arial" w:cs="Arial" w:eastAsia="Arial" w:hAnsi="Arial"/>
          <w:sz w:val="19"/>
          <w:szCs w:val="19"/>
          <w:color w:val="auto"/>
        </w:rPr>
        <w:t>ix.</w:t>
      </w:r>
      <w:r>
        <w:rPr>
          <w:rFonts w:ascii="Arial" w:cs="Arial" w:eastAsia="Arial" w:hAnsi="Arial"/>
          <w:sz w:val="19"/>
          <w:szCs w:val="19"/>
          <w:i w:val="1"/>
          <w:iCs w:val="1"/>
          <w:color w:val="auto"/>
        </w:rPr>
        <w:t>No Duty to Mitigate; Release.</w:t>
      </w:r>
      <w:r>
        <w:rPr>
          <w:rFonts w:ascii="Arial" w:cs="Arial" w:eastAsia="Arial" w:hAnsi="Arial"/>
          <w:sz w:val="19"/>
          <w:szCs w:val="19"/>
          <w:color w:val="auto"/>
        </w:rPr>
        <w:t xml:space="preserve"> The Company agrees that, if the Executive’s employment with the Company terminates for any reason during the Employment Period, the Executive is not required to seek other employment or to attempt in any way to reduce any amounts payable to the Executive by the Company pursuant to this Section 8. Further, except to the extent set forth in Section 9(e) hereof, the amount of any payment or benefit provided for in this Agreement shall not be reduced by any compensation earned by the Executive as the result of employment by another employer, by retirement benefits, or by offset against any amount claimed to be owed by the Executive to the Company or Academy. Notwithstanding anything to the contrary contained herein, payments to the Executive under this Section 8 (other than the Accrued Salary, Prior Year Bonus, if any, and Accrued Obligations) are contingent upon (A) the Executive’s continued compliance with the provisions of Section 9 hereof and</w:t>
      </w:r>
    </w:p>
    <w:p>
      <w:pPr>
        <w:spacing w:after="0" w:line="2" w:lineRule="exact"/>
        <w:rPr>
          <w:sz w:val="20"/>
          <w:szCs w:val="20"/>
          <w:color w:val="auto"/>
        </w:rPr>
      </w:pPr>
    </w:p>
    <w:p>
      <w:pPr>
        <w:jc w:val="both"/>
        <w:ind w:firstLine="8"/>
        <w:spacing w:after="0" w:line="290" w:lineRule="auto"/>
        <w:tabs>
          <w:tab w:leader="none" w:pos="37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the Executive’s execution and delivery, without revocation, of a fully effective release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w:t>
      </w:r>
      <w:r>
        <w:rPr>
          <w:rFonts w:ascii="Arial" w:cs="Arial" w:eastAsia="Arial" w:hAnsi="Arial"/>
          <w:sz w:val="19"/>
          <w:szCs w:val="19"/>
          <w:b w:val="1"/>
          <w:bCs w:val="1"/>
          <w:i w:val="1"/>
          <w:iCs w:val="1"/>
          <w:color w:val="auto"/>
        </w:rPr>
        <w:t>Release</w:t>
      </w:r>
      <w:r>
        <w:rPr>
          <w:rFonts w:ascii="Arial" w:cs="Arial" w:eastAsia="Arial" w:hAnsi="Arial"/>
          <w:sz w:val="19"/>
          <w:szCs w:val="19"/>
          <w:color w:val="auto"/>
        </w:rPr>
        <w:t>”), which Release must be executed (and not revoked) by the Executive on or prior to the sixtieth (60th) day following the Date of Termination (such sixty-day period, the “</w:t>
      </w:r>
      <w:r>
        <w:rPr>
          <w:rFonts w:ascii="Arial" w:cs="Arial" w:eastAsia="Arial" w:hAnsi="Arial"/>
          <w:sz w:val="19"/>
          <w:szCs w:val="19"/>
          <w:b w:val="1"/>
          <w:bCs w:val="1"/>
          <w:i w:val="1"/>
          <w:iCs w:val="1"/>
          <w:color w:val="auto"/>
        </w:rPr>
        <w:t>Release Period</w:t>
      </w:r>
      <w:r>
        <w:rPr>
          <w:rFonts w:ascii="Arial" w:cs="Arial" w:eastAsia="Arial" w:hAnsi="Arial"/>
          <w:sz w:val="19"/>
          <w:szCs w:val="19"/>
          <w:color w:val="auto"/>
        </w:rPr>
        <w:t>”). Notwithstanding the foregoing, to the extent required to comply with Section 409A, if the Release Period straddles the ending and beginning of two (2) consecutive calendar years, then the first installment of any installment payments of severance payable to the Executive under this Section 8 shall be paid on the first regularly scheduled payroll date that occurs in the second calendar year.</w:t>
      </w:r>
    </w:p>
    <w:p>
      <w:pPr>
        <w:spacing w:after="0" w:line="153" w:lineRule="exact"/>
        <w:rPr>
          <w:rFonts w:ascii="Arial" w:cs="Arial" w:eastAsia="Arial" w:hAnsi="Arial"/>
          <w:sz w:val="19"/>
          <w:szCs w:val="19"/>
          <w:color w:val="auto"/>
        </w:rPr>
      </w:pPr>
    </w:p>
    <w:p>
      <w:pPr>
        <w:ind w:left="1300" w:hanging="644"/>
        <w:spacing w:after="0"/>
        <w:tabs>
          <w:tab w:leader="none" w:pos="1300" w:val="left"/>
        </w:tabs>
        <w:numPr>
          <w:ilvl w:val="1"/>
          <w:numId w:val="118"/>
        </w:numPr>
        <w:rPr>
          <w:rFonts w:ascii="Arial" w:cs="Arial" w:eastAsia="Arial" w:hAnsi="Arial"/>
          <w:sz w:val="22"/>
          <w:szCs w:val="22"/>
          <w:color w:val="auto"/>
        </w:rPr>
      </w:pPr>
      <w:r>
        <w:rPr>
          <w:rFonts w:ascii="Arial" w:cs="Arial" w:eastAsia="Arial" w:hAnsi="Arial"/>
          <w:sz w:val="22"/>
          <w:szCs w:val="22"/>
          <w:u w:val="single" w:color="auto"/>
          <w:color w:val="auto"/>
        </w:rPr>
        <w:t>Restrictive Covenants</w:t>
      </w:r>
      <w:r>
        <w:rPr>
          <w:rFonts w:ascii="Arial" w:cs="Arial" w:eastAsia="Arial" w:hAnsi="Arial"/>
          <w:sz w:val="22"/>
          <w:szCs w:val="22"/>
          <w:color w:val="auto"/>
        </w:rPr>
        <w:t>.</w:t>
      </w:r>
    </w:p>
    <w:p>
      <w:pPr>
        <w:spacing w:after="0" w:line="22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x.</w:t>
      </w:r>
      <w:r>
        <w:rPr>
          <w:rFonts w:ascii="Arial" w:cs="Arial" w:eastAsia="Arial" w:hAnsi="Arial"/>
          <w:sz w:val="22"/>
          <w:szCs w:val="22"/>
          <w:i w:val="1"/>
          <w:iCs w:val="1"/>
          <w:color w:val="auto"/>
        </w:rPr>
        <w:t>Confidential Information.</w:t>
      </w:r>
      <w:r>
        <w:rPr>
          <w:rFonts w:ascii="Arial" w:cs="Arial" w:eastAsia="Arial" w:hAnsi="Arial"/>
          <w:sz w:val="22"/>
          <w:szCs w:val="22"/>
          <w:color w:val="auto"/>
        </w:rPr>
        <w:t xml:space="preserve"> The Company agrees to provide the Executive certain trade secrets, confidential information and knowledge or data relating to the Company Group and its businesses during the Employment Period. The Executive shall hold in a fiduciary capacity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54" w:name="page155"/>
    <w:bookmarkEnd w:id="154"/>
    <w:p>
      <w:pPr>
        <w:jc w:val="both"/>
        <w:spacing w:after="0" w:line="250" w:lineRule="auto"/>
        <w:rPr>
          <w:sz w:val="20"/>
          <w:szCs w:val="20"/>
          <w:color w:val="auto"/>
        </w:rPr>
      </w:pPr>
      <w:r>
        <w:rPr>
          <w:rFonts w:ascii="Arial" w:cs="Arial" w:eastAsia="Arial" w:hAnsi="Arial"/>
          <w:sz w:val="22"/>
          <w:szCs w:val="22"/>
          <w:color w:val="auto"/>
        </w:rPr>
        <w:t>the benefit of the Company Group all trade secrets, confidential information, and knowledge or data relating to the Company Group and its businesses, which shall have been obtained by the Executive during the Executive’s employment by any member of the Company Group (hereinafter being collectively referred to as “</w:t>
      </w:r>
      <w:r>
        <w:rPr>
          <w:rFonts w:ascii="Arial" w:cs="Arial" w:eastAsia="Arial" w:hAnsi="Arial"/>
          <w:sz w:val="22"/>
          <w:szCs w:val="22"/>
          <w:b w:val="1"/>
          <w:bCs w:val="1"/>
          <w:i w:val="1"/>
          <w:iCs w:val="1"/>
          <w:color w:val="auto"/>
        </w:rPr>
        <w:t>Confidential Information</w:t>
      </w:r>
      <w:r>
        <w:rPr>
          <w:rFonts w:ascii="Arial" w:cs="Arial" w:eastAsia="Arial" w:hAnsi="Arial"/>
          <w:sz w:val="22"/>
          <w:szCs w:val="22"/>
          <w:color w:val="auto"/>
        </w:rPr>
        <w:t>”). For the avoidance of doubt, Confidential Information shall not include information that:</w:t>
      </w:r>
    </w:p>
    <w:p>
      <w:pPr>
        <w:spacing w:after="0" w:line="188" w:lineRule="exact"/>
        <w:rPr>
          <w:sz w:val="20"/>
          <w:szCs w:val="20"/>
          <w:color w:val="auto"/>
        </w:rPr>
      </w:pPr>
    </w:p>
    <w:p>
      <w:pPr>
        <w:jc w:val="both"/>
        <w:ind w:left="660" w:firstLine="644"/>
        <w:spacing w:after="0" w:line="312" w:lineRule="auto"/>
        <w:tabs>
          <w:tab w:leader="none" w:pos="195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was already in the Executive’s possession before Executive began her original employment with Academy in May 2018; </w:t>
      </w:r>
      <w:r>
        <w:rPr>
          <w:rFonts w:ascii="Arial" w:cs="Arial" w:eastAsia="Arial" w:hAnsi="Arial"/>
          <w:sz w:val="19"/>
          <w:szCs w:val="19"/>
          <w:u w:val="single" w:color="auto"/>
          <w:color w:val="auto"/>
        </w:rPr>
        <w:t>provided</w:t>
      </w:r>
      <w:r>
        <w:rPr>
          <w:rFonts w:ascii="Arial" w:cs="Arial" w:eastAsia="Arial" w:hAnsi="Arial"/>
          <w:sz w:val="19"/>
          <w:szCs w:val="19"/>
          <w:color w:val="auto"/>
        </w:rPr>
        <w:t>, that the information is not known by the Executive to be subject to another confidentiality agreement with, or otherwise subject to an obligation of secrecy to, any member of the Company Group,</w:t>
      </w:r>
    </w:p>
    <w:p>
      <w:pPr>
        <w:spacing w:after="0" w:line="133" w:lineRule="exact"/>
        <w:rPr>
          <w:rFonts w:ascii="Arial" w:cs="Arial" w:eastAsia="Arial" w:hAnsi="Arial"/>
          <w:sz w:val="19"/>
          <w:szCs w:val="19"/>
          <w:color w:val="auto"/>
        </w:rPr>
      </w:pPr>
    </w:p>
    <w:p>
      <w:pPr>
        <w:ind w:left="660" w:firstLine="644"/>
        <w:spacing w:after="0" w:line="263" w:lineRule="auto"/>
        <w:tabs>
          <w:tab w:leader="none" w:pos="195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becomes generally available to the public other than as a result of acts by the Executive or representatives of the Executive in violation of this Agreement, or</w:t>
      </w:r>
    </w:p>
    <w:p>
      <w:pPr>
        <w:spacing w:after="0" w:line="174" w:lineRule="exact"/>
        <w:rPr>
          <w:rFonts w:ascii="Arial" w:cs="Arial" w:eastAsia="Arial" w:hAnsi="Arial"/>
          <w:sz w:val="22"/>
          <w:szCs w:val="22"/>
          <w:color w:val="auto"/>
        </w:rPr>
      </w:pPr>
    </w:p>
    <w:p>
      <w:pPr>
        <w:jc w:val="both"/>
        <w:ind w:left="660" w:firstLine="644"/>
        <w:spacing w:after="0" w:line="250" w:lineRule="auto"/>
        <w:tabs>
          <w:tab w:leader="none" w:pos="1956"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becomes available to the Executive on a non-confidential basis from a source other than the Company Group or any of its directors, managers, officers, employees, agents or advisors; </w:t>
      </w:r>
      <w:r>
        <w:rPr>
          <w:rFonts w:ascii="Arial" w:cs="Arial" w:eastAsia="Arial" w:hAnsi="Arial"/>
          <w:sz w:val="22"/>
          <w:szCs w:val="22"/>
          <w:u w:val="single" w:color="auto"/>
          <w:color w:val="auto"/>
        </w:rPr>
        <w:t>provided</w:t>
      </w:r>
      <w:r>
        <w:rPr>
          <w:rFonts w:ascii="Arial" w:cs="Arial" w:eastAsia="Arial" w:hAnsi="Arial"/>
          <w:sz w:val="22"/>
          <w:szCs w:val="22"/>
          <w:color w:val="auto"/>
        </w:rPr>
        <w:t>, that such source is not known by the Executive to be bound by a confidentiality agreement with, or otherwise bound by an obligation of secrecy to, any member of the Company Group.</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Executive shall not, without the prior written consent of the Company or as may otherwise be required by law or legal process, other than in the good faith performance of the Executive’s duties, 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9(a).</w:t>
      </w:r>
    </w:p>
    <w:p>
      <w:pPr>
        <w:spacing w:after="0" w:line="14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Executive agrees to return or destroy (as determined by the Company) all Confidential Information, including all photocopies, extracts and summaries thereof, and any such information stored electronically on tapes, computer disks or in any other manner to the Company at any time upon request by the Company and upon the termination of the Executive’s employment hereunder for any reason. Notwithstanding anything herein to the contrary, the Company hereby acknowledges and agrees that the Executive may retain, as the Executive’s own property, copies of the Executive’s individual personnel documents, such as payroll and tax records and similar personal records as well as the Executive’s rolodex and the Executive’s address book, whether electronic or in hard copy.</w:t>
      </w:r>
    </w:p>
    <w:p>
      <w:pPr>
        <w:spacing w:after="0" w:line="19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Nothing in this Agreement shall prohibit or impede the Executive from communicating, cooperating or filing a complaint with any U.S. federal, state or local governmental or law enforcement branch, agency or entity (collectively, a “</w:t>
      </w:r>
      <w:r>
        <w:rPr>
          <w:rFonts w:ascii="Arial" w:cs="Arial" w:eastAsia="Arial" w:hAnsi="Arial"/>
          <w:sz w:val="19"/>
          <w:szCs w:val="19"/>
          <w:b w:val="1"/>
          <w:bCs w:val="1"/>
          <w:i w:val="1"/>
          <w:iCs w:val="1"/>
          <w:color w:val="auto"/>
        </w:rPr>
        <w:t>Governmental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Entity</w:t>
      </w:r>
      <w:r>
        <w:rPr>
          <w:rFonts w:ascii="Arial" w:cs="Arial" w:eastAsia="Arial" w:hAnsi="Arial"/>
          <w:sz w:val="19"/>
          <w:szCs w:val="19"/>
          <w:color w:val="auto"/>
        </w:rPr>
        <w:t>”) with respect to possible violations of any U.S. federal, state or local law or regulation, or otherwise making disclosures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to any Governmental Entity, in each case, that are protected under the whistleblower provisions of any such law or regulation,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such communications and disclosures are consistent with applicable law. The Executive does not need the prior authorization of (or to give notice to) the Company regarding any such communication or disclosure. Executive further understands that as provided by the Federal Defend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55" w:name="page156"/>
    <w:bookmarkEnd w:id="155"/>
    <w:p>
      <w:pPr>
        <w:jc w:val="both"/>
        <w:ind w:right="20"/>
        <w:spacing w:after="0" w:line="250" w:lineRule="auto"/>
        <w:rPr>
          <w:sz w:val="20"/>
          <w:szCs w:val="20"/>
          <w:color w:val="auto"/>
        </w:rPr>
      </w:pPr>
      <w:r>
        <w:rPr>
          <w:rFonts w:ascii="Arial" w:cs="Arial" w:eastAsia="Arial" w:hAnsi="Arial"/>
          <w:sz w:val="22"/>
          <w:szCs w:val="22"/>
          <w:color w:val="auto"/>
        </w:rPr>
        <w:t>Act, Executive will not be held criminally or civilly liable under any federal or state trade secret law for the disclosure of a trade secret made: (1) in confidence to a Governmental Entity, either directly or indirectly, or to an attorney, and solely for the purpose of reporting or investigating a suspected violation of law; or (2) in a complaint or other document filed in a lawsuit or other proceeding, if such filing is made under seal.</w:t>
      </w:r>
    </w:p>
    <w:p>
      <w:pPr>
        <w:spacing w:after="0" w:line="188" w:lineRule="exact"/>
        <w:rPr>
          <w:sz w:val="20"/>
          <w:szCs w:val="20"/>
          <w:color w:val="auto"/>
        </w:rPr>
      </w:pPr>
    </w:p>
    <w:p>
      <w:pPr>
        <w:jc w:val="both"/>
        <w:ind w:firstLine="426"/>
        <w:spacing w:after="0" w:line="257" w:lineRule="auto"/>
        <w:rPr>
          <w:sz w:val="20"/>
          <w:szCs w:val="20"/>
          <w:color w:val="auto"/>
        </w:rPr>
      </w:pPr>
      <w:r>
        <w:rPr>
          <w:rFonts w:ascii="Arial" w:cs="Arial" w:eastAsia="Arial" w:hAnsi="Arial"/>
          <w:sz w:val="21"/>
          <w:szCs w:val="21"/>
          <w:color w:val="auto"/>
        </w:rPr>
        <w:t>xi.</w:t>
      </w:r>
      <w:r>
        <w:rPr>
          <w:rFonts w:ascii="Arial" w:cs="Arial" w:eastAsia="Arial" w:hAnsi="Arial"/>
          <w:sz w:val="21"/>
          <w:szCs w:val="21"/>
          <w:i w:val="1"/>
          <w:iCs w:val="1"/>
          <w:color w:val="auto"/>
        </w:rPr>
        <w:t>Intellectual Property</w:t>
      </w:r>
      <w:r>
        <w:rPr>
          <w:rFonts w:ascii="Arial" w:cs="Arial" w:eastAsia="Arial" w:hAnsi="Arial"/>
          <w:sz w:val="21"/>
          <w:szCs w:val="21"/>
          <w:color w:val="auto"/>
        </w:rPr>
        <w:t>. If the Executive creates, invents, designs, develops, contributes to or improves any works of authorship, inventions, intellectual property, materials, documents or other work product (including, without limitation, research, reports, software, databases, systems, applications, presentations, textual works, content or audiovisual materials) (“</w:t>
      </w:r>
      <w:r>
        <w:rPr>
          <w:rFonts w:ascii="Arial" w:cs="Arial" w:eastAsia="Arial" w:hAnsi="Arial"/>
          <w:sz w:val="21"/>
          <w:szCs w:val="21"/>
          <w:b w:val="1"/>
          <w:bCs w:val="1"/>
          <w:i w:val="1"/>
          <w:iCs w:val="1"/>
          <w:color w:val="auto"/>
        </w:rPr>
        <w:t>Works</w:t>
      </w:r>
      <w:r>
        <w:rPr>
          <w:rFonts w:ascii="Arial" w:cs="Arial" w:eastAsia="Arial" w:hAnsi="Arial"/>
          <w:sz w:val="21"/>
          <w:szCs w:val="21"/>
          <w:color w:val="auto"/>
        </w:rPr>
        <w:t>”), either alone or with third parties, at any time during the Executive’s employment by the Company Group and within the scope of such employment and/or with the use of any the Company Group resources or as the result of any work performed by the Executive for the Company Group (“</w:t>
      </w:r>
      <w:r>
        <w:rPr>
          <w:rFonts w:ascii="Arial" w:cs="Arial" w:eastAsia="Arial" w:hAnsi="Arial"/>
          <w:sz w:val="21"/>
          <w:szCs w:val="21"/>
          <w:b w:val="1"/>
          <w:bCs w:val="1"/>
          <w:i w:val="1"/>
          <w:iCs w:val="1"/>
          <w:color w:val="auto"/>
        </w:rPr>
        <w:t>Company Works</w:t>
      </w:r>
      <w:r>
        <w:rPr>
          <w:rFonts w:ascii="Arial" w:cs="Arial" w:eastAsia="Arial" w:hAnsi="Arial"/>
          <w:sz w:val="21"/>
          <w:szCs w:val="21"/>
          <w:color w:val="auto"/>
        </w:rPr>
        <w:t>”), the Executive shall promptly and fully disclose same to the Company and hereby unconditionally and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17 U.S.C. § 101) by the Executive for the Company.</w:t>
      </w:r>
    </w:p>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To the extent that the Works contain any inventions, developments, concepts, improvements, designs, discoveries, ideas, data, documentation, information, materials, programs, systems, techniques, trademarks, domain names, or works of authorship created by the Executive before the Executive was employed by the Company (the “</w:t>
      </w:r>
      <w:r>
        <w:rPr>
          <w:rFonts w:ascii="Arial" w:cs="Arial" w:eastAsia="Arial" w:hAnsi="Arial"/>
          <w:sz w:val="22"/>
          <w:szCs w:val="22"/>
          <w:b w:val="1"/>
          <w:bCs w:val="1"/>
          <w:i w:val="1"/>
          <w:iCs w:val="1"/>
          <w:color w:val="auto"/>
        </w:rPr>
        <w:t>Preexisting Works</w:t>
      </w:r>
      <w:r>
        <w:rPr>
          <w:rFonts w:ascii="Arial" w:cs="Arial" w:eastAsia="Arial" w:hAnsi="Arial"/>
          <w:sz w:val="22"/>
          <w:szCs w:val="22"/>
          <w:color w:val="auto"/>
        </w:rPr>
        <w:t>”), the Executive hereby grants the Company an irrevocable, perpetual, worldwide, royalty-free, non-exclusive license to use, practice, copy, distribute, publish, perform, display, modify, create derivative works of, and otherwise utilize the Preexisting Works for any purpose whatsoever.</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execute any necessary documents and to do all other lawfully permitted acts in connection with the foregoing.</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 Executive shall comply with all relevant policies and guidelines of the Company, including, without limitation, policies and guidelines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207" w:lineRule="exact"/>
        <w:rPr>
          <w:sz w:val="20"/>
          <w:szCs w:val="20"/>
          <w:color w:val="auto"/>
        </w:rPr>
      </w:pPr>
    </w:p>
    <w:p>
      <w:pPr>
        <w:jc w:val="both"/>
        <w:ind w:firstLine="366"/>
        <w:spacing w:after="0" w:line="286" w:lineRule="auto"/>
        <w:rPr>
          <w:sz w:val="20"/>
          <w:szCs w:val="20"/>
          <w:color w:val="auto"/>
        </w:rPr>
      </w:pPr>
      <w:r>
        <w:rPr>
          <w:rFonts w:ascii="Arial" w:cs="Arial" w:eastAsia="Arial" w:hAnsi="Arial"/>
          <w:sz w:val="19"/>
          <w:szCs w:val="19"/>
          <w:color w:val="auto"/>
        </w:rPr>
        <w:t>xii.</w:t>
      </w:r>
      <w:r>
        <w:rPr>
          <w:rFonts w:ascii="Arial" w:cs="Arial" w:eastAsia="Arial" w:hAnsi="Arial"/>
          <w:sz w:val="19"/>
          <w:szCs w:val="19"/>
          <w:i w:val="1"/>
          <w:iCs w:val="1"/>
          <w:color w:val="auto"/>
        </w:rPr>
        <w:t>Non-Competition.</w:t>
      </w:r>
      <w:r>
        <w:rPr>
          <w:rFonts w:ascii="Arial" w:cs="Arial" w:eastAsia="Arial" w:hAnsi="Arial"/>
          <w:sz w:val="19"/>
          <w:szCs w:val="19"/>
          <w:color w:val="auto"/>
        </w:rPr>
        <w:t xml:space="preserve"> In consideration of the payments, benefits and other obligations of the Company to the Executive pursuant to this Agreement, including, without limitation, the Company’s obligation to provide the Executive with Confidential Information pursuant to Section 9(a) hereof, and in order to protect such Confidential Information and preserve the goodwill of the Company Group, the Executive hereby covenants and agrees that, during the Employment Period and for a period of eighteen</w:t>
      </w:r>
    </w:p>
    <w:p>
      <w:pPr>
        <w:spacing w:after="0" w:line="3" w:lineRule="exact"/>
        <w:rPr>
          <w:sz w:val="20"/>
          <w:szCs w:val="20"/>
          <w:color w:val="auto"/>
        </w:rPr>
      </w:pPr>
    </w:p>
    <w:p>
      <w:pPr>
        <w:jc w:val="both"/>
        <w:ind w:firstLine="8"/>
        <w:spacing w:after="0" w:line="285" w:lineRule="auto"/>
        <w:tabs>
          <w:tab w:leader="none" w:pos="449" w:val="left"/>
        </w:tabs>
        <w:numPr>
          <w:ilvl w:val="0"/>
          <w:numId w:val="120"/>
        </w:numPr>
        <w:rPr>
          <w:rFonts w:ascii="Arial" w:cs="Arial" w:eastAsia="Arial" w:hAnsi="Arial"/>
          <w:sz w:val="19"/>
          <w:szCs w:val="19"/>
          <w:color w:val="auto"/>
        </w:rPr>
      </w:pPr>
      <w:r>
        <w:rPr>
          <w:rFonts w:ascii="Arial" w:cs="Arial" w:eastAsia="Arial" w:hAnsi="Arial"/>
          <w:sz w:val="19"/>
          <w:szCs w:val="19"/>
          <w:color w:val="auto"/>
        </w:rPr>
        <w:t>months following the Date of Termination (the “</w:t>
      </w:r>
      <w:r>
        <w:rPr>
          <w:rFonts w:ascii="Arial" w:cs="Arial" w:eastAsia="Arial" w:hAnsi="Arial"/>
          <w:sz w:val="19"/>
          <w:szCs w:val="19"/>
          <w:b w:val="1"/>
          <w:bCs w:val="1"/>
          <w:i w:val="1"/>
          <w:iCs w:val="1"/>
          <w:color w:val="auto"/>
        </w:rPr>
        <w:t>Restricted Period</w:t>
      </w:r>
      <w:r>
        <w:rPr>
          <w:rFonts w:ascii="Arial" w:cs="Arial" w:eastAsia="Arial" w:hAnsi="Arial"/>
          <w:sz w:val="19"/>
          <w:szCs w:val="19"/>
          <w:color w:val="auto"/>
        </w:rPr>
        <w:t>”), the Executive shall not, without the prior written consent of the Company, directly or indirectly, for the Executive or for others, as an owner, investor, partner, shareholder, agent, representative, employee, officer, director, consultant, contractor, lender or otherwise (except for owning an investment interest of less than two percent (2%) in a publicly-traded company), participate in any business engaged primarily in the retail sale of sporting goods and/or outdoor products, including but not limited to the following companies and any of their successors, affiliates, or subsidiaries: Dick’s Sporting Goods, Inc., The Sports Authority, Inc.; Cabela’s Inc.; Bass Pro Shops, Inc.; Gander Mountain Company/Gander Outdoors; Hibbett Sports, Inc; Big Five Sporting Goods, Champs Sporting Good, City Sports, Eastbay, Fanatics, Kansas Sampler, Lululemon Athletica, Rally House, REI Co-op, Scheels and Sportsmans Warehouse. This restriction does not include (i) multi-purpose retailers, such as Wal-Mart Stores, Inc. and Target Corp., where the sale of sporting goods and/or outdoor products by such retailer is less than 50% of such retailer’s total sales; or (ii) any business engaged primarily in the retail sale of sporting goods and/or outdoor products with total sales from all sources (including retail stores, on-line, subsidiaries and affiliates) of less than $250 million annually.</w:t>
      </w:r>
    </w:p>
    <w:p>
      <w:pPr>
        <w:spacing w:after="0" w:line="200" w:lineRule="exact"/>
        <w:rPr>
          <w:sz w:val="20"/>
          <w:szCs w:val="20"/>
          <w:color w:val="auto"/>
        </w:rPr>
      </w:pPr>
    </w:p>
    <w:p>
      <w:pPr>
        <w:spacing w:after="0" w:line="222"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22"/>
          <w:szCs w:val="22"/>
          <w:color w:val="auto"/>
        </w:rPr>
        <w:t>xiii.</w:t>
      </w:r>
      <w:r>
        <w:rPr>
          <w:rFonts w:ascii="Arial" w:cs="Arial" w:eastAsia="Arial" w:hAnsi="Arial"/>
          <w:sz w:val="22"/>
          <w:szCs w:val="22"/>
          <w:i w:val="1"/>
          <w:iCs w:val="1"/>
          <w:color w:val="auto"/>
        </w:rPr>
        <w:t>Non-Solicitation; No-Hire.</w:t>
      </w:r>
      <w:r>
        <w:rPr>
          <w:rFonts w:ascii="Arial" w:cs="Arial" w:eastAsia="Arial" w:hAnsi="Arial"/>
          <w:sz w:val="22"/>
          <w:szCs w:val="22"/>
          <w:color w:val="auto"/>
        </w:rPr>
        <w:t xml:space="preserve"> In further consideration of the payments, benefits and other obligations of the Company to the Executive pursuant to this Agreement, the Executive hereby covenants and agrees that, during the Employment Period and the Restricted Period,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57" w:name="page158"/>
    <w:bookmarkEnd w:id="157"/>
    <w:p>
      <w:pPr>
        <w:spacing w:after="0" w:line="263" w:lineRule="auto"/>
        <w:rPr>
          <w:sz w:val="20"/>
          <w:szCs w:val="20"/>
          <w:color w:val="auto"/>
        </w:rPr>
      </w:pPr>
      <w:r>
        <w:rPr>
          <w:rFonts w:ascii="Arial" w:cs="Arial" w:eastAsia="Arial" w:hAnsi="Arial"/>
          <w:sz w:val="22"/>
          <w:szCs w:val="22"/>
          <w:color w:val="auto"/>
        </w:rPr>
        <w:t>Executive will not, directly or indirectly, for the Executive’s benefit or for the benefit of any other person, firm or entity, do any of the following:</w:t>
      </w:r>
    </w:p>
    <w:p>
      <w:pPr>
        <w:spacing w:after="0" w:line="175" w:lineRule="exact"/>
        <w:rPr>
          <w:sz w:val="20"/>
          <w:szCs w:val="20"/>
          <w:color w:val="auto"/>
        </w:rPr>
      </w:pPr>
    </w:p>
    <w:p>
      <w:pPr>
        <w:jc w:val="both"/>
        <w:ind w:left="660" w:firstLine="644"/>
        <w:spacing w:after="0" w:line="250" w:lineRule="auto"/>
        <w:tabs>
          <w:tab w:leader="none" w:pos="193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Solicit on the Executive’s own behalf or on behalf of another person or entity, the employment or services of any person who was known to be employed, in a salaried position, by or was a known substantially full-time consultant or substantially full-time independent contractor to any member of the Company Group upon the Date of Termination, or within six (6) months prior thereto;</w:t>
      </w:r>
    </w:p>
    <w:p>
      <w:pPr>
        <w:spacing w:after="0" w:line="187" w:lineRule="exact"/>
        <w:rPr>
          <w:rFonts w:ascii="Arial" w:cs="Arial" w:eastAsia="Arial" w:hAnsi="Arial"/>
          <w:sz w:val="22"/>
          <w:szCs w:val="22"/>
          <w:color w:val="auto"/>
        </w:rPr>
      </w:pPr>
    </w:p>
    <w:p>
      <w:pPr>
        <w:ind w:left="660" w:firstLine="644"/>
        <w:spacing w:after="0" w:line="263" w:lineRule="auto"/>
        <w:tabs>
          <w:tab w:leader="none" w:pos="194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Hire any person who was employed by the Company Group in a salaried position at any time during the six (6) month period immediately prior to the Date of Termination; or</w:t>
      </w:r>
    </w:p>
    <w:p>
      <w:pPr>
        <w:spacing w:after="0" w:line="174" w:lineRule="exact"/>
        <w:rPr>
          <w:rFonts w:ascii="Arial" w:cs="Arial" w:eastAsia="Arial" w:hAnsi="Arial"/>
          <w:sz w:val="22"/>
          <w:szCs w:val="22"/>
          <w:color w:val="auto"/>
        </w:rPr>
      </w:pPr>
    </w:p>
    <w:p>
      <w:pPr>
        <w:jc w:val="both"/>
        <w:ind w:left="660" w:firstLine="644"/>
        <w:spacing w:after="0" w:line="297" w:lineRule="auto"/>
        <w:tabs>
          <w:tab w:leader="none" w:pos="194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 or the relationship with any such customer, vendor, supplier, licensee, licensor or other business relation of the Company Group that existed prior to the Date of Termination.</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Notwithstanding the foregoing, the restrictions in this Section 9(d) shall not apply with regard to general solicitations of the Executive that are not specifically directed to employees, consultants or independent contractors of any member of the Company Group.</w:t>
      </w:r>
    </w:p>
    <w:p>
      <w:pPr>
        <w:spacing w:after="0" w:line="212" w:lineRule="exact"/>
        <w:rPr>
          <w:sz w:val="20"/>
          <w:szCs w:val="20"/>
          <w:color w:val="auto"/>
        </w:rPr>
      </w:pPr>
    </w:p>
    <w:p>
      <w:pPr>
        <w:jc w:val="both"/>
        <w:ind w:firstLine="318"/>
        <w:spacing w:after="0" w:line="286" w:lineRule="auto"/>
        <w:rPr>
          <w:sz w:val="20"/>
          <w:szCs w:val="20"/>
          <w:color w:val="auto"/>
        </w:rPr>
      </w:pPr>
      <w:r>
        <w:rPr>
          <w:rFonts w:ascii="Arial" w:cs="Arial" w:eastAsia="Arial" w:hAnsi="Arial"/>
          <w:sz w:val="19"/>
          <w:szCs w:val="19"/>
          <w:color w:val="auto"/>
        </w:rPr>
        <w:t>xiv.</w:t>
      </w:r>
      <w:r>
        <w:rPr>
          <w:rFonts w:ascii="Arial" w:cs="Arial" w:eastAsia="Arial" w:hAnsi="Arial"/>
          <w:sz w:val="19"/>
          <w:szCs w:val="19"/>
          <w:i w:val="1"/>
          <w:iCs w:val="1"/>
          <w:color w:val="auto"/>
        </w:rPr>
        <w:t>Enforcement.</w:t>
      </w:r>
      <w:r>
        <w:rPr>
          <w:rFonts w:ascii="Arial" w:cs="Arial" w:eastAsia="Arial" w:hAnsi="Arial"/>
          <w:sz w:val="19"/>
          <w:szCs w:val="19"/>
          <w:color w:val="auto"/>
        </w:rPr>
        <w:t xml:space="preserve"> The Executive and the Company agree and acknowledge that the Company has a substantial and legitimate interest in protecting the Company’s Confidential Information and goodwill. The Executive and the Company further agree and acknowledge that the provisions of this Section 9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9 are reasonably necessary for the protection of the Company Group’s legitimate business interests and are not oppressive or injurious to the public interest. The Executive agrees that in the event of a breach or threatened breach of any of the provisions of this Section 9 the Company shall be entitled to injunctive relief against the Executive’s activities to the extent allowed by law, and the Executive waives any requirement for the posting of any bond by the Company in connection with such action. In addition, the Company shall be entitled to immediately cease paying any amounts remaining due pursuant to Section 8 hereof (other than the Accrued Salary, Prior Year Bonus, if any, and Accrued Obligations), in the event that the Executive has violated any provision of Section 9. In the event that any court determines that any restriction in this Agreement constitutes an 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58" w:name="page159"/>
    <w:bookmarkEnd w:id="158"/>
    <w:p>
      <w:pPr>
        <w:spacing w:after="0"/>
        <w:rPr>
          <w:sz w:val="20"/>
          <w:szCs w:val="20"/>
          <w:color w:val="auto"/>
        </w:rPr>
      </w:pPr>
      <w:r>
        <w:rPr>
          <w:rFonts w:ascii="Arial" w:cs="Arial" w:eastAsia="Arial" w:hAnsi="Arial"/>
          <w:sz w:val="19"/>
          <w:szCs w:val="19"/>
          <w:color w:val="auto"/>
        </w:rPr>
        <w:t>9(a), (b), (c) or (d) would cause injury to the Company for which monetary damages alone would not be a sufficient remedy.</w:t>
      </w:r>
    </w:p>
    <w:p>
      <w:pPr>
        <w:spacing w:after="0" w:line="254"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20"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21"/>
          <w:szCs w:val="21"/>
          <w:color w:val="auto"/>
        </w:rPr>
        <w:t>xv.</w:t>
      </w:r>
      <w:r>
        <w:rPr>
          <w:rFonts w:ascii="Arial" w:cs="Arial" w:eastAsia="Arial" w:hAnsi="Arial"/>
          <w:sz w:val="21"/>
          <w:szCs w:val="21"/>
          <w:u w:val="single" w:color="auto"/>
          <w:color w:val="auto"/>
        </w:rPr>
        <w:t>Compliance With 409A</w:t>
      </w:r>
      <w:r>
        <w:rPr>
          <w:rFonts w:ascii="Arial" w:cs="Arial" w:eastAsia="Arial" w:hAnsi="Arial"/>
          <w:sz w:val="21"/>
          <w:szCs w:val="21"/>
          <w:color w:val="auto"/>
        </w:rPr>
        <w:t xml:space="preserve">.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 tax, the Company shall, after consulting with the Executive, reform such provision to comply with or avoid application of Section 409A; </w:t>
      </w:r>
      <w:r>
        <w:rPr>
          <w:rFonts w:ascii="Arial" w:cs="Arial" w:eastAsia="Arial" w:hAnsi="Arial"/>
          <w:sz w:val="21"/>
          <w:szCs w:val="21"/>
          <w:u w:val="single" w:color="auto"/>
          <w:color w:val="auto"/>
        </w:rPr>
        <w:t>provided</w:t>
      </w:r>
      <w:r>
        <w:rPr>
          <w:rFonts w:ascii="Arial" w:cs="Arial" w:eastAsia="Arial" w:hAnsi="Arial"/>
          <w:sz w:val="21"/>
          <w:szCs w:val="21"/>
          <w:color w:val="auto"/>
        </w:rPr>
        <w:t>, that the Company agrees to maintain, to the maximum extent practicable, the original intent and economic benefit to the Executive of the applicable provision without violating the provisions of Section 409A.</w:t>
      </w:r>
    </w:p>
    <w:p>
      <w:pPr>
        <w:spacing w:after="0" w:line="183" w:lineRule="exact"/>
        <w:rPr>
          <w:sz w:val="20"/>
          <w:szCs w:val="20"/>
          <w:color w:val="auto"/>
        </w:rPr>
      </w:pPr>
    </w:p>
    <w:p>
      <w:pPr>
        <w:jc w:val="both"/>
        <w:ind w:firstLine="318"/>
        <w:spacing w:after="0" w:line="285" w:lineRule="auto"/>
        <w:rPr>
          <w:sz w:val="20"/>
          <w:szCs w:val="20"/>
          <w:color w:val="auto"/>
        </w:rPr>
      </w:pPr>
      <w:r>
        <w:rPr>
          <w:rFonts w:ascii="Arial" w:cs="Arial" w:eastAsia="Arial" w:hAnsi="Arial"/>
          <w:sz w:val="19"/>
          <w:szCs w:val="19"/>
          <w:color w:val="auto"/>
        </w:rPr>
        <w:t>xvi.</w:t>
      </w:r>
      <w:r>
        <w:rPr>
          <w:rFonts w:ascii="Arial" w:cs="Arial" w:eastAsia="Arial" w:hAnsi="Arial"/>
          <w:sz w:val="19"/>
          <w:szCs w:val="19"/>
          <w:u w:val="single" w:color="auto"/>
          <w:color w:val="auto"/>
        </w:rPr>
        <w:t>Six-month Wait for Specified Employees</w:t>
      </w:r>
      <w:r>
        <w:rPr>
          <w:rFonts w:ascii="Arial" w:cs="Arial" w:eastAsia="Arial" w:hAnsi="Arial"/>
          <w:sz w:val="19"/>
          <w:szCs w:val="19"/>
          <w:color w:val="auto"/>
        </w:rPr>
        <w:t>. Notwithstanding any provision to the contrary in this Agreement, if the Executive is deemed on the Date of Termination to be a Specified Employee and the Company is a public company, then with regard to any payment or the provision of any benefit that is required to be delayed in compliance with Section 409A(a)(2)(B) of the Code (as defined below), such payment or benefit shall not be made or provided (subject to the last sentence hereof) prior to the earlier of (i) the expiration of the six (6) month period measured from the date of the Executive’s Separation From Service or</w:t>
      </w:r>
    </w:p>
    <w:p>
      <w:pPr>
        <w:spacing w:after="0" w:line="3" w:lineRule="exact"/>
        <w:rPr>
          <w:sz w:val="20"/>
          <w:szCs w:val="20"/>
          <w:color w:val="auto"/>
        </w:rPr>
      </w:pPr>
    </w:p>
    <w:p>
      <w:pPr>
        <w:jc w:val="both"/>
        <w:ind w:firstLine="8"/>
        <w:spacing w:after="0" w:line="285" w:lineRule="auto"/>
        <w:tabs>
          <w:tab w:leader="none" w:pos="34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date of the Executive’s death (such relevant period, the “</w:t>
      </w:r>
      <w:r>
        <w:rPr>
          <w:rFonts w:ascii="Arial" w:cs="Arial" w:eastAsia="Arial" w:hAnsi="Arial"/>
          <w:sz w:val="19"/>
          <w:szCs w:val="19"/>
          <w:b w:val="1"/>
          <w:bCs w:val="1"/>
          <w:i w:val="1"/>
          <w:iCs w:val="1"/>
          <w:color w:val="auto"/>
        </w:rPr>
        <w:t>Delay Period</w:t>
      </w:r>
      <w:r>
        <w:rPr>
          <w:rFonts w:ascii="Arial" w:cs="Arial" w:eastAsia="Arial" w:hAnsi="Arial"/>
          <w:sz w:val="19"/>
          <w:szCs w:val="19"/>
          <w:color w:val="auto"/>
        </w:rPr>
        <w:t>”). Upon the expiration of the Delay Period, all payments and benefits delayed pursuant to this Section 10(b)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the Executive, the Executive shall pay the full cost of premiums for such welfare benefits during the Delay Period and the Company shall pay, or shall cause Academy to pay, the Executive an amount equal to the amount of such premiums paid by the Executive during the Delay Period promptly after its conclusion. For purposes of this Agreement, the terms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shall have the meanings ascribed to those terms in Section 409A, the term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means Section 409A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and the regulations issued thereunder by the Internal Revenue Service and the Department of Treasury.</w:t>
      </w:r>
    </w:p>
    <w:p>
      <w:pPr>
        <w:spacing w:after="0" w:line="163" w:lineRule="exact"/>
        <w:rPr>
          <w:sz w:val="20"/>
          <w:szCs w:val="20"/>
          <w:color w:val="auto"/>
        </w:rPr>
      </w:pPr>
    </w:p>
    <w:p>
      <w:pPr>
        <w:jc w:val="both"/>
        <w:ind w:firstLine="258"/>
        <w:spacing w:after="0" w:line="248" w:lineRule="auto"/>
        <w:rPr>
          <w:sz w:val="20"/>
          <w:szCs w:val="20"/>
          <w:color w:val="auto"/>
        </w:rPr>
      </w:pPr>
      <w:r>
        <w:rPr>
          <w:rFonts w:ascii="Arial" w:cs="Arial" w:eastAsia="Arial" w:hAnsi="Arial"/>
          <w:sz w:val="22"/>
          <w:szCs w:val="22"/>
          <w:color w:val="auto"/>
        </w:rPr>
        <w:t>xvii.</w:t>
      </w:r>
      <w:r>
        <w:rPr>
          <w:rFonts w:ascii="Arial" w:cs="Arial" w:eastAsia="Arial" w:hAnsi="Arial"/>
          <w:sz w:val="22"/>
          <w:szCs w:val="22"/>
          <w:u w:val="single" w:color="auto"/>
          <w:color w:val="auto"/>
        </w:rPr>
        <w:t>Termination as a Separation from Service</w:t>
      </w:r>
      <w:r>
        <w:rPr>
          <w:rFonts w:ascii="Arial" w:cs="Arial" w:eastAsia="Arial" w:hAnsi="Arial"/>
          <w:sz w:val="22"/>
          <w:szCs w:val="22"/>
          <w:color w:val="auto"/>
        </w:rPr>
        <w:t>. A termination of employment shall not be deemed to have occurred for purposes of Sections 1 and 8 hereof and any other provision of this Agreement providing for the payment of any amounts or benefits subject to Section 409A upon or following a termination of employment unless such termination is also a Separation From Service and, for purposes of any such provision of this Agreement, references to a “termination,” “termination of employment” or like terms shall mean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59" w:name="page160"/>
    <w:bookmarkEnd w:id="159"/>
    <w:p>
      <w:pPr>
        <w:jc w:val="both"/>
        <w:ind w:firstLine="198"/>
        <w:spacing w:after="0" w:line="259" w:lineRule="auto"/>
        <w:rPr>
          <w:sz w:val="20"/>
          <w:szCs w:val="20"/>
          <w:color w:val="auto"/>
        </w:rPr>
      </w:pPr>
      <w:r>
        <w:rPr>
          <w:rFonts w:ascii="Arial" w:cs="Arial" w:eastAsia="Arial" w:hAnsi="Arial"/>
          <w:sz w:val="21"/>
          <w:szCs w:val="21"/>
          <w:color w:val="auto"/>
        </w:rPr>
        <w:t>xviii.</w:t>
      </w:r>
      <w:r>
        <w:rPr>
          <w:rFonts w:ascii="Arial" w:cs="Arial" w:eastAsia="Arial" w:hAnsi="Arial"/>
          <w:sz w:val="21"/>
          <w:szCs w:val="21"/>
          <w:u w:val="single" w:color="auto"/>
          <w:color w:val="auto"/>
        </w:rPr>
        <w:t>Payment Period for Reimbursements, In-Kind Benefits and Tax Gross-Up Payments</w:t>
      </w:r>
      <w:r>
        <w:rPr>
          <w:rFonts w:ascii="Arial" w:cs="Arial" w:eastAsia="Arial" w:hAnsi="Arial"/>
          <w:sz w:val="21"/>
          <w:szCs w:val="21"/>
          <w:color w:val="auto"/>
        </w:rPr>
        <w:t xml:space="preserve">. All reimbursements for costs and expenses pursuant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Arial" w:cs="Arial" w:eastAsia="Arial" w:hAnsi="Arial"/>
          <w:sz w:val="21"/>
          <w:szCs w:val="21"/>
          <w:u w:val="single" w:color="auto"/>
          <w:color w:val="auto"/>
        </w:rPr>
        <w:t>provided</w:t>
      </w:r>
      <w:r>
        <w:rPr>
          <w:rFonts w:ascii="Arial" w:cs="Arial" w:eastAsia="Arial" w:hAnsi="Arial"/>
          <w:sz w:val="21"/>
          <w:szCs w:val="21"/>
          <w:color w:val="auto"/>
        </w:rPr>
        <w:t>, that the foregoing clause (ii) shall not be violated with regard to expenses reimbursed under any arrangement covered by Section 105(b) of the Code solely because such expenses are subject to a limit related to the period the arrangement is in effect.</w:t>
      </w:r>
    </w:p>
    <w:p>
      <w:pPr>
        <w:spacing w:after="0" w:line="17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21"/>
          <w:szCs w:val="21"/>
          <w:color w:val="auto"/>
        </w:rPr>
        <w:t>xix.</w:t>
      </w:r>
      <w:r>
        <w:rPr>
          <w:rFonts w:ascii="Arial" w:cs="Arial" w:eastAsia="Arial" w:hAnsi="Arial"/>
          <w:sz w:val="21"/>
          <w:szCs w:val="21"/>
          <w:u w:val="single" w:color="auto"/>
          <w:color w:val="auto"/>
        </w:rPr>
        <w:t>Payments Within Specified Number of Days</w:t>
      </w:r>
      <w:r>
        <w:rPr>
          <w:rFonts w:ascii="Arial" w:cs="Arial" w:eastAsia="Arial" w:hAnsi="Arial"/>
          <w:sz w:val="21"/>
          <w:szCs w:val="21"/>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67"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22"/>
          <w:szCs w:val="22"/>
          <w:color w:val="auto"/>
        </w:rPr>
        <w:t>xx.</w:t>
      </w:r>
      <w:r>
        <w:rPr>
          <w:rFonts w:ascii="Arial" w:cs="Arial" w:eastAsia="Arial" w:hAnsi="Arial"/>
          <w:sz w:val="22"/>
          <w:szCs w:val="22"/>
          <w:u w:val="single" w:color="auto"/>
          <w:color w:val="auto"/>
        </w:rPr>
        <w:t>Installments as Separate Payment</w:t>
      </w:r>
      <w:r>
        <w:rPr>
          <w:rFonts w:ascii="Arial" w:cs="Arial" w:eastAsia="Arial" w:hAnsi="Arial"/>
          <w:sz w:val="22"/>
          <w:szCs w:val="22"/>
          <w:color w:val="auto"/>
        </w:rPr>
        <w:t>. If under this Agreement, an amount is to be paid in two or more installments, for purposes of Section 409A, each installment shall be treated as a separate payment.</w:t>
      </w:r>
    </w:p>
    <w:p>
      <w:pPr>
        <w:spacing w:after="0" w:line="175"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Successors; Binding Agreement</w:t>
      </w:r>
      <w:r>
        <w:rPr>
          <w:rFonts w:ascii="Arial" w:cs="Arial" w:eastAsia="Arial" w:hAnsi="Arial"/>
          <w:sz w:val="22"/>
          <w:szCs w:val="22"/>
          <w:color w:val="auto"/>
        </w:rPr>
        <w:t>.</w:t>
      </w:r>
    </w:p>
    <w:p>
      <w:pPr>
        <w:spacing w:after="0" w:line="220" w:lineRule="exact"/>
        <w:rPr>
          <w:sz w:val="20"/>
          <w:szCs w:val="20"/>
          <w:color w:val="auto"/>
        </w:rPr>
      </w:pPr>
    </w:p>
    <w:p>
      <w:pPr>
        <w:jc w:val="both"/>
        <w:ind w:firstLine="318"/>
        <w:spacing w:after="0" w:line="287" w:lineRule="auto"/>
        <w:rPr>
          <w:sz w:val="20"/>
          <w:szCs w:val="20"/>
          <w:color w:val="auto"/>
        </w:rPr>
      </w:pPr>
      <w:r>
        <w:rPr>
          <w:rFonts w:ascii="Arial" w:cs="Arial" w:eastAsia="Arial" w:hAnsi="Arial"/>
          <w:sz w:val="19"/>
          <w:szCs w:val="19"/>
          <w:color w:val="auto"/>
        </w:rPr>
        <w:t>xxi.</w:t>
      </w:r>
      <w:r>
        <w:rPr>
          <w:rFonts w:ascii="Arial" w:cs="Arial" w:eastAsia="Arial" w:hAnsi="Arial"/>
          <w:sz w:val="19"/>
          <w:szCs w:val="19"/>
          <w:i w:val="1"/>
          <w:iCs w:val="1"/>
          <w:color w:val="auto"/>
        </w:rPr>
        <w:t>Company’s Successors.</w:t>
      </w:r>
      <w:r>
        <w:rPr>
          <w:rFonts w:ascii="Arial" w:cs="Arial" w:eastAsia="Arial" w:hAnsi="Arial"/>
          <w:sz w:val="19"/>
          <w:szCs w:val="19"/>
          <w:color w:val="auto"/>
        </w:rPr>
        <w:t xml:space="preserve"> The Company and the Parent will require any successor (whether direct or indirect, by purchase, merger, consolidation or otherwise) to all or 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terminated the Executive’s employment for Good Reason, except that for purposes of implementing the foregoing, the date on which any such succession becomes effective shall be deemed the Date of Termination. As used in this Section 11(a),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11 or which otherwise becomes bound by all the terms and provisions of this Agreement by operation of law or otherwise.</w:t>
      </w:r>
    </w:p>
    <w:p>
      <w:pPr>
        <w:spacing w:after="0" w:line="159" w:lineRule="exact"/>
        <w:rPr>
          <w:sz w:val="20"/>
          <w:szCs w:val="20"/>
          <w:color w:val="auto"/>
        </w:rPr>
      </w:pPr>
    </w:p>
    <w:p>
      <w:pPr>
        <w:jc w:val="both"/>
        <w:ind w:firstLine="258"/>
        <w:spacing w:after="0" w:line="302" w:lineRule="auto"/>
        <w:rPr>
          <w:sz w:val="20"/>
          <w:szCs w:val="20"/>
          <w:color w:val="auto"/>
        </w:rPr>
      </w:pPr>
      <w:r>
        <w:rPr>
          <w:rFonts w:ascii="Arial" w:cs="Arial" w:eastAsia="Arial" w:hAnsi="Arial"/>
          <w:sz w:val="19"/>
          <w:szCs w:val="19"/>
          <w:color w:val="auto"/>
        </w:rPr>
        <w:t>xxii.</w:t>
      </w:r>
      <w:r>
        <w:rPr>
          <w:rFonts w:ascii="Arial" w:cs="Arial" w:eastAsia="Arial" w:hAnsi="Arial"/>
          <w:sz w:val="19"/>
          <w:szCs w:val="19"/>
          <w:i w:val="1"/>
          <w:iCs w:val="1"/>
          <w:color w:val="auto"/>
        </w:rPr>
        <w:t>Executive’s Successors.</w:t>
      </w:r>
      <w:r>
        <w:rPr>
          <w:rFonts w:ascii="Arial" w:cs="Arial" w:eastAsia="Arial" w:hAnsi="Arial"/>
          <w:sz w:val="19"/>
          <w:szCs w:val="19"/>
          <w:color w:val="auto"/>
        </w:rPr>
        <w:t xml:space="preserve"> This Agreement and all rights of the Executive hereunder shall inure to the benefit of and be enforceable by the Executive’s personal or legal representatives, executors, administrators, successors, heirs, distributees, devisees and legatees. If the Executive should die while any amounts would still be payable to the Executive hereunder if the Executive had continued to live or any amount is payable under this Agreement as a result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60" w:name="page161"/>
    <w:bookmarkEnd w:id="160"/>
    <w:p>
      <w:pPr>
        <w:ind w:right="20"/>
        <w:spacing w:after="0" w:line="343" w:lineRule="auto"/>
        <w:rPr>
          <w:sz w:val="20"/>
          <w:szCs w:val="20"/>
          <w:color w:val="auto"/>
        </w:rPr>
      </w:pPr>
      <w:r>
        <w:rPr>
          <w:rFonts w:ascii="Arial" w:cs="Arial" w:eastAsia="Arial" w:hAnsi="Arial"/>
          <w:sz w:val="19"/>
          <w:szCs w:val="19"/>
          <w:color w:val="auto"/>
        </w:rPr>
        <w:t>Executive’s death, all such amounts unless otherwise provided herein shall be paid in accordance with the terms of this Agreement to the Executive’s devisee, legatee or other designee or, if there is no such designee, to the Executive’s estate.</w:t>
      </w:r>
    </w:p>
    <w:p>
      <w:pPr>
        <w:spacing w:after="0" w:line="104" w:lineRule="exact"/>
        <w:rPr>
          <w:sz w:val="20"/>
          <w:szCs w:val="20"/>
          <w:color w:val="auto"/>
        </w:rPr>
      </w:pPr>
    </w:p>
    <w:p>
      <w:pPr>
        <w:jc w:val="both"/>
        <w:ind w:firstLine="656"/>
        <w:spacing w:after="0" w:line="312" w:lineRule="auto"/>
        <w:tabs>
          <w:tab w:leader="none" w:pos="1296"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For the purposes of this Agreement, notices, demands and all other communications provided for in this Agreement shall be in writing and shall be deemed to have been duly given when delivered or (unless otherwise specified) mailed by United States certified or registered mail, return receipt requested, postage prepaid, addressed as follows:</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Executive, to the last address shown on records of the Company;</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or the Parent: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Academy Managing Co., L.L.C.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1800 North Mason Road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Katy, Texas 77449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192" w:lineRule="exact"/>
        <w:rPr>
          <w:sz w:val="20"/>
          <w:szCs w:val="20"/>
          <w:color w:val="auto"/>
        </w:rPr>
      </w:pPr>
    </w:p>
    <w:p>
      <w:pPr>
        <w:jc w:val="both"/>
        <w:ind w:firstLine="656"/>
        <w:spacing w:after="0" w:line="292" w:lineRule="auto"/>
        <w:tabs>
          <w:tab w:leader="none" w:pos="1296" w:val="left"/>
        </w:tabs>
        <w:numPr>
          <w:ilvl w:val="0"/>
          <w:numId w:val="126"/>
        </w:numPr>
        <w:rPr>
          <w:rFonts w:ascii="Arial" w:cs="Arial" w:eastAsia="Arial" w:hAnsi="Arial"/>
          <w:sz w:val="19"/>
          <w:szCs w:val="19"/>
          <w:color w:val="auto"/>
        </w:rPr>
      </w:pPr>
      <w:r>
        <w:rPr>
          <w:rFonts w:ascii="Arial" w:cs="Arial" w:eastAsia="Arial" w:hAnsi="Arial"/>
          <w:sz w:val="19"/>
          <w:szCs w:val="19"/>
          <w:u w:val="single" w:color="auto"/>
          <w:color w:val="auto"/>
        </w:rPr>
        <w:t>Amendment or Modification; Waiver</w:t>
      </w:r>
      <w:r>
        <w:rPr>
          <w:rFonts w:ascii="Arial" w:cs="Arial" w:eastAsia="Arial" w:hAnsi="Arial"/>
          <w:sz w:val="19"/>
          <w:szCs w:val="19"/>
          <w:color w:val="auto"/>
        </w:rPr>
        <w:t>. No provisions of this Agreement may be modified, waived or discharged unless such waiver, modification or discharge is agreed to in writing signed by the Executive and such officer of the Company as may be specifically designated by the Board or a compensation committee thereof.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50" w:lineRule="exact"/>
        <w:rPr>
          <w:rFonts w:ascii="Arial" w:cs="Arial" w:eastAsia="Arial" w:hAnsi="Arial"/>
          <w:sz w:val="19"/>
          <w:szCs w:val="19"/>
          <w:color w:val="auto"/>
        </w:rPr>
      </w:pPr>
    </w:p>
    <w:p>
      <w:pPr>
        <w:ind w:left="1300" w:hanging="644"/>
        <w:spacing w:after="0"/>
        <w:tabs>
          <w:tab w:leader="none" w:pos="130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14" w:lineRule="exact"/>
        <w:rPr>
          <w:sz w:val="20"/>
          <w:szCs w:val="20"/>
          <w:color w:val="auto"/>
        </w:rPr>
      </w:pPr>
    </w:p>
    <w:p>
      <w:pPr>
        <w:jc w:val="both"/>
        <w:ind w:firstLine="198"/>
        <w:spacing w:after="0" w:line="349" w:lineRule="auto"/>
        <w:rPr>
          <w:sz w:val="20"/>
          <w:szCs w:val="20"/>
          <w:color w:val="auto"/>
        </w:rPr>
      </w:pPr>
      <w:r>
        <w:rPr>
          <w:rFonts w:ascii="Arial" w:cs="Arial" w:eastAsia="Arial" w:hAnsi="Arial"/>
          <w:sz w:val="19"/>
          <w:szCs w:val="19"/>
          <w:color w:val="auto"/>
        </w:rPr>
        <w:t>xxiii.</w:t>
      </w:r>
      <w:r>
        <w:rPr>
          <w:rFonts w:ascii="Arial" w:cs="Arial" w:eastAsia="Arial" w:hAnsi="Arial"/>
          <w:sz w:val="19"/>
          <w:szCs w:val="19"/>
          <w:b w:val="1"/>
          <w:bCs w:val="1"/>
          <w:color w:val="auto"/>
        </w:rPr>
        <w:t>the Parties agree to submit ALL disputes and/or actions regarding this agreement to the exclusive jurisdiction of</w:t>
      </w:r>
      <w:r>
        <w:rPr>
          <w:rFonts w:ascii="Arial" w:cs="Arial" w:eastAsia="Arial" w:hAnsi="Arial"/>
          <w:sz w:val="19"/>
          <w:szCs w:val="19"/>
          <w:color w:val="auto"/>
        </w:rPr>
        <w:t xml:space="preserve"> </w:t>
      </w:r>
      <w:r>
        <w:rPr>
          <w:rFonts w:ascii="Arial" w:cs="Arial" w:eastAsia="Arial" w:hAnsi="Arial"/>
          <w:sz w:val="19"/>
          <w:szCs w:val="19"/>
          <w:b w:val="1"/>
          <w:bCs w:val="1"/>
          <w:color w:val="auto"/>
        </w:rPr>
        <w:t>the state or federal courts in Harris County, Texas. EACH OF THE PARTIES waiveS any rights to a trial by jury.</w:t>
      </w:r>
    </w:p>
    <w:p>
      <w:pPr>
        <w:spacing w:after="0" w:line="94" w:lineRule="exact"/>
        <w:rPr>
          <w:sz w:val="20"/>
          <w:szCs w:val="20"/>
          <w:color w:val="auto"/>
        </w:rPr>
      </w:pPr>
    </w:p>
    <w:p>
      <w:pPr>
        <w:jc w:val="both"/>
        <w:ind w:right="20" w:firstLine="210"/>
        <w:spacing w:after="0" w:line="252" w:lineRule="auto"/>
        <w:rPr>
          <w:sz w:val="20"/>
          <w:szCs w:val="20"/>
          <w:color w:val="auto"/>
        </w:rPr>
      </w:pPr>
      <w:r>
        <w:rPr>
          <w:rFonts w:ascii="Arial" w:cs="Arial" w:eastAsia="Arial" w:hAnsi="Arial"/>
          <w:sz w:val="22"/>
          <w:szCs w:val="22"/>
          <w:color w:val="auto"/>
        </w:rPr>
        <w:t>xxiv.</w:t>
      </w:r>
      <w:r>
        <w:rPr>
          <w:rFonts w:ascii="Arial" w:cs="Arial" w:eastAsia="Arial" w:hAnsi="Arial"/>
          <w:sz w:val="22"/>
          <w:szCs w:val="22"/>
          <w:b w:val="1"/>
          <w:bCs w:val="1"/>
          <w:color w:val="auto"/>
        </w:rPr>
        <w:t>Except where injunctive or other EMERGENCY relief is sought, the Parties agree that, as a condition precedent to</w:t>
      </w:r>
      <w:r>
        <w:rPr>
          <w:rFonts w:ascii="Arial" w:cs="Arial" w:eastAsia="Arial" w:hAnsi="Arial"/>
          <w:sz w:val="22"/>
          <w:szCs w:val="22"/>
          <w:color w:val="auto"/>
        </w:rPr>
        <w:t xml:space="preserve"> </w:t>
      </w:r>
      <w:r>
        <w:rPr>
          <w:rFonts w:ascii="Arial" w:cs="Arial" w:eastAsia="Arial" w:hAnsi="Arial"/>
          <w:sz w:val="22"/>
          <w:szCs w:val="22"/>
          <w:b w:val="1"/>
          <w:bCs w:val="1"/>
          <w:color w:val="auto"/>
        </w:rPr>
        <w:t>any action regarding disputes arising under this Agreement, such disputes shall first be submitted to mediation before a professional mediator selected by the Parties, at a mutually agreed time and place, and with the mediator’s fees split equally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61" w:name="page162"/>
    <w:bookmarkEnd w:id="161"/>
    <w:p>
      <w:pPr>
        <w:ind w:right="20" w:firstLine="656"/>
        <w:spacing w:after="0" w:line="263" w:lineRule="auto"/>
        <w:tabs>
          <w:tab w:leader="none" w:pos="1296"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validity, interpretation, construction and performance of this Agreement shall be governed by the laws of the State of Texas without regard to its conflicts of law principles.</w:t>
      </w:r>
    </w:p>
    <w:p>
      <w:pPr>
        <w:spacing w:after="0" w:line="174"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All references to sections of any statute shall be deemed also to refer to any successor provisions to such sections. The obligations of the parties under Sections 5, 8, 9, 10, 11, 12, 14, and 15 hereof shall survive the expiration of the Employment Period and the termination of this Agreement. The compensation and benefits payable to the Executive or the Executive’s beneficiary under Section 8 of this Agreement shall be in lieu of any other severance benefits, if any, to which the Executive may otherwise be entitled upon the Executive’s termination of employment under any severance plan, program, policy or arrangement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compensation and benefits shall not be in lieu of any compensation and benefits provided under any change of control agreement or other agreement providing any retention, incentive, or other similar bonus to the Executive, including if such retention, incentive, or other similar bonus becomes payable upon or in connection with the Executive’s termination of employment or resignation.</w:t>
      </w:r>
    </w:p>
    <w:p>
      <w:pPr>
        <w:spacing w:after="0" w:line="156"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or provisions of this Agreement shall not affect the validity or enforceability of any other provision 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91" w:lineRule="exact"/>
        <w:rPr>
          <w:rFonts w:ascii="Arial" w:cs="Arial" w:eastAsia="Arial" w:hAnsi="Arial"/>
          <w:sz w:val="22"/>
          <w:szCs w:val="22"/>
          <w:color w:val="auto"/>
        </w:rPr>
      </w:pPr>
    </w:p>
    <w:p>
      <w:pPr>
        <w:jc w:val="both"/>
        <w:ind w:firstLine="656"/>
        <w:spacing w:after="0" w:line="286" w:lineRule="auto"/>
        <w:tabs>
          <w:tab w:leader="none" w:pos="1296"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Entire Agreement; Effectiveness of Agreement</w:t>
      </w:r>
      <w:r>
        <w:rPr>
          <w:rFonts w:ascii="Arial" w:cs="Arial" w:eastAsia="Arial" w:hAnsi="Arial"/>
          <w:sz w:val="19"/>
          <w:szCs w:val="19"/>
          <w:color w:val="auto"/>
        </w:rPr>
        <w:t xml:space="preserve">. This Agreement,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sets forth the entire agreement of the parties hereto in respect of the Executive’s employment with the Company (and any termination thereof) and all other subject matter contained herein, supersedes all prior agreements (including the Prior Agreement), promises, covenants, arrangements, communications, representations or warranties, whether oral or written, by any officer, employee or representative of any party hereto; provided that, (i) Executive’s repayment obligations for Relocation Assistance in Section 7 of the Prior Agreement, (ii) Executive’s repayment obligations for the Sign-On Bonus in Section 8 of the Prior Agreement, (iii) Executive’s confidentiality and non-disclosure obligations in the Prior Agreement and (iv) any Confidentiality Agreement between the Company and the Executive as of the Effective Date (the “</w:t>
      </w:r>
      <w:r>
        <w:rPr>
          <w:rFonts w:ascii="Arial" w:cs="Arial" w:eastAsia="Arial" w:hAnsi="Arial"/>
          <w:sz w:val="19"/>
          <w:szCs w:val="19"/>
          <w:b w:val="1"/>
          <w:bCs w:val="1"/>
          <w:i w:val="1"/>
          <w:iCs w:val="1"/>
          <w:color w:val="auto"/>
        </w:rPr>
        <w:t>Confidentiality Agreement</w:t>
      </w:r>
      <w:r>
        <w:rPr>
          <w:rFonts w:ascii="Arial" w:cs="Arial" w:eastAsia="Arial" w:hAnsi="Arial"/>
          <w:sz w:val="19"/>
          <w:szCs w:val="19"/>
          <w:color w:val="auto"/>
        </w:rPr>
        <w:t>”) shall not be superseded hereby. In addition, this Agreement shall not supersede, or limit in any respect the Executive’s rights under any Unit Option Award Agreement or Notice of Restricted Unit Award and Restricted Unit Agreement entered into by and between New Academy Holding Company LLC and Executive on or before the date Executive executes this Agreement (the “</w:t>
      </w:r>
      <w:r>
        <w:rPr>
          <w:rFonts w:ascii="Arial" w:cs="Arial" w:eastAsia="Arial" w:hAnsi="Arial"/>
          <w:sz w:val="19"/>
          <w:szCs w:val="19"/>
          <w:b w:val="1"/>
          <w:bCs w:val="1"/>
          <w:i w:val="1"/>
          <w:iCs w:val="1"/>
          <w:color w:val="auto"/>
        </w:rPr>
        <w:t>Execution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 any Management Unitholders Agreement entered into by and between New Academy Holding Company, LLC, Allstar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Managers LLC and Executive on or before the Execution Date, or any agreements or arrangements incorporated therein or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62" w:name="page163"/>
    <w:bookmarkEnd w:id="162"/>
    <w:p>
      <w:pPr>
        <w:jc w:val="both"/>
        <w:ind w:firstLine="656"/>
        <w:spacing w:after="0" w:line="250"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or Academy, as applicable, may withhold from any payments or benefits made or provided pursuant to this Agreement all federal, state, local, foreign and other taxes as may be required to be withheld under applicable law and all other employee deductions made with respect to employees or other senior executive officers of the Company or Academy generally, as applicable.</w:t>
      </w:r>
    </w:p>
    <w:p>
      <w:pPr>
        <w:spacing w:after="0" w:line="187" w:lineRule="exact"/>
        <w:rPr>
          <w:rFonts w:ascii="Arial" w:cs="Arial" w:eastAsia="Arial" w:hAnsi="Arial"/>
          <w:sz w:val="22"/>
          <w:szCs w:val="22"/>
          <w:color w:val="auto"/>
        </w:rPr>
      </w:pPr>
    </w:p>
    <w:p>
      <w:pPr>
        <w:ind w:firstLine="656"/>
        <w:spacing w:after="0" w:line="263" w:lineRule="auto"/>
        <w:tabs>
          <w:tab w:leader="none" w:pos="1296"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instrument.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the parties have executed this Agreement effective as of the date first written above.</w:t>
      </w:r>
    </w:p>
    <w:p>
      <w:pPr>
        <w:spacing w:after="0" w:line="23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ACADEMY MANAGING CO., L.L.C.</w:t>
      </w:r>
    </w:p>
    <w:p>
      <w:pPr>
        <w:spacing w:after="0" w:line="200" w:lineRule="exact"/>
        <w:rPr>
          <w:sz w:val="20"/>
          <w:szCs w:val="20"/>
          <w:color w:val="auto"/>
        </w:rPr>
      </w:pPr>
    </w:p>
    <w:p>
      <w:pPr>
        <w:spacing w:after="0" w:line="290"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-17780</wp:posOffset>
            </wp:positionV>
            <wp:extent cx="13735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 William S. Ennis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Title: Senior Vice-President and Chief</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Human Resources Officer</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NEW ACADEMY HOLDING COMPANY, LLC</w:t>
      </w:r>
    </w:p>
    <w:p>
      <w:pPr>
        <w:spacing w:after="0" w:line="200" w:lineRule="exact"/>
        <w:rPr>
          <w:sz w:val="20"/>
          <w:szCs w:val="20"/>
          <w:color w:val="auto"/>
        </w:rPr>
      </w:pPr>
    </w:p>
    <w:p>
      <w:pPr>
        <w:spacing w:after="0" w:line="290" w:lineRule="exact"/>
        <w:rPr>
          <w:sz w:val="20"/>
          <w:szCs w:val="20"/>
          <w:color w:val="auto"/>
        </w:rPr>
      </w:pPr>
    </w:p>
    <w:p>
      <w:pPr>
        <w:ind w:left="4860"/>
        <w:spacing w:after="0"/>
        <w:tabs>
          <w:tab w:leader="none" w:pos="53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-17780</wp:posOffset>
            </wp:positionV>
            <wp:extent cx="13735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 William S. Ennis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Title: Senior Vice-President and Chief</w:t>
      </w:r>
    </w:p>
    <w:p>
      <w:pPr>
        <w:spacing w:after="0" w:line="4"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Human Resources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9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/s/ Jamey Traywick Rutherford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-17780</wp:posOffset>
            </wp:positionV>
            <wp:extent cx="18427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Name: Jamey Traywick Rutherford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RELEASE</w:t>
      </w:r>
    </w:p>
    <w:p>
      <w:pPr>
        <w:spacing w:after="0" w:line="247"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Capitalized terms used but not defined in this Release (this “</w:t>
      </w:r>
      <w:r>
        <w:rPr>
          <w:rFonts w:ascii="Arial" w:cs="Arial" w:eastAsia="Arial" w:hAnsi="Arial"/>
          <w:sz w:val="21"/>
          <w:szCs w:val="21"/>
          <w:b w:val="1"/>
          <w:bCs w:val="1"/>
          <w:color w:val="auto"/>
        </w:rPr>
        <w:t>Release</w:t>
      </w:r>
      <w:r>
        <w:rPr>
          <w:rFonts w:ascii="Arial" w:cs="Arial" w:eastAsia="Arial" w:hAnsi="Arial"/>
          <w:sz w:val="21"/>
          <w:szCs w:val="21"/>
          <w:color w:val="auto"/>
        </w:rPr>
        <w:t>”) shall have the same meanings as such terms are defined in the Executive Employment Agreement by and among Academy Managing Co., L.L.C., New Academy Holding Company, LLC and Jamey Traywick Rutherford, dated October 1, 2018 (the “</w:t>
      </w:r>
      <w:r>
        <w:rPr>
          <w:rFonts w:ascii="Arial" w:cs="Arial" w:eastAsia="Arial" w:hAnsi="Arial"/>
          <w:sz w:val="21"/>
          <w:szCs w:val="21"/>
          <w:b w:val="1"/>
          <w:bCs w:val="1"/>
          <w:color w:val="auto"/>
        </w:rPr>
        <w:t>Executive Employment Agreement</w:t>
      </w:r>
      <w:r>
        <w:rPr>
          <w:rFonts w:ascii="Arial" w:cs="Arial" w:eastAsia="Arial" w:hAnsi="Arial"/>
          <w:sz w:val="21"/>
          <w:szCs w:val="21"/>
          <w:color w:val="auto"/>
        </w:rPr>
        <w:t>”).</w:t>
      </w:r>
    </w:p>
    <w:p>
      <w:pPr>
        <w:spacing w:after="0" w:line="185" w:lineRule="exact"/>
        <w:rPr>
          <w:sz w:val="20"/>
          <w:szCs w:val="20"/>
          <w:color w:val="auto"/>
        </w:rPr>
      </w:pPr>
    </w:p>
    <w:p>
      <w:pPr>
        <w:ind w:left="1300" w:hanging="644"/>
        <w:spacing w:after="0"/>
        <w:tabs>
          <w:tab w:leader="none" w:pos="1300" w:val="left"/>
        </w:tabs>
        <w:numPr>
          <w:ilvl w:val="0"/>
          <w:numId w:val="129"/>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Release, and Discharge of all Claims</w:t>
      </w:r>
      <w:r>
        <w:rPr>
          <w:rFonts w:ascii="Arial" w:cs="Arial" w:eastAsia="Arial" w:hAnsi="Arial"/>
          <w:sz w:val="22"/>
          <w:szCs w:val="22"/>
          <w:color w:val="auto"/>
        </w:rPr>
        <w:t>.</w:t>
      </w:r>
    </w:p>
    <w:p>
      <w:pPr>
        <w:spacing w:after="0" w:line="226" w:lineRule="exact"/>
        <w:rPr>
          <w:sz w:val="20"/>
          <w:szCs w:val="20"/>
          <w:color w:val="auto"/>
        </w:rPr>
      </w:pPr>
    </w:p>
    <w:p>
      <w:pPr>
        <w:jc w:val="both"/>
        <w:ind w:left="1300" w:firstLine="534"/>
        <w:spacing w:after="0" w:line="284" w:lineRule="auto"/>
        <w:rPr>
          <w:sz w:val="20"/>
          <w:szCs w:val="20"/>
          <w:color w:val="auto"/>
        </w:rPr>
      </w:pPr>
      <w:r>
        <w:rPr>
          <w:rFonts w:ascii="Arial" w:cs="Arial" w:eastAsia="Arial" w:hAnsi="Arial"/>
          <w:sz w:val="19"/>
          <w:szCs w:val="19"/>
          <w:color w:val="auto"/>
        </w:rPr>
        <w:t>i.In consideration for the Separation Consideration from Academy, the undersigned Executive (“</w:t>
      </w:r>
      <w:r>
        <w:rPr>
          <w:rFonts w:ascii="Arial" w:cs="Arial" w:eastAsia="Arial" w:hAnsi="Arial"/>
          <w:sz w:val="19"/>
          <w:szCs w:val="19"/>
          <w:b w:val="1"/>
          <w:bCs w:val="1"/>
          <w:color w:val="auto"/>
        </w:rPr>
        <w:t>Executive</w:t>
      </w:r>
      <w:r>
        <w:rPr>
          <w:rFonts w:ascii="Arial" w:cs="Arial" w:eastAsia="Arial" w:hAnsi="Arial"/>
          <w:sz w:val="19"/>
          <w:szCs w:val="19"/>
          <w:color w:val="auto"/>
        </w:rPr>
        <w:t xml:space="preserve">”) hereby irrevocably and unconditionally waives, releases, acquits and forever discharges Academy, its parent, subsidiary, predecessor, successor and affiliated companies, in such capacities and their respective directors, managers, officers, employees, representatives, agents and equity holders (collectively, the </w:t>
      </w:r>
      <w:r>
        <w:rPr>
          <w:rFonts w:ascii="Arial" w:cs="Arial" w:eastAsia="Arial" w:hAnsi="Arial"/>
          <w:sz w:val="19"/>
          <w:szCs w:val="19"/>
          <w:b w:val="1"/>
          <w:bCs w:val="1"/>
          <w:color w:val="auto"/>
        </w:rPr>
        <w:t>“Releasees”)</w:t>
      </w:r>
      <w:r>
        <w:rPr>
          <w:rFonts w:ascii="Arial" w:cs="Arial" w:eastAsia="Arial" w:hAnsi="Arial"/>
          <w:sz w:val="19"/>
          <w:szCs w:val="19"/>
          <w:color w:val="auto"/>
        </w:rPr>
        <w:t>, from any and all claims, liabilities, obligations, damages, causes of action, demands, costs, losses</w:t>
      </w:r>
      <w:r>
        <w:rPr>
          <w:rFonts w:ascii="Arial" w:cs="Arial" w:eastAsia="Arial" w:hAnsi="Arial"/>
          <w:sz w:val="19"/>
          <w:szCs w:val="19"/>
          <w:b w:val="1"/>
          <w:bCs w:val="1"/>
          <w:color w:val="auto"/>
        </w:rPr>
        <w:t xml:space="preserve"> </w:t>
      </w:r>
      <w:r>
        <w:rPr>
          <w:rFonts w:ascii="Arial" w:cs="Arial" w:eastAsia="Arial" w:hAnsi="Arial"/>
          <w:sz w:val="19"/>
          <w:szCs w:val="19"/>
          <w:color w:val="auto"/>
        </w:rPr>
        <w:t>and/or expenses (including attorneys’ fees) of any nature whatsoever, whether known or unknown, fixed or contingent, which Executive may have or claim to have against any of the Releasees as a result of Executive’s employment and/or termination from employment and/or as a result of any other matter, in any way arising on or before the date of Executive’s signing of this Release, including, but not limited to, rights arising out of alleged violations of any contracts, express or implied, verbal or written, quantum meruit, any covenant of good faith and fair dealing, express or implied, or any tort or claim for personal injury or invasion of privacy, any claims regarding the enforceability of the restrictive covenants or the resulting effects of any Restrictive Covenant Violations, or any legal restrictions on Academy’s right to terminate employees, or any federal, state or other governmental statute, regulation or ordinance under which the Executive has any claim against any of the Releasees, including, without limitation, Title VII of the Civil Rights Act of 1964, as amended, and the Age Discrimination in Employment Act of 1967, as amended, Chapters 21, 61, and 451 of the Texas Labor Code, the Equal Pay Act, the Fair Labor Standards Act, the Consolidated Omnibus Budget Reconciliation Act, the Employee Retirement Income Security Act of 1974, as amended, the Civil Rights Act of 1991, the Family and Medical Leave Act of 1993, and the Americans with Disabilities Act of 1990, the Genetic Information Nondiscrimination Act, the Occupational Safety &amp; Health Act, the National Labor Relations Act, Section 1981 of the Civil Rights Act of 1866, the Fair Labor Standards Act, and the Sarbanes Oxley Act of 2002, claims for workers’ compensation, wages or any other compensation other than any pending workers’ compensation benefits claims, or claims for benefits including, without limitation, those arising under the Employee Retirement Income Security Act (other than any claims for vested benefits). In addition, to the extent permitted by law, the Executive waives all rights and benefits afforded by any laws which provide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2" w:right="339" w:bottom="1440" w:gutter="0" w:footer="0" w:header="0"/>
        </w:sectPr>
      </w:pPr>
    </w:p>
    <w:bookmarkStart w:id="164" w:name="page165"/>
    <w:bookmarkEnd w:id="164"/>
    <w:p>
      <w:pPr>
        <w:jc w:val="both"/>
        <w:ind w:left="1300"/>
        <w:spacing w:after="0" w:line="253" w:lineRule="auto"/>
        <w:rPr>
          <w:sz w:val="20"/>
          <w:szCs w:val="20"/>
          <w:color w:val="auto"/>
        </w:rPr>
      </w:pPr>
      <w:r>
        <w:rPr>
          <w:rFonts w:ascii="Arial" w:cs="Arial" w:eastAsia="Arial" w:hAnsi="Arial"/>
          <w:sz w:val="22"/>
          <w:szCs w:val="22"/>
          <w:color w:val="auto"/>
        </w:rPr>
        <w:t>substance that a general release does not extend to claims which a person does not know or suspect to exist in Executive’s favor at the time of executing the release which, if known by Executive’s, must have materially affected the Executive’s settlement with the other person.</w:t>
      </w:r>
    </w:p>
    <w:p>
      <w:pPr>
        <w:spacing w:after="0" w:line="185" w:lineRule="exact"/>
        <w:rPr>
          <w:sz w:val="20"/>
          <w:szCs w:val="20"/>
          <w:color w:val="auto"/>
        </w:rPr>
      </w:pPr>
    </w:p>
    <w:p>
      <w:pPr>
        <w:jc w:val="both"/>
        <w:ind w:left="1300" w:firstLine="474"/>
        <w:spacing w:after="0" w:line="261" w:lineRule="auto"/>
        <w:rPr>
          <w:sz w:val="20"/>
          <w:szCs w:val="20"/>
          <w:color w:val="auto"/>
        </w:rPr>
      </w:pPr>
      <w:r>
        <w:rPr>
          <w:rFonts w:ascii="Arial" w:cs="Arial" w:eastAsia="Arial" w:hAnsi="Arial"/>
          <w:sz w:val="21"/>
          <w:szCs w:val="21"/>
          <w:color w:val="auto"/>
        </w:rPr>
        <w:t>ii.The exceptions to the foregoing release are (i) claims and rights that may first arise after the date of Executive’s signing of this Release, (ii) any existing right to indemnification under applicable laws, plans, organizational documents, or agreements (which is hereby ratified and confirmed), (iii) any rights of Executive as an insured, or to coverage, under any director’s and officer’s liability insurance policy of Academy or its parent entities or Affiliates, and (iv) any claims, rights or obligations of Executive under applicable law which cannot be waived or released pursuant to an agreement as a matter of law.</w:t>
      </w:r>
    </w:p>
    <w:p>
      <w:pPr>
        <w:spacing w:after="0" w:line="179" w:lineRule="exact"/>
        <w:rPr>
          <w:sz w:val="20"/>
          <w:szCs w:val="20"/>
          <w:color w:val="auto"/>
        </w:rPr>
      </w:pPr>
    </w:p>
    <w:p>
      <w:pPr>
        <w:jc w:val="both"/>
        <w:ind w:left="1300" w:firstLine="414"/>
        <w:spacing w:after="0" w:line="289" w:lineRule="auto"/>
        <w:rPr>
          <w:sz w:val="20"/>
          <w:szCs w:val="20"/>
          <w:color w:val="auto"/>
        </w:rPr>
      </w:pPr>
      <w:r>
        <w:rPr>
          <w:rFonts w:ascii="Arial" w:cs="Arial" w:eastAsia="Arial" w:hAnsi="Arial"/>
          <w:sz w:val="19"/>
          <w:szCs w:val="19"/>
          <w:color w:val="auto"/>
        </w:rPr>
        <w:t>iii.Executive represents and warrants that Executive has not previously filed, and to the maximum extent permitted by law, agrees not to file, a claim against any Releasee regarding any of the claims respectively released herein. If, notwithstanding this representation and warranty, Executive has filed or files such a claim, Executive agrees to cause such claim to be dismissed with prejudice and shall pay any and all costs required in obtaining dismissal of such claim, including without limitation the attorneys’ fees and expenses of any of the parties against whom such a claim has been filed. Executive has not previously assigned or transferred any such claim, agrees not to file a lawsuit asserting any such released claims, and Executive agrees not to accept any monetary (money) damages or other personal relief (including legal or equitable relief) in connection with any administrative claim or lawsuit filed by any person or entity against any of the Releasees.</w:t>
      </w:r>
    </w:p>
    <w:p>
      <w:pPr>
        <w:spacing w:after="0" w:line="151" w:lineRule="exact"/>
        <w:rPr>
          <w:sz w:val="20"/>
          <w:szCs w:val="20"/>
          <w:color w:val="auto"/>
        </w:rPr>
      </w:pPr>
    </w:p>
    <w:p>
      <w:pPr>
        <w:ind w:left="660" w:right="20" w:firstLine="644"/>
        <w:spacing w:after="0" w:line="269" w:lineRule="auto"/>
        <w:tabs>
          <w:tab w:leader="none" w:pos="1944" w:val="left"/>
        </w:tabs>
        <w:numPr>
          <w:ilvl w:val="0"/>
          <w:numId w:val="130"/>
        </w:numPr>
        <w:rPr>
          <w:rFonts w:ascii="Arial" w:cs="Arial" w:eastAsia="Arial" w:hAnsi="Arial"/>
          <w:sz w:val="22"/>
          <w:szCs w:val="22"/>
          <w:color w:val="auto"/>
        </w:rPr>
      </w:pPr>
      <w:r>
        <w:rPr>
          <w:rFonts w:ascii="Arial" w:cs="Arial" w:eastAsia="Arial" w:hAnsi="Arial"/>
          <w:sz w:val="22"/>
          <w:szCs w:val="22"/>
          <w:b w:val="1"/>
          <w:bCs w:val="1"/>
          <w:u w:val="single" w:color="auto"/>
          <w:color w:val="auto"/>
        </w:rPr>
        <w:t>Waiver, Release, and Discharge of Age Discrimination Claims</w:t>
      </w:r>
      <w:r>
        <w:rPr>
          <w:rFonts w:ascii="Arial" w:cs="Arial" w:eastAsia="Arial" w:hAnsi="Arial"/>
          <w:sz w:val="22"/>
          <w:szCs w:val="22"/>
          <w:color w:val="auto"/>
        </w:rPr>
        <w:t>. In addition to Executive’s waiver,</w:t>
      </w:r>
      <w:r>
        <w:rPr>
          <w:rFonts w:ascii="Arial" w:cs="Arial" w:eastAsia="Arial" w:hAnsi="Arial"/>
          <w:sz w:val="22"/>
          <w:szCs w:val="22"/>
          <w:b w:val="1"/>
          <w:bCs w:val="1"/>
          <w:color w:val="auto"/>
        </w:rPr>
        <w:t xml:space="preserve"> </w:t>
      </w:r>
      <w:r>
        <w:rPr>
          <w:rFonts w:ascii="Arial" w:cs="Arial" w:eastAsia="Arial" w:hAnsi="Arial"/>
          <w:sz w:val="22"/>
          <w:szCs w:val="22"/>
          <w:color w:val="auto"/>
        </w:rPr>
        <w:t>release and discharge of all claims, Executive acknowledges the following:</w:t>
      </w:r>
    </w:p>
    <w:p>
      <w:pPr>
        <w:spacing w:after="0" w:line="168" w:lineRule="exact"/>
        <w:rPr>
          <w:sz w:val="20"/>
          <w:szCs w:val="20"/>
          <w:color w:val="auto"/>
        </w:rPr>
      </w:pPr>
    </w:p>
    <w:p>
      <w:pPr>
        <w:ind w:left="1300" w:right="20" w:firstLine="534"/>
        <w:spacing w:after="0" w:line="263" w:lineRule="auto"/>
        <w:rPr>
          <w:sz w:val="20"/>
          <w:szCs w:val="20"/>
          <w:color w:val="auto"/>
        </w:rPr>
      </w:pPr>
      <w:r>
        <w:rPr>
          <w:rFonts w:ascii="Arial" w:cs="Arial" w:eastAsia="Arial" w:hAnsi="Arial"/>
          <w:sz w:val="22"/>
          <w:szCs w:val="22"/>
          <w:color w:val="auto"/>
        </w:rPr>
        <w:t>i.This Release is written in a manner understood by Executive and that Executive in fact understands the terms, conditions, and effect of this Release.</w:t>
      </w:r>
    </w:p>
    <w:p>
      <w:pPr>
        <w:spacing w:after="0" w:line="175" w:lineRule="exact"/>
        <w:rPr>
          <w:sz w:val="20"/>
          <w:szCs w:val="20"/>
          <w:color w:val="auto"/>
        </w:rPr>
      </w:pPr>
    </w:p>
    <w:p>
      <w:pPr>
        <w:ind w:left="1300" w:firstLine="474"/>
        <w:spacing w:after="0" w:line="263" w:lineRule="auto"/>
        <w:rPr>
          <w:sz w:val="20"/>
          <w:szCs w:val="20"/>
          <w:color w:val="auto"/>
        </w:rPr>
      </w:pPr>
      <w:r>
        <w:rPr>
          <w:rFonts w:ascii="Arial" w:cs="Arial" w:eastAsia="Arial" w:hAnsi="Arial"/>
          <w:sz w:val="22"/>
          <w:szCs w:val="22"/>
          <w:color w:val="auto"/>
        </w:rPr>
        <w:t>ii.The release by Executive in this Release refers to rights or claims arising under the Age Discrimination in Employment Act and Older Workers’ Benefit Protection Act.</w:t>
      </w:r>
    </w:p>
    <w:p>
      <w:pPr>
        <w:spacing w:after="0" w:line="175" w:lineRule="exact"/>
        <w:rPr>
          <w:sz w:val="20"/>
          <w:szCs w:val="20"/>
          <w:color w:val="auto"/>
        </w:rPr>
      </w:pPr>
    </w:p>
    <w:p>
      <w:pPr>
        <w:ind w:left="1720"/>
        <w:spacing w:after="0"/>
        <w:rPr>
          <w:sz w:val="20"/>
          <w:szCs w:val="20"/>
          <w:color w:val="auto"/>
        </w:rPr>
      </w:pPr>
      <w:r>
        <w:rPr>
          <w:rFonts w:ascii="Arial" w:cs="Arial" w:eastAsia="Arial" w:hAnsi="Arial"/>
          <w:sz w:val="21"/>
          <w:szCs w:val="21"/>
          <w:color w:val="auto"/>
        </w:rPr>
        <w:t>iii.Executive does not waive rights or claims that may arise after the date Executive signs this Release.</w:t>
      </w:r>
    </w:p>
    <w:p>
      <w:pPr>
        <w:spacing w:after="0" w:line="231" w:lineRule="exact"/>
        <w:rPr>
          <w:sz w:val="20"/>
          <w:szCs w:val="20"/>
          <w:color w:val="auto"/>
        </w:rPr>
      </w:pPr>
    </w:p>
    <w:p>
      <w:pPr>
        <w:ind w:left="1300" w:firstLine="426"/>
        <w:spacing w:after="0" w:line="263" w:lineRule="auto"/>
        <w:rPr>
          <w:sz w:val="20"/>
          <w:szCs w:val="20"/>
          <w:color w:val="auto"/>
        </w:rPr>
      </w:pPr>
      <w:r>
        <w:rPr>
          <w:rFonts w:ascii="Arial" w:cs="Arial" w:eastAsia="Arial" w:hAnsi="Arial"/>
          <w:sz w:val="22"/>
          <w:szCs w:val="22"/>
          <w:color w:val="auto"/>
        </w:rPr>
        <w:t>iv.Executive waives rights or claims only in exchange for consideration in addition to anything of value to which Executive is already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65" w:name="page166"/>
    <w:bookmarkEnd w:id="165"/>
    <w:p>
      <w:pPr>
        <w:jc w:val="both"/>
        <w:ind w:left="1300" w:firstLine="486"/>
        <w:spacing w:after="0" w:line="263" w:lineRule="auto"/>
        <w:rPr>
          <w:sz w:val="20"/>
          <w:szCs w:val="20"/>
          <w:color w:val="auto"/>
        </w:rPr>
      </w:pPr>
      <w:r>
        <w:rPr>
          <w:rFonts w:ascii="Arial" w:cs="Arial" w:eastAsia="Arial" w:hAnsi="Arial"/>
          <w:sz w:val="22"/>
          <w:szCs w:val="22"/>
          <w:color w:val="auto"/>
        </w:rPr>
        <w:t>v.Executive is advised in writing to consult with an attorney prior to executing this Release, and Executive has done so to the extent Executive so desired.</w:t>
      </w:r>
    </w:p>
    <w:p>
      <w:pPr>
        <w:spacing w:after="0" w:line="175" w:lineRule="exact"/>
        <w:rPr>
          <w:sz w:val="20"/>
          <w:szCs w:val="20"/>
          <w:color w:val="auto"/>
        </w:rPr>
      </w:pPr>
    </w:p>
    <w:p>
      <w:pPr>
        <w:jc w:val="both"/>
        <w:ind w:left="1300" w:firstLine="426"/>
        <w:spacing w:after="0" w:line="287" w:lineRule="auto"/>
        <w:rPr>
          <w:sz w:val="20"/>
          <w:szCs w:val="20"/>
          <w:color w:val="auto"/>
        </w:rPr>
      </w:pPr>
      <w:r>
        <w:rPr>
          <w:rFonts w:ascii="Arial" w:cs="Arial" w:eastAsia="Arial" w:hAnsi="Arial"/>
          <w:sz w:val="21"/>
          <w:szCs w:val="21"/>
          <w:color w:val="auto"/>
        </w:rPr>
        <w:t>vi.Executive fully understands all of the terms of this Release and knowingly and voluntarily enters into this Release, including Executive’s waiver, release, and discharge of age discrimination claims.</w:t>
      </w:r>
    </w:p>
    <w:p>
      <w:pPr>
        <w:spacing w:after="0" w:line="145" w:lineRule="exact"/>
        <w:rPr>
          <w:sz w:val="20"/>
          <w:szCs w:val="20"/>
          <w:color w:val="auto"/>
        </w:rPr>
      </w:pPr>
    </w:p>
    <w:p>
      <w:pPr>
        <w:jc w:val="both"/>
        <w:ind w:left="1300" w:firstLine="366"/>
        <w:spacing w:after="0" w:line="256" w:lineRule="auto"/>
        <w:rPr>
          <w:sz w:val="20"/>
          <w:szCs w:val="20"/>
          <w:color w:val="auto"/>
        </w:rPr>
      </w:pPr>
      <w:r>
        <w:rPr>
          <w:rFonts w:ascii="Arial" w:cs="Arial" w:eastAsia="Arial" w:hAnsi="Arial"/>
          <w:sz w:val="22"/>
          <w:szCs w:val="22"/>
          <w:color w:val="auto"/>
        </w:rPr>
        <w:t>vii.Academy has delivered this Release to Executive to consider on [DATE], (the “</w:t>
      </w:r>
      <w:r>
        <w:rPr>
          <w:rFonts w:ascii="Arial" w:cs="Arial" w:eastAsia="Arial" w:hAnsi="Arial"/>
          <w:sz w:val="22"/>
          <w:szCs w:val="22"/>
          <w:b w:val="1"/>
          <w:bCs w:val="1"/>
          <w:color w:val="auto"/>
        </w:rPr>
        <w:t>Delivery Date</w:t>
      </w:r>
      <w:r>
        <w:rPr>
          <w:rFonts w:ascii="Arial" w:cs="Arial" w:eastAsia="Arial" w:hAnsi="Arial"/>
          <w:sz w:val="22"/>
          <w:szCs w:val="22"/>
          <w:color w:val="auto"/>
        </w:rPr>
        <w:t>”). Executive has had more than twenty-one (21) days following the Delivery Date in which to consider this Release before executing it.</w:t>
      </w:r>
    </w:p>
    <w:p>
      <w:pPr>
        <w:spacing w:after="0" w:line="182" w:lineRule="exact"/>
        <w:rPr>
          <w:sz w:val="20"/>
          <w:szCs w:val="20"/>
          <w:color w:val="auto"/>
        </w:rPr>
      </w:pPr>
    </w:p>
    <w:p>
      <w:pPr>
        <w:jc w:val="both"/>
        <w:ind w:left="1300" w:firstLine="306"/>
        <w:spacing w:after="0" w:line="250" w:lineRule="auto"/>
        <w:rPr>
          <w:sz w:val="20"/>
          <w:szCs w:val="20"/>
          <w:color w:val="auto"/>
        </w:rPr>
      </w:pPr>
      <w:r>
        <w:rPr>
          <w:rFonts w:ascii="Arial" w:cs="Arial" w:eastAsia="Arial" w:hAnsi="Arial"/>
          <w:sz w:val="22"/>
          <w:szCs w:val="22"/>
          <w:color w:val="auto"/>
        </w:rPr>
        <w:t>viii.Executive must execute and return this Release to Academy on or within five (5) days after the Termination Date. If Executive does not execute and return this Release to Academy on or within five (5) days after the Termination Date, this Release shall be considered rejected and Academy shall not be obligated to deliver any portion of the Separation Consideration to Executive.</w:t>
      </w:r>
    </w:p>
    <w:p>
      <w:pPr>
        <w:spacing w:after="0" w:line="188" w:lineRule="exact"/>
        <w:rPr>
          <w:sz w:val="20"/>
          <w:szCs w:val="20"/>
          <w:color w:val="auto"/>
        </w:rPr>
      </w:pPr>
    </w:p>
    <w:p>
      <w:pPr>
        <w:jc w:val="both"/>
        <w:ind w:left="1300" w:firstLine="426"/>
        <w:spacing w:after="0" w:line="294" w:lineRule="auto"/>
        <w:rPr>
          <w:sz w:val="20"/>
          <w:szCs w:val="20"/>
          <w:color w:val="auto"/>
        </w:rPr>
      </w:pPr>
      <w:r>
        <w:rPr>
          <w:rFonts w:ascii="Arial" w:cs="Arial" w:eastAsia="Arial" w:hAnsi="Arial"/>
          <w:sz w:val="19"/>
          <w:szCs w:val="19"/>
          <w:color w:val="auto"/>
        </w:rPr>
        <w:t xml:space="preserve">ix.Executive has seven (7) days following Executive’s signing of this Release to revoke the waiver of any age discrimination claims and Section 2 of this Release or Executive’s representations made in Section 2 of this Release (the </w:t>
      </w:r>
      <w:r>
        <w:rPr>
          <w:rFonts w:ascii="Arial" w:cs="Arial" w:eastAsia="Arial" w:hAnsi="Arial"/>
          <w:sz w:val="19"/>
          <w:szCs w:val="19"/>
          <w:b w:val="1"/>
          <w:bCs w:val="1"/>
          <w:color w:val="auto"/>
        </w:rPr>
        <w:t>“Revocation Period”</w:t>
      </w:r>
      <w:r>
        <w:rPr>
          <w:rFonts w:ascii="Arial" w:cs="Arial" w:eastAsia="Arial" w:hAnsi="Arial"/>
          <w:sz w:val="19"/>
          <w:szCs w:val="19"/>
          <w:color w:val="auto"/>
        </w:rPr>
        <w:t>). If Executive decides to revoke this waiver of age discrimination claims and representations made under Section 2 of this Release, Executive must send written notice of revocation to Academy within the Revocation Period and this Release shall be deemed revoked by Executive and Academy shall not be obligated to deliver any portion of the Separation Consideration to Executive.</w:t>
      </w:r>
    </w:p>
    <w:p>
      <w:pPr>
        <w:spacing w:after="0" w:line="143" w:lineRule="exact"/>
        <w:rPr>
          <w:sz w:val="20"/>
          <w:szCs w:val="20"/>
          <w:color w:val="auto"/>
        </w:rPr>
      </w:pPr>
    </w:p>
    <w:p>
      <w:pPr>
        <w:jc w:val="both"/>
        <w:ind w:left="660" w:firstLine="644"/>
        <w:spacing w:after="0" w:line="287" w:lineRule="auto"/>
        <w:tabs>
          <w:tab w:leader="none" w:pos="1956" w:val="left"/>
        </w:tabs>
        <w:numPr>
          <w:ilvl w:val="0"/>
          <w:numId w:val="131"/>
        </w:numPr>
        <w:rPr>
          <w:rFonts w:ascii="Arial" w:cs="Arial" w:eastAsia="Arial" w:hAnsi="Arial"/>
          <w:sz w:val="19"/>
          <w:szCs w:val="19"/>
          <w:color w:val="auto"/>
        </w:rPr>
      </w:pPr>
      <w:r>
        <w:rPr>
          <w:rFonts w:ascii="Arial" w:cs="Arial" w:eastAsia="Arial" w:hAnsi="Arial"/>
          <w:sz w:val="19"/>
          <w:szCs w:val="19"/>
          <w:b w:val="1"/>
          <w:bCs w:val="1"/>
          <w:u w:val="single" w:color="auto"/>
          <w:color w:val="auto"/>
        </w:rPr>
        <w:t>Administrative Complaint</w:t>
      </w:r>
      <w:r>
        <w:rPr>
          <w:rFonts w:ascii="Arial" w:cs="Arial" w:eastAsia="Arial" w:hAnsi="Arial"/>
          <w:sz w:val="19"/>
          <w:szCs w:val="19"/>
          <w:color w:val="auto"/>
        </w:rPr>
        <w:t>. Nothing in this Release shall prevent Executive from filing a charge or</w:t>
      </w:r>
      <w:r>
        <w:rPr>
          <w:rFonts w:ascii="Arial" w:cs="Arial" w:eastAsia="Arial" w:hAnsi="Arial"/>
          <w:sz w:val="19"/>
          <w:szCs w:val="19"/>
          <w:b w:val="1"/>
          <w:bCs w:val="1"/>
          <w:color w:val="auto"/>
        </w:rPr>
        <w:t xml:space="preserve"> </w:t>
      </w:r>
      <w:r>
        <w:rPr>
          <w:rFonts w:ascii="Arial" w:cs="Arial" w:eastAsia="Arial" w:hAnsi="Arial"/>
          <w:sz w:val="19"/>
          <w:szCs w:val="19"/>
          <w:color w:val="auto"/>
        </w:rPr>
        <w:t>complaint, including a challenge to the validity of this Release, or making a disclosure or report of possible unlawful activity with any governmental agency, including but not limited to the Equal Employment Opportunity Commission (</w:t>
      </w:r>
      <w:r>
        <w:rPr>
          <w:rFonts w:ascii="Arial" w:cs="Arial" w:eastAsia="Arial" w:hAnsi="Arial"/>
          <w:sz w:val="19"/>
          <w:szCs w:val="19"/>
          <w:b w:val="1"/>
          <w:bCs w:val="1"/>
          <w:color w:val="auto"/>
        </w:rPr>
        <w:t>“EEOC”</w:t>
      </w:r>
      <w:r>
        <w:rPr>
          <w:rFonts w:ascii="Arial" w:cs="Arial" w:eastAsia="Arial" w:hAnsi="Arial"/>
          <w:sz w:val="19"/>
          <w:szCs w:val="19"/>
          <w:color w:val="auto"/>
        </w:rPr>
        <w:t>) or the National Labor Relations Board (“</w:t>
      </w:r>
      <w:r>
        <w:rPr>
          <w:rFonts w:ascii="Arial" w:cs="Arial" w:eastAsia="Arial" w:hAnsi="Arial"/>
          <w:sz w:val="19"/>
          <w:szCs w:val="19"/>
          <w:b w:val="1"/>
          <w:bCs w:val="1"/>
          <w:color w:val="auto"/>
        </w:rPr>
        <w:t>NLRB</w:t>
      </w:r>
      <w:r>
        <w:rPr>
          <w:rFonts w:ascii="Arial" w:cs="Arial" w:eastAsia="Arial" w:hAnsi="Arial"/>
          <w:sz w:val="19"/>
          <w:szCs w:val="19"/>
          <w:color w:val="auto"/>
        </w:rPr>
        <w:t>”), or the Securities and Exchange Commission (“</w:t>
      </w:r>
      <w:r>
        <w:rPr>
          <w:rFonts w:ascii="Arial" w:cs="Arial" w:eastAsia="Arial" w:hAnsi="Arial"/>
          <w:sz w:val="19"/>
          <w:szCs w:val="19"/>
          <w:b w:val="1"/>
          <w:bCs w:val="1"/>
          <w:color w:val="auto"/>
        </w:rPr>
        <w:t>SEC</w:t>
      </w:r>
      <w:r>
        <w:rPr>
          <w:rFonts w:ascii="Arial" w:cs="Arial" w:eastAsia="Arial" w:hAnsi="Arial"/>
          <w:sz w:val="19"/>
          <w:szCs w:val="19"/>
          <w:color w:val="auto"/>
        </w:rPr>
        <w:t>”) or comparable federal, state or local agency, or to an attorney, solely for the purpose of reporting or investigating a suspected violation of law, or from participating in any investigation or proceeding conducted by the EEOC, NLRB, SEC or comparable federal, state or local agency, or other actions protected as whistleblower activity under applicable law. Further, a disclosure of trade secrets is not a prohibited disclosure if made in a complaint or other document filed in a lawsuit or other proceeding, if such filing is made under seal. This Release does not impose any condition precedent (such as prior disclosure to Academy), any penalty, or any other restriction or limitation adversely affecting Executive’s rights regarding any EEOC, NLRB, SEC, or comparable federal, state or local agency claim or investigation or proceeding conducted by any such administrative agency. Executive understands and recognizes that if a charge is filed by Executive or on Executive’s behalf with an administrative agency other than the SEC, or if Executive participates in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40"/>
          </w:cols>
          <w:pgMar w:left="320" w:top="1428" w:right="339" w:bottom="1440" w:gutter="0" w:footer="0" w:header="0"/>
        </w:sectPr>
      </w:pPr>
    </w:p>
    <w:bookmarkStart w:id="166" w:name="page167"/>
    <w:bookmarkEnd w:id="166"/>
    <w:p>
      <w:pPr>
        <w:ind w:left="660"/>
        <w:spacing w:after="0" w:line="293" w:lineRule="auto"/>
        <w:rPr>
          <w:sz w:val="20"/>
          <w:szCs w:val="20"/>
          <w:color w:val="auto"/>
        </w:rPr>
      </w:pPr>
      <w:r>
        <w:rPr>
          <w:rFonts w:ascii="Arial" w:cs="Arial" w:eastAsia="Arial" w:hAnsi="Arial"/>
          <w:sz w:val="21"/>
          <w:szCs w:val="21"/>
          <w:color w:val="auto"/>
        </w:rPr>
        <w:t xml:space="preserve">investigation or proceeding with any such agency, </w:t>
      </w:r>
      <w:r>
        <w:rPr>
          <w:rFonts w:ascii="Arial" w:cs="Arial" w:eastAsia="Arial" w:hAnsi="Arial"/>
          <w:sz w:val="21"/>
          <w:szCs w:val="21"/>
          <w:b w:val="1"/>
          <w:bCs w:val="1"/>
          <w:u w:val="single" w:color="auto"/>
          <w:color w:val="auto"/>
        </w:rPr>
        <w:t>Executive will not be entitled to any damages or payment of any</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money relating to any event which occurred prior to Executive’s execution of this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1220"/>
          </w:cols>
          <w:pgMar w:left="320" w:top="1422" w:right="359" w:bottom="1440" w:gutter="0" w:footer="0" w:header="0"/>
        </w:sectPr>
      </w:pPr>
    </w:p>
    <w:bookmarkStart w:id="167" w:name="page168"/>
    <w:bookmarkEnd w:id="167"/>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AGREED AND ACCEPTED, on this ________ day of _________________, _______.</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6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-17780</wp:posOffset>
            </wp:positionV>
            <wp:extent cx="1714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Jamey Traywick Rutherford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369082</w:t>
      </w:r>
    </w:p>
    <w:p>
      <w:pPr>
        <w:sectPr>
          <w:pgSz w:w="11900" w:h="16838" w:orient="portrait"/>
          <w:cols w:equalWidth="0" w:num="1">
            <w:col w:w="10139"/>
          </w:cols>
          <w:pgMar w:left="320" w:top="1440"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ACADEMY SPORTS AND OUTDOORS, INC.</w:t>
      </w:r>
    </w:p>
    <w:p>
      <w:pPr>
        <w:jc w:val="center"/>
        <w:spacing w:after="0"/>
        <w:rPr>
          <w:sz w:val="20"/>
          <w:szCs w:val="20"/>
          <w:color w:val="auto"/>
        </w:rPr>
      </w:pPr>
      <w:r>
        <w:rPr>
          <w:rFonts w:ascii="Arial" w:cs="Arial" w:eastAsia="Arial" w:hAnsi="Arial"/>
          <w:sz w:val="22"/>
          <w:szCs w:val="22"/>
          <w:b w:val="1"/>
          <w:bCs w:val="1"/>
          <w:color w:val="auto"/>
        </w:rPr>
        <w:t>SUBSIDIARIES OF THE REGISTRANT</w:t>
      </w:r>
      <w:r>
        <w:rPr>
          <w:rFonts w:ascii="Arial" w:cs="Arial" w:eastAsia="Arial" w:hAnsi="Arial"/>
          <w:sz w:val="28"/>
          <w:szCs w:val="28"/>
          <w:b w:val="1"/>
          <w:bCs w:val="1"/>
          <w:color w:val="auto"/>
          <w:vertAlign w:val="superscript"/>
        </w:rPr>
        <w:t>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Subsidiaries of Academy Sports and Outdoors, Inc.</w:t>
            </w:r>
          </w:p>
        </w:tc>
        <w:tc>
          <w:tcPr>
            <w:tcW w:w="100" w:type="dxa"/>
            <w:vAlign w:val="bottom"/>
            <w:vMerge w:val="restart"/>
          </w:tcPr>
          <w:p>
            <w:pPr>
              <w:spacing w:after="0"/>
              <w:rPr>
                <w:sz w:val="21"/>
                <w:szCs w:val="21"/>
                <w:color w:val="auto"/>
              </w:rPr>
            </w:pPr>
          </w:p>
        </w:tc>
        <w:tc>
          <w:tcPr>
            <w:tcW w:w="5020" w:type="dxa"/>
            <w:vAlign w:val="bottom"/>
          </w:tcPr>
          <w:p>
            <w:pPr>
              <w:ind w:left="1620"/>
              <w:spacing w:after="0"/>
              <w:rPr>
                <w:sz w:val="20"/>
                <w:szCs w:val="20"/>
                <w:color w:val="auto"/>
              </w:rPr>
            </w:pPr>
            <w:r>
              <w:rPr>
                <w:rFonts w:ascii="Arial" w:cs="Arial" w:eastAsia="Arial" w:hAnsi="Arial"/>
                <w:sz w:val="22"/>
                <w:szCs w:val="22"/>
                <w:b w:val="1"/>
                <w:bCs w:val="1"/>
                <w:color w:val="auto"/>
              </w:rPr>
              <w:t>State or Country of</w:t>
            </w:r>
          </w:p>
        </w:tc>
        <w:tc>
          <w:tcPr>
            <w:tcW w:w="0" w:type="dxa"/>
            <w:vAlign w:val="bottom"/>
          </w:tcPr>
          <w:p>
            <w:pPr>
              <w:spacing w:after="0"/>
              <w:rPr>
                <w:sz w:val="1"/>
                <w:szCs w:val="1"/>
                <w:color w:val="auto"/>
              </w:rPr>
            </w:pPr>
          </w:p>
        </w:tc>
      </w:tr>
      <w:tr>
        <w:trPr>
          <w:trHeight w:val="282"/>
        </w:trPr>
        <w:tc>
          <w:tcPr>
            <w:tcW w:w="6120" w:type="dxa"/>
            <w:vAlign w:val="bottom"/>
            <w:tcBorders>
              <w:bottom w:val="single" w:sz="8" w:color="auto"/>
            </w:tcBorders>
            <w:vMerge w:val="continue"/>
          </w:tcPr>
          <w:p>
            <w:pPr>
              <w:spacing w:after="0"/>
              <w:rPr>
                <w:sz w:val="24"/>
                <w:szCs w:val="24"/>
                <w:color w:val="auto"/>
              </w:rPr>
            </w:pPr>
          </w:p>
        </w:tc>
        <w:tc>
          <w:tcPr>
            <w:tcW w:w="100" w:type="dxa"/>
            <w:vAlign w:val="bottom"/>
            <w:vMerge w:val="continue"/>
          </w:tcPr>
          <w:p>
            <w:pPr>
              <w:spacing w:after="0"/>
              <w:rPr>
                <w:sz w:val="24"/>
                <w:szCs w:val="24"/>
                <w:color w:val="auto"/>
              </w:rPr>
            </w:pPr>
          </w:p>
        </w:tc>
        <w:tc>
          <w:tcPr>
            <w:tcW w:w="5020" w:type="dxa"/>
            <w:vAlign w:val="bottom"/>
            <w:tcBorders>
              <w:bottom w:val="single" w:sz="8" w:color="auto"/>
            </w:tcBorders>
          </w:tcPr>
          <w:p>
            <w:pPr>
              <w:ind w:left="1220"/>
              <w:spacing w:after="0"/>
              <w:rPr>
                <w:sz w:val="20"/>
                <w:szCs w:val="20"/>
                <w:color w:val="auto"/>
              </w:rPr>
            </w:pPr>
            <w:r>
              <w:rPr>
                <w:rFonts w:ascii="Arial" w:cs="Arial" w:eastAsia="Arial" w:hAnsi="Arial"/>
                <w:sz w:val="22"/>
                <w:szCs w:val="22"/>
                <w:b w:val="1"/>
                <w:bCs w:val="1"/>
                <w:color w:val="auto"/>
              </w:rPr>
              <w:t>Incorporation or Formation</w:t>
            </w:r>
          </w:p>
        </w:tc>
        <w:tc>
          <w:tcPr>
            <w:tcW w:w="0" w:type="dxa"/>
            <w:vAlign w:val="bottom"/>
          </w:tcPr>
          <w:p>
            <w:pPr>
              <w:spacing w:after="0"/>
              <w:rPr>
                <w:sz w:val="1"/>
                <w:szCs w:val="1"/>
                <w:color w:val="auto"/>
              </w:rPr>
            </w:pPr>
          </w:p>
        </w:tc>
      </w:tr>
      <w:tr>
        <w:trPr>
          <w:trHeight w:val="518"/>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New Academy Holding Company, LLC</w:t>
            </w:r>
          </w:p>
        </w:tc>
        <w:tc>
          <w:tcPr>
            <w:tcW w:w="5020" w:type="dxa"/>
            <w:vAlign w:val="bottom"/>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Academy Managing Co., LLC</w:t>
            </w:r>
          </w:p>
        </w:tc>
        <w:tc>
          <w:tcPr>
            <w:tcW w:w="5020" w:type="dxa"/>
            <w:vAlign w:val="bottom"/>
          </w:tcPr>
          <w:p>
            <w:pPr>
              <w:ind w:left="20"/>
              <w:spacing w:after="0"/>
              <w:rPr>
                <w:sz w:val="20"/>
                <w:szCs w:val="20"/>
                <w:color w:val="auto"/>
              </w:rPr>
            </w:pPr>
            <w:r>
              <w:rPr>
                <w:rFonts w:ascii="Arial" w:cs="Arial" w:eastAsia="Arial" w:hAnsi="Arial"/>
                <w:sz w:val="22"/>
                <w:szCs w:val="22"/>
                <w:color w:val="auto"/>
              </w:rPr>
              <w:t>Texas</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Associated Investors, LLC</w:t>
            </w:r>
          </w:p>
        </w:tc>
        <w:tc>
          <w:tcPr>
            <w:tcW w:w="5020" w:type="dxa"/>
            <w:vAlign w:val="bottom"/>
          </w:tcPr>
          <w:p>
            <w:pPr>
              <w:ind w:left="20"/>
              <w:spacing w:after="0"/>
              <w:rPr>
                <w:sz w:val="20"/>
                <w:szCs w:val="20"/>
                <w:color w:val="auto"/>
              </w:rPr>
            </w:pPr>
            <w:r>
              <w:rPr>
                <w:rFonts w:ascii="Arial" w:cs="Arial" w:eastAsia="Arial" w:hAnsi="Arial"/>
                <w:sz w:val="22"/>
                <w:szCs w:val="22"/>
                <w:color w:val="auto"/>
              </w:rPr>
              <w:t>Texas</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Academy, Ltd.</w:t>
            </w:r>
          </w:p>
        </w:tc>
        <w:tc>
          <w:tcPr>
            <w:tcW w:w="5020" w:type="dxa"/>
            <w:vAlign w:val="bottom"/>
          </w:tcPr>
          <w:p>
            <w:pPr>
              <w:ind w:left="20"/>
              <w:spacing w:after="0"/>
              <w:rPr>
                <w:sz w:val="20"/>
                <w:szCs w:val="20"/>
                <w:color w:val="auto"/>
              </w:rPr>
            </w:pPr>
            <w:r>
              <w:rPr>
                <w:rFonts w:ascii="Arial" w:cs="Arial" w:eastAsia="Arial" w:hAnsi="Arial"/>
                <w:sz w:val="22"/>
                <w:szCs w:val="22"/>
                <w:color w:val="auto"/>
              </w:rPr>
              <w:t>Texas</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Academy International Limited</w:t>
            </w:r>
          </w:p>
        </w:tc>
        <w:tc>
          <w:tcPr>
            <w:tcW w:w="5020" w:type="dxa"/>
            <w:vAlign w:val="bottom"/>
          </w:tcPr>
          <w:p>
            <w:pPr>
              <w:ind w:left="20"/>
              <w:spacing w:after="0"/>
              <w:rPr>
                <w:sz w:val="20"/>
                <w:szCs w:val="20"/>
                <w:color w:val="auto"/>
              </w:rPr>
            </w:pPr>
            <w:r>
              <w:rPr>
                <w:rFonts w:ascii="Arial" w:cs="Arial" w:eastAsia="Arial" w:hAnsi="Arial"/>
                <w:sz w:val="22"/>
                <w:szCs w:val="22"/>
                <w:color w:val="auto"/>
              </w:rPr>
              <w:t>Hong Kong</w:t>
            </w:r>
          </w:p>
        </w:tc>
        <w:tc>
          <w:tcPr>
            <w:tcW w:w="0" w:type="dxa"/>
            <w:vAlign w:val="bottom"/>
          </w:tcPr>
          <w:p>
            <w:pPr>
              <w:spacing w:after="0"/>
              <w:rPr>
                <w:sz w:val="1"/>
                <w:szCs w:val="1"/>
                <w:color w:val="auto"/>
              </w:rPr>
            </w:pPr>
          </w:p>
        </w:tc>
      </w:tr>
      <w:tr>
        <w:trPr>
          <w:trHeight w:val="625"/>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Academy Finance Corporation</w:t>
            </w:r>
            <w:r>
              <w:rPr>
                <w:rFonts w:ascii="Arial" w:cs="Arial" w:eastAsia="Arial" w:hAnsi="Arial"/>
                <w:sz w:val="28"/>
                <w:szCs w:val="28"/>
                <w:color w:val="auto"/>
                <w:vertAlign w:val="superscript"/>
              </w:rPr>
              <w:t>2</w:t>
            </w:r>
          </w:p>
        </w:tc>
        <w:tc>
          <w:tcPr>
            <w:tcW w:w="5020" w:type="dxa"/>
            <w:vAlign w:val="bottom"/>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New Academy Finance Corporation</w:t>
            </w:r>
            <w:r>
              <w:rPr>
                <w:rFonts w:ascii="Arial" w:cs="Arial" w:eastAsia="Arial" w:hAnsi="Arial"/>
                <w:sz w:val="28"/>
                <w:szCs w:val="28"/>
                <w:color w:val="auto"/>
                <w:vertAlign w:val="superscript"/>
              </w:rPr>
              <w:t>3</w:t>
            </w:r>
          </w:p>
        </w:tc>
        <w:tc>
          <w:tcPr>
            <w:tcW w:w="5020" w:type="dxa"/>
            <w:vAlign w:val="bottom"/>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New Academy Finance Company, LLC</w:t>
            </w:r>
            <w:r>
              <w:rPr>
                <w:rFonts w:ascii="Arial" w:cs="Arial" w:eastAsia="Arial" w:hAnsi="Arial"/>
                <w:sz w:val="28"/>
                <w:szCs w:val="28"/>
                <w:color w:val="auto"/>
                <w:vertAlign w:val="superscript"/>
              </w:rPr>
              <w:t>4</w:t>
            </w:r>
          </w:p>
        </w:tc>
        <w:tc>
          <w:tcPr>
            <w:tcW w:w="5020" w:type="dxa"/>
            <w:vAlign w:val="bottom"/>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Allstar Managers LLC</w:t>
            </w:r>
            <w:r>
              <w:rPr>
                <w:rFonts w:ascii="Arial" w:cs="Arial" w:eastAsia="Arial" w:hAnsi="Arial"/>
                <w:sz w:val="28"/>
                <w:szCs w:val="28"/>
                <w:color w:val="auto"/>
                <w:vertAlign w:val="superscript"/>
              </w:rPr>
              <w:t>5</w:t>
            </w:r>
          </w:p>
        </w:tc>
        <w:tc>
          <w:tcPr>
            <w:tcW w:w="5020" w:type="dxa"/>
            <w:vAlign w:val="bottom"/>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ASO Blocker Sub L.P.</w:t>
            </w:r>
            <w:r>
              <w:rPr>
                <w:rFonts w:ascii="Arial" w:cs="Arial" w:eastAsia="Arial" w:hAnsi="Arial"/>
                <w:sz w:val="28"/>
                <w:szCs w:val="28"/>
                <w:color w:val="auto"/>
                <w:vertAlign w:val="superscript"/>
              </w:rPr>
              <w:t>6</w:t>
            </w:r>
          </w:p>
        </w:tc>
        <w:tc>
          <w:tcPr>
            <w:tcW w:w="5020" w:type="dxa"/>
            <w:vAlign w:val="bottom"/>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r>
        <w:trPr>
          <w:trHeight w:val="540"/>
        </w:trPr>
        <w:tc>
          <w:tcPr>
            <w:tcW w:w="6220" w:type="dxa"/>
            <w:vAlign w:val="bottom"/>
            <w:gridSpan w:val="2"/>
          </w:tcPr>
          <w:p>
            <w:pPr>
              <w:ind w:left="20"/>
              <w:spacing w:after="0"/>
              <w:rPr>
                <w:sz w:val="20"/>
                <w:szCs w:val="20"/>
                <w:color w:val="auto"/>
              </w:rPr>
            </w:pPr>
            <w:r>
              <w:rPr>
                <w:rFonts w:ascii="Arial" w:cs="Arial" w:eastAsia="Arial" w:hAnsi="Arial"/>
                <w:sz w:val="22"/>
                <w:szCs w:val="22"/>
                <w:color w:val="auto"/>
              </w:rPr>
              <w:t>ASO Co-Invest Blocker Sub, L.P.</w:t>
            </w:r>
            <w:r>
              <w:rPr>
                <w:rFonts w:ascii="Arial" w:cs="Arial" w:eastAsia="Arial" w:hAnsi="Arial"/>
                <w:sz w:val="28"/>
                <w:szCs w:val="28"/>
                <w:color w:val="auto"/>
                <w:vertAlign w:val="superscript"/>
              </w:rPr>
              <w:t>7</w:t>
            </w:r>
          </w:p>
        </w:tc>
        <w:tc>
          <w:tcPr>
            <w:tcW w:w="5020" w:type="dxa"/>
            <w:vAlign w:val="bottom"/>
          </w:tcPr>
          <w:p>
            <w:pPr>
              <w:ind w:left="20"/>
              <w:spacing w:after="0"/>
              <w:rPr>
                <w:sz w:val="20"/>
                <w:szCs w:val="20"/>
                <w:color w:val="auto"/>
              </w:rPr>
            </w:pPr>
            <w:r>
              <w:rPr>
                <w:rFonts w:ascii="Arial" w:cs="Arial" w:eastAsia="Arial" w:hAnsi="Arial"/>
                <w:sz w:val="22"/>
                <w:szCs w:val="22"/>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160" w:hanging="134"/>
        <w:spacing w:after="0"/>
        <w:tabs>
          <w:tab w:leader="none" w:pos="160" w:val="left"/>
        </w:tabs>
        <w:numPr>
          <w:ilvl w:val="0"/>
          <w:numId w:val="132"/>
        </w:numPr>
        <w:rPr>
          <w:rFonts w:ascii="Arial" w:cs="Arial" w:eastAsia="Arial" w:hAnsi="Arial"/>
          <w:sz w:val="28"/>
          <w:szCs w:val="28"/>
          <w:color w:val="auto"/>
          <w:vertAlign w:val="superscript"/>
        </w:rPr>
      </w:pPr>
      <w:r>
        <w:rPr>
          <w:rFonts w:ascii="Arial" w:cs="Arial" w:eastAsia="Arial" w:hAnsi="Arial"/>
          <w:sz w:val="22"/>
          <w:szCs w:val="22"/>
          <w:color w:val="auto"/>
        </w:rPr>
        <w:t>Subsidiaries noted throughout this document may be direct or indirect subsidiaries of the Registrant.</w:t>
      </w:r>
    </w:p>
    <w:p>
      <w:pPr>
        <w:spacing w:after="0" w:line="13" w:lineRule="exact"/>
        <w:rPr>
          <w:rFonts w:ascii="Arial" w:cs="Arial" w:eastAsia="Arial" w:hAnsi="Arial"/>
          <w:sz w:val="28"/>
          <w:szCs w:val="28"/>
          <w:color w:val="auto"/>
          <w:vertAlign w:val="superscript"/>
        </w:rPr>
      </w:pPr>
    </w:p>
    <w:p>
      <w:pPr>
        <w:ind w:left="20"/>
        <w:spacing w:after="0" w:line="201"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22"/>
          <w:szCs w:val="22"/>
          <w:color w:val="auto"/>
        </w:rPr>
        <w:t xml:space="preserve"> This entity was officially dissolved as of October 1, 2020.</w:t>
      </w:r>
    </w:p>
    <w:p>
      <w:pPr>
        <w:ind w:left="20"/>
        <w:spacing w:after="0" w:line="201"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3</w:t>
      </w:r>
      <w:r>
        <w:rPr>
          <w:rFonts w:ascii="Arial" w:cs="Arial" w:eastAsia="Arial" w:hAnsi="Arial"/>
          <w:sz w:val="22"/>
          <w:szCs w:val="22"/>
          <w:color w:val="auto"/>
        </w:rPr>
        <w:t xml:space="preserve"> This entity was officially dissolved as of October 1, 2020.</w:t>
      </w:r>
    </w:p>
    <w:p>
      <w:pPr>
        <w:ind w:left="20"/>
        <w:spacing w:after="0" w:line="201" w:lineRule="auto"/>
        <w:rPr>
          <w:rFonts w:ascii="Arial" w:cs="Arial" w:eastAsia="Arial" w:hAnsi="Arial"/>
          <w:sz w:val="28"/>
          <w:szCs w:val="28"/>
          <w:color w:val="auto"/>
          <w:vertAlign w:val="superscript"/>
        </w:rPr>
      </w:pPr>
      <w:r>
        <w:rPr>
          <w:rFonts w:ascii="Arial" w:cs="Arial" w:eastAsia="Arial" w:hAnsi="Arial"/>
          <w:sz w:val="28"/>
          <w:szCs w:val="28"/>
          <w:color w:val="auto"/>
          <w:vertAlign w:val="superscript"/>
        </w:rPr>
        <w:t>4</w:t>
      </w:r>
      <w:r>
        <w:rPr>
          <w:rFonts w:ascii="Arial" w:cs="Arial" w:eastAsia="Arial" w:hAnsi="Arial"/>
          <w:sz w:val="22"/>
          <w:szCs w:val="22"/>
          <w:color w:val="auto"/>
        </w:rPr>
        <w:t xml:space="preserve"> This entity was officially cancelled as of October 1, 2020.</w:t>
      </w:r>
    </w:p>
    <w:p>
      <w:pPr>
        <w:ind w:left="20" w:right="5780"/>
        <w:spacing w:after="0" w:line="256" w:lineRule="auto"/>
        <w:rPr>
          <w:rFonts w:ascii="Arial" w:cs="Arial" w:eastAsia="Arial" w:hAnsi="Arial"/>
          <w:sz w:val="28"/>
          <w:szCs w:val="28"/>
          <w:color w:val="auto"/>
          <w:vertAlign w:val="superscript"/>
        </w:rPr>
      </w:pPr>
      <w:r>
        <w:rPr>
          <w:rFonts w:ascii="Arial" w:cs="Arial" w:eastAsia="Arial" w:hAnsi="Arial"/>
          <w:sz w:val="25"/>
          <w:szCs w:val="25"/>
          <w:color w:val="auto"/>
          <w:vertAlign w:val="superscript"/>
        </w:rPr>
        <w:t>5</w:t>
      </w:r>
      <w:r>
        <w:rPr>
          <w:rFonts w:ascii="Arial" w:cs="Arial" w:eastAsia="Arial" w:hAnsi="Arial"/>
          <w:sz w:val="19"/>
          <w:szCs w:val="19"/>
          <w:color w:val="auto"/>
        </w:rPr>
        <w:t xml:space="preserve"> This entity was officially cancelled as of December 23, 2020. </w:t>
      </w:r>
      <w:r>
        <w:rPr>
          <w:rFonts w:ascii="Arial" w:cs="Arial" w:eastAsia="Arial" w:hAnsi="Arial"/>
          <w:sz w:val="25"/>
          <w:szCs w:val="25"/>
          <w:color w:val="auto"/>
          <w:vertAlign w:val="superscript"/>
        </w:rPr>
        <w:t>6</w:t>
      </w:r>
      <w:r>
        <w:rPr>
          <w:rFonts w:ascii="Arial" w:cs="Arial" w:eastAsia="Arial" w:hAnsi="Arial"/>
          <w:sz w:val="19"/>
          <w:szCs w:val="19"/>
          <w:color w:val="auto"/>
        </w:rPr>
        <w:t xml:space="preserve"> This entity was officially cancelled as of January 31, 2021.</w:t>
      </w:r>
    </w:p>
    <w:p>
      <w:pPr>
        <w:ind w:left="2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7</w:t>
      </w:r>
      <w:r>
        <w:rPr>
          <w:rFonts w:ascii="Arial" w:cs="Arial" w:eastAsia="Arial" w:hAnsi="Arial"/>
          <w:sz w:val="22"/>
          <w:szCs w:val="22"/>
          <w:color w:val="auto"/>
        </w:rPr>
        <w:t xml:space="preserve"> This entity was officially cancelled as of January 31, 2021.</w:t>
      </w:r>
    </w:p>
    <w:p>
      <w:pPr>
        <w:sectPr>
          <w:pgSz w:w="11900" w:h="16838" w:orient="portrait"/>
          <w:cols w:equalWidth="0" w:num="1">
            <w:col w:w="11240"/>
          </w:cols>
          <w:pgMar w:left="320" w:top="126"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We consent to the incorporation by reference in Registration Statement No. 333-249233 on Form S-8 of our report dated April 7, 2021, relating to the financial statements of Academy Sports and Outdoors, Inc. appearing in this Annual Report on Form 10-K for the year ended January 30, 2021.</w:t>
      </w:r>
    </w:p>
    <w:p>
      <w:pPr>
        <w:spacing w:after="0" w:line="214"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Deloitte and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28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7, 2021</w:t>
      </w:r>
    </w:p>
    <w:p>
      <w:pPr>
        <w:sectPr>
          <w:pgSz w:w="11900" w:h="16838" w:orient="portrait"/>
          <w:cols w:equalWidth="0" w:num="1">
            <w:col w:w="11240"/>
          </w:cols>
          <w:pgMar w:left="320" w:top="126"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117" w:lineRule="exact"/>
        <w:rPr>
          <w:sz w:val="20"/>
          <w:szCs w:val="20"/>
          <w:color w:val="auto"/>
        </w:rPr>
      </w:pPr>
    </w:p>
    <w:p>
      <w:pPr>
        <w:ind w:left="66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January 30, 2021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240" w:type="dxa"/>
            <w:vAlign w:val="bottom"/>
          </w:tcPr>
          <w:p>
            <w:pPr>
              <w:ind w:left="4400"/>
              <w:spacing w:after="0"/>
              <w:rPr>
                <w:sz w:val="20"/>
                <w:szCs w:val="20"/>
                <w:color w:val="auto"/>
              </w:rPr>
            </w:pPr>
            <w:r>
              <w:rPr>
                <w:rFonts w:ascii="Arial" w:cs="Arial" w:eastAsia="Arial" w:hAnsi="Arial"/>
                <w:sz w:val="18"/>
                <w:szCs w:val="18"/>
                <w:color w:val="auto"/>
              </w:rPr>
              <w:t>Date:</w:t>
            </w:r>
          </w:p>
        </w:tc>
        <w:tc>
          <w:tcPr>
            <w:tcW w:w="1420" w:type="dxa"/>
            <w:vAlign w:val="bottom"/>
          </w:tcPr>
          <w:p>
            <w:pPr>
              <w:ind w:left="460"/>
              <w:spacing w:after="0"/>
              <w:rPr>
                <w:sz w:val="20"/>
                <w:szCs w:val="20"/>
                <w:color w:val="auto"/>
              </w:rPr>
            </w:pPr>
            <w:r>
              <w:rPr>
                <w:rFonts w:ascii="Arial" w:cs="Arial" w:eastAsia="Arial" w:hAnsi="Arial"/>
                <w:sz w:val="18"/>
                <w:szCs w:val="18"/>
                <w:color w:val="auto"/>
                <w:w w:val="92"/>
              </w:rPr>
              <w:t>April 7,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2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P. Mullican, certify that:</w:t>
      </w:r>
    </w:p>
    <w:p>
      <w:pPr>
        <w:spacing w:after="0" w:line="117" w:lineRule="exact"/>
        <w:rPr>
          <w:sz w:val="20"/>
          <w:szCs w:val="20"/>
          <w:color w:val="auto"/>
        </w:rPr>
      </w:pPr>
    </w:p>
    <w:p>
      <w:pPr>
        <w:ind w:left="66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January 30, 2021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3" w:lineRule="auto"/>
        <w:tabs>
          <w:tab w:leader="none" w:pos="129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240" w:type="dxa"/>
            <w:vAlign w:val="bottom"/>
          </w:tcPr>
          <w:p>
            <w:pPr>
              <w:ind w:left="4400"/>
              <w:spacing w:after="0"/>
              <w:rPr>
                <w:sz w:val="20"/>
                <w:szCs w:val="20"/>
                <w:color w:val="auto"/>
              </w:rPr>
            </w:pPr>
            <w:r>
              <w:rPr>
                <w:rFonts w:ascii="Arial" w:cs="Arial" w:eastAsia="Arial" w:hAnsi="Arial"/>
                <w:sz w:val="18"/>
                <w:szCs w:val="18"/>
                <w:color w:val="auto"/>
              </w:rPr>
              <w:t>Date:</w:t>
            </w:r>
          </w:p>
        </w:tc>
        <w:tc>
          <w:tcPr>
            <w:tcW w:w="1420" w:type="dxa"/>
            <w:vAlign w:val="bottom"/>
          </w:tcPr>
          <w:p>
            <w:pPr>
              <w:ind w:left="460"/>
              <w:spacing w:after="0"/>
              <w:rPr>
                <w:sz w:val="20"/>
                <w:szCs w:val="20"/>
                <w:color w:val="auto"/>
              </w:rPr>
            </w:pPr>
            <w:r>
              <w:rPr>
                <w:rFonts w:ascii="Arial" w:cs="Arial" w:eastAsia="Arial" w:hAnsi="Arial"/>
                <w:sz w:val="18"/>
                <w:szCs w:val="18"/>
                <w:color w:val="auto"/>
                <w:w w:val="92"/>
              </w:rPr>
              <w:t>April 7,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2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on Form 10-K of Academy Sports and Outdoors, Inc. (the “Company”) for the fiscal year ended January 30, 2021, as filed with the Securities and Exchange Commission on the date hereof (the “Report”), I, Ken C. Hicks, Chairman, President and Chief Executive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240" w:type="dxa"/>
            <w:vAlign w:val="bottom"/>
          </w:tcPr>
          <w:p>
            <w:pPr>
              <w:ind w:left="4400"/>
              <w:spacing w:after="0"/>
              <w:rPr>
                <w:sz w:val="20"/>
                <w:szCs w:val="20"/>
                <w:color w:val="auto"/>
              </w:rPr>
            </w:pPr>
            <w:r>
              <w:rPr>
                <w:rFonts w:ascii="Arial" w:cs="Arial" w:eastAsia="Arial" w:hAnsi="Arial"/>
                <w:sz w:val="18"/>
                <w:szCs w:val="18"/>
                <w:color w:val="auto"/>
              </w:rPr>
              <w:t>Date:</w:t>
            </w:r>
          </w:p>
        </w:tc>
        <w:tc>
          <w:tcPr>
            <w:tcW w:w="1420" w:type="dxa"/>
            <w:vAlign w:val="bottom"/>
          </w:tcPr>
          <w:p>
            <w:pPr>
              <w:ind w:left="460"/>
              <w:spacing w:after="0"/>
              <w:rPr>
                <w:sz w:val="20"/>
                <w:szCs w:val="20"/>
                <w:color w:val="auto"/>
              </w:rPr>
            </w:pPr>
            <w:r>
              <w:rPr>
                <w:rFonts w:ascii="Arial" w:cs="Arial" w:eastAsia="Arial" w:hAnsi="Arial"/>
                <w:sz w:val="18"/>
                <w:szCs w:val="18"/>
                <w:color w:val="auto"/>
                <w:w w:val="92"/>
              </w:rPr>
              <w:t>April 7,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2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on Form 10-K of Academy Sports and Outdoors, Inc. (the “Company”) for the fiscal year ended January 30, 2021, as filed with the Securities and Exchange Commission on the date hereof (the “Report”), I, Michael P. Mullican, Executive Vice President and Chief Financial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240" w:type="dxa"/>
            <w:vAlign w:val="bottom"/>
          </w:tcPr>
          <w:p>
            <w:pPr>
              <w:ind w:left="4400"/>
              <w:spacing w:after="0"/>
              <w:rPr>
                <w:sz w:val="20"/>
                <w:szCs w:val="20"/>
                <w:color w:val="auto"/>
              </w:rPr>
            </w:pPr>
            <w:r>
              <w:rPr>
                <w:rFonts w:ascii="Arial" w:cs="Arial" w:eastAsia="Arial" w:hAnsi="Arial"/>
                <w:sz w:val="18"/>
                <w:szCs w:val="18"/>
                <w:color w:val="auto"/>
              </w:rPr>
              <w:t>Date:</w:t>
            </w:r>
          </w:p>
        </w:tc>
        <w:tc>
          <w:tcPr>
            <w:tcW w:w="1420" w:type="dxa"/>
            <w:vAlign w:val="bottom"/>
          </w:tcPr>
          <w:p>
            <w:pPr>
              <w:ind w:left="460"/>
              <w:spacing w:after="0"/>
              <w:rPr>
                <w:sz w:val="20"/>
                <w:szCs w:val="20"/>
                <w:color w:val="auto"/>
              </w:rPr>
            </w:pPr>
            <w:r>
              <w:rPr>
                <w:rFonts w:ascii="Arial" w:cs="Arial" w:eastAsia="Arial" w:hAnsi="Arial"/>
                <w:sz w:val="18"/>
                <w:szCs w:val="18"/>
                <w:color w:val="auto"/>
                <w:w w:val="92"/>
              </w:rPr>
              <w:t>April 7, 2021</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24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lvl w:ilvl="1">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1)"/>
      <w:numFmt w:val="decimal"/>
      <w:start w:val="1"/>
    </w:lvl>
  </w:abstractNum>
  <w:abstractNum w:abstractNumId="8">
    <w:nsid w:val="168E121F"/>
    <w:multiLevelType w:val="hybridMultilevel"/>
    <w:lvl w:ilvl="0">
      <w:lvlJc w:val="left"/>
      <w:lvlText w:val="(%1)"/>
      <w:numFmt w:val="decimal"/>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1)"/>
      <w:numFmt w:val="decimal"/>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1)"/>
      <w:numFmt w:val="lowerLetter"/>
      <w:start w:val="1"/>
    </w:lvl>
  </w:abstractNum>
  <w:abstractNum w:abstractNumId="32">
    <w:nsid w:val="7FB7E0AA"/>
    <w:multiLevelType w:val="hybridMultilevel"/>
    <w:lvl w:ilvl="0">
      <w:lvlJc w:val="left"/>
      <w:lvlText w:val="(%1)"/>
      <w:numFmt w:val="decimal"/>
      <w:start w:val="1"/>
    </w:lvl>
  </w:abstractNum>
  <w:abstractNum w:abstractNumId="33">
    <w:nsid w:val="6EB5BD4"/>
    <w:multiLevelType w:val="hybridMultilevel"/>
    <w:lvl w:ilvl="0">
      <w:lvlJc w:val="left"/>
      <w:lvlText w:val="(%1)"/>
      <w:numFmt w:val="lowerLetter"/>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
      <w:numFmt w:val="bullet"/>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1)"/>
      <w:numFmt w:val="decimal"/>
      <w:start w:val="1"/>
    </w:lvl>
  </w:abstractNum>
  <w:abstractNum w:abstractNumId="42">
    <w:nsid w:val="74DE0EE3"/>
    <w:multiLevelType w:val="hybridMultilevel"/>
    <w:lvl w:ilvl="0">
      <w:lvlJc w:val="left"/>
      <w:lvlText w:val="(%1)"/>
      <w:numFmt w:val="decimal"/>
      <w:start w:val="1"/>
    </w:lvl>
  </w:abstractNum>
  <w:abstractNum w:abstractNumId="43">
    <w:nsid w:val="68EBC550"/>
    <w:multiLevelType w:val="hybridMultilevel"/>
    <w:lvl w:ilvl="0">
      <w:lvlJc w:val="left"/>
      <w:lvlText w:val="(%1)"/>
      <w:numFmt w:val="lowerLetter"/>
      <w:start w:val="1"/>
    </w:lvl>
    <w:lvl w:ilvl="1">
      <w:lvlJc w:val="left"/>
      <w:lvlText w:val="(%2)"/>
      <w:numFmt w:val="decimal"/>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1)"/>
      <w:numFmt w:val="decimal"/>
      <w:start w:val="1"/>
    </w:lvl>
  </w:abstractNum>
  <w:abstractNum w:abstractNumId="46">
    <w:nsid w:val="4A2AC315"/>
    <w:multiLevelType w:val="hybridMultilevel"/>
    <w:lvl w:ilvl="0">
      <w:lvlJc w:val="left"/>
      <w:lvlText w:val="(%1)"/>
      <w:numFmt w:val="decimal"/>
      <w:start w:val="1"/>
    </w:lvl>
  </w:abstractNum>
  <w:abstractNum w:abstractNumId="47">
    <w:nsid w:val="39EE015C"/>
    <w:multiLevelType w:val="hybridMultilevel"/>
    <w:lvl w:ilvl="0">
      <w:lvlJc w:val="left"/>
      <w:lvlText w:val="%1."/>
      <w:numFmt w:val="decimal"/>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1."/>
      <w:numFmt w:val="decimal"/>
      <w:start w:val="2"/>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1."/>
      <w:numFmt w:val="decimal"/>
      <w:start w:val="3"/>
    </w:lvl>
  </w:abstractNum>
  <w:abstractNum w:abstractNumId="52">
    <w:nsid w:val="26F324BA"/>
    <w:multiLevelType w:val="hybridMultilevel"/>
    <w:lvl w:ilvl="0">
      <w:lvlJc w:val="left"/>
      <w:lvlText w:val="(%1)"/>
      <w:numFmt w:val="decimal"/>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1."/>
      <w:numFmt w:val="decimal"/>
      <w:start w:val="5"/>
    </w:lvl>
  </w:abstractNum>
  <w:abstractNum w:abstractNumId="57">
    <w:nsid w:val="50801EE1"/>
    <w:multiLevelType w:val="hybridMultilevel"/>
    <w:lvl w:ilvl="0">
      <w:lvlJc w:val="left"/>
      <w:lvlText w:val="%1."/>
      <w:numFmt w:val="decimal"/>
      <w:start w:val="6"/>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1."/>
      <w:numFmt w:val="decimal"/>
      <w:start w:val="8"/>
    </w:lvl>
  </w:abstractNum>
  <w:abstractNum w:abstractNumId="60">
    <w:nsid w:val="6AA78F7F"/>
    <w:multiLevelType w:val="hybridMultilevel"/>
    <w:lvl w:ilvl="0">
      <w:lvlJc w:val="left"/>
      <w:lvlText w:val="%1."/>
      <w:numFmt w:val="decimal"/>
      <w:start w:val="9"/>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1)"/>
      <w:numFmt w:val="decimal"/>
      <w:start w:val="1"/>
    </w:lvl>
  </w:abstractNum>
  <w:abstractNum w:abstractNumId="63">
    <w:nsid w:val="6A5F7029"/>
    <w:multiLevelType w:val="hybridMultilevel"/>
    <w:lvl w:ilvl="0">
      <w:lvlJc w:val="left"/>
      <w:lvlText w:val="(%1)"/>
      <w:numFmt w:val="decimal"/>
      <w:start w:val="1"/>
    </w:lvl>
  </w:abstractNum>
  <w:abstractNum w:abstractNumId="64">
    <w:nsid w:val="7D5E18F8"/>
    <w:multiLevelType w:val="hybridMultilevel"/>
    <w:lvl w:ilvl="0">
      <w:lvlJc w:val="left"/>
      <w:lvlText w:val="(%1)"/>
      <w:numFmt w:val="decimal"/>
      <w:start w:val="1"/>
    </w:lvl>
  </w:abstractNum>
  <w:abstractNum w:abstractNumId="65">
    <w:nsid w:val="5F3534A4"/>
    <w:multiLevelType w:val="hybridMultilevel"/>
    <w:lvl w:ilvl="0">
      <w:lvlJc w:val="left"/>
      <w:lvlText w:val="(%1)"/>
      <w:numFmt w:val="decimal"/>
      <w:start w:val="1"/>
    </w:lvl>
  </w:abstractNum>
  <w:abstractNum w:abstractNumId="66">
    <w:nsid w:val="73A1821B"/>
    <w:multiLevelType w:val="hybridMultilevel"/>
    <w:lvl w:ilvl="0">
      <w:lvlJc w:val="left"/>
      <w:lvlText w:val="%1"/>
      <w:numFmt w:val="decimal"/>
      <w:start w:val="1"/>
    </w:lvl>
    <w:lvl w:ilvl="1">
      <w:lvlJc w:val="left"/>
      <w:lvlText w:val="(%2)"/>
      <w:numFmt w:val="decimal"/>
      <w:start w:val="1"/>
    </w:lvl>
  </w:abstractNum>
  <w:abstractNum w:abstractNumId="67">
    <w:nsid w:val="7DE67713"/>
    <w:multiLevelType w:val="hybridMultilevel"/>
    <w:lvl w:ilvl="0">
      <w:lvlJc w:val="left"/>
      <w:lvlText w:val="%1."/>
      <w:numFmt w:val="decimal"/>
      <w:start w:val="11"/>
    </w:lvl>
    <w:lvl w:ilvl="1">
      <w:lvlJc w:val="left"/>
      <w:lvlText w:val="%2"/>
      <w:numFmt w:val="decimal"/>
      <w:start w:val="1"/>
    </w:lvl>
  </w:abstractNum>
  <w:abstractNum w:abstractNumId="68">
    <w:nsid w:val="555C55B5"/>
    <w:multiLevelType w:val="hybridMultilevel"/>
    <w:lvl w:ilvl="0">
      <w:lvlJc w:val="left"/>
      <w:lvlText w:val="%1"/>
      <w:numFmt w:val="decimal"/>
      <w:start w:val="1"/>
    </w:lvl>
    <w:lvl w:ilvl="1">
      <w:lvlJc w:val="left"/>
      <w:lvlText w:val="(%2)"/>
      <w:numFmt w:val="decimal"/>
      <w:start w:val="1"/>
    </w:lvl>
  </w:abstractNum>
  <w:abstractNum w:abstractNumId="69">
    <w:nsid w:val="3FA62ACA"/>
    <w:multiLevelType w:val="hybridMultilevel"/>
    <w:lvl w:ilvl="0">
      <w:lvlJc w:val="left"/>
      <w:lvlText w:val="%1."/>
      <w:numFmt w:val="decimal"/>
      <w:start w:val="13"/>
    </w:lvl>
    <w:lvl w:ilvl="1">
      <w:lvlJc w:val="left"/>
      <w:lvlText w:val="%2"/>
      <w:numFmt w:val="decimal"/>
      <w:start w:val="1"/>
    </w:lvl>
  </w:abstractNum>
  <w:abstractNum w:abstractNumId="70">
    <w:nsid w:val="14FCE74E"/>
    <w:multiLevelType w:val="hybridMultilevel"/>
    <w:lvl w:ilvl="0">
      <w:lvlJc w:val="left"/>
      <w:lvlText w:val="&amp;"/>
      <w:numFmt w:val="bullet"/>
      <w:start w:val="1"/>
    </w:lvl>
  </w:abstractNum>
  <w:abstractNum w:abstractNumId="71">
    <w:nsid w:val="6A3DD3E8"/>
    <w:multiLevelType w:val="hybridMultilevel"/>
    <w:lvl w:ilvl="0">
      <w:lvlJc w:val="left"/>
      <w:lvlText w:val="%1."/>
      <w:numFmt w:val="decimal"/>
      <w:start w:val="14"/>
    </w:lvl>
  </w:abstractNum>
  <w:abstractNum w:abstractNumId="72">
    <w:nsid w:val="71C91298"/>
    <w:multiLevelType w:val="hybridMultilevel"/>
    <w:lvl w:ilvl="0">
      <w:lvlJc w:val="left"/>
      <w:lvlText w:val="%1."/>
      <w:numFmt w:val="decimal"/>
      <w:start w:val="15"/>
    </w:lvl>
  </w:abstractNum>
  <w:abstractNum w:abstractNumId="73">
    <w:nsid w:val="9DAF632"/>
    <w:multiLevelType w:val="hybridMultilevel"/>
    <w:lvl w:ilvl="0">
      <w:lvlJc w:val="left"/>
      <w:lvlText w:val="(%1)"/>
      <w:numFmt w:val="decimal"/>
      <w:start w:val="1"/>
    </w:lvl>
  </w:abstractNum>
  <w:abstractNum w:abstractNumId="74">
    <w:nsid w:val="53299938"/>
    <w:multiLevelType w:val="hybridMultilevel"/>
    <w:lvl w:ilvl="0">
      <w:lvlJc w:val="left"/>
      <w:lvlText w:val="(%1)"/>
      <w:numFmt w:val="decimal"/>
      <w:start w:val="1"/>
    </w:lvl>
  </w:abstractNum>
  <w:abstractNum w:abstractNumId="75">
    <w:nsid w:val="1FBFE8E0"/>
    <w:multiLevelType w:val="hybridMultilevel"/>
    <w:lvl w:ilvl="0">
      <w:lvlJc w:val="left"/>
      <w:lvlText w:val="%1)"/>
      <w:numFmt w:val="decimal"/>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1)"/>
      <w:numFmt w:val="decimal"/>
      <w:start w:val="1"/>
    </w:lvl>
  </w:abstractNum>
  <w:abstractNum w:abstractNumId="79">
    <w:nsid w:val="288F1A34"/>
    <w:multiLevelType w:val="hybridMultilevel"/>
    <w:lvl w:ilvl="0">
      <w:lvlJc w:val="left"/>
      <w:lvlText w:val="1"/>
      <w:numFmt w:val="bullet"/>
      <w:start w:val="1"/>
    </w:lvl>
  </w:abstractNum>
  <w:abstractNum w:abstractNumId="80">
    <w:nsid w:val="2A155DBC"/>
    <w:multiLevelType w:val="hybridMultilevel"/>
    <w:lvl w:ilvl="0">
      <w:lvlJc w:val="left"/>
      <w:lvlText w:val="%1."/>
      <w:numFmt w:val="lowerRoman"/>
      <w:start w:val="1"/>
    </w:lvl>
  </w:abstractNum>
  <w:abstractNum w:abstractNumId="81">
    <w:nsid w:val="1D9F6E5F"/>
    <w:multiLevelType w:val="hybridMultilevel"/>
    <w:lvl w:ilvl="0">
      <w:lvlJc w:val="left"/>
      <w:lvlText w:val="2"/>
      <w:numFmt w:val="bullet"/>
      <w:start w:val="1"/>
    </w:lvl>
  </w:abstractNum>
  <w:abstractNum w:abstractNumId="82">
    <w:nsid w:val="97E1B4E"/>
    <w:multiLevelType w:val="hybridMultilevel"/>
    <w:lvl w:ilvl="0">
      <w:lvlJc w:val="left"/>
      <w:lvlText w:val="3"/>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1."/>
      <w:numFmt w:val="decimal"/>
      <w:start w:val="1"/>
    </w:lvl>
  </w:abstractNum>
  <w:abstractNum w:abstractNumId="85">
    <w:nsid w:val="53584BCB"/>
    <w:multiLevelType w:val="hybridMultilevel"/>
    <w:lvl w:ilvl="0">
      <w:lvlJc w:val="left"/>
      <w:lvlText w:val="%1."/>
      <w:numFmt w:val="decimal"/>
      <w:start w:val="5"/>
    </w:lvl>
  </w:abstractNum>
  <w:abstractNum w:abstractNumId="86">
    <w:nsid w:val="415E286C"/>
    <w:multiLevelType w:val="hybridMultilevel"/>
    <w:lvl w:ilvl="0">
      <w:lvlJc w:val="left"/>
      <w:lvlText w:val="%1."/>
      <w:numFmt w:val="decimal"/>
      <w:start w:val="8"/>
    </w:lvl>
  </w:abstractNum>
  <w:abstractNum w:abstractNumId="87">
    <w:nsid w:val="7C58FD05"/>
    <w:multiLevelType w:val="hybridMultilevel"/>
    <w:lvl w:ilvl="0">
      <w:lvlJc w:val="left"/>
      <w:lvlText w:val="%1."/>
      <w:numFmt w:val="decimal"/>
      <w:start w:val="10"/>
    </w:lvl>
  </w:abstractNum>
  <w:abstractNum w:abstractNumId="88">
    <w:nsid w:val="23D86AAC"/>
    <w:multiLevelType w:val="hybridMultilevel"/>
    <w:lvl w:ilvl="0">
      <w:lvlJc w:val="left"/>
      <w:lvlText w:val="%1."/>
      <w:numFmt w:val="decimal"/>
      <w:start w:val="15"/>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
      <w:numFmt w:val="bullet"/>
      <w:start w:val="1"/>
    </w:lvl>
  </w:abstractNum>
  <w:abstractNum w:abstractNumId="91">
    <w:nsid w:val="E7FFA2B"/>
    <w:multiLevelType w:val="hybridMultilevel"/>
    <w:lvl w:ilvl="0">
      <w:lvlJc w:val="left"/>
      <w:lvlText w:val="("/>
      <w:numFmt w:val="bullet"/>
      <w:start w:val="1"/>
    </w:lvl>
  </w:abstractNum>
  <w:abstractNum w:abstractNumId="92">
    <w:nsid w:val="3C5991AA"/>
    <w:multiLevelType w:val="hybridMultilevel"/>
    <w:lvl w:ilvl="0">
      <w:lvlJc w:val="left"/>
      <w:lvlText w:val="(%1)"/>
      <w:numFmt w:val="lowerLetter"/>
      <w:start w:val="1"/>
    </w:lvl>
  </w:abstractNum>
  <w:abstractNum w:abstractNumId="93">
    <w:nsid w:val="4BD8591A"/>
    <w:multiLevelType w:val="hybridMultilevel"/>
    <w:lvl w:ilvl="0">
      <w:lvlJc w:val="left"/>
      <w:lvlText w:val="(%1)"/>
      <w:numFmt w:val="lowerLetter"/>
      <w:start w:val="7"/>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1"/>
    </w:lvl>
  </w:abstractNum>
  <w:abstractNum w:abstractNumId="96">
    <w:nsid w:val="2B0D8DBE"/>
    <w:multiLevelType w:val="hybridMultilevel"/>
    <w:lvl w:ilvl="0">
      <w:lvlJc w:val="left"/>
      <w:lvlText w:val="(%1)"/>
      <w:numFmt w:val="lowerLetter"/>
      <w:start w:val="2"/>
    </w:lvl>
  </w:abstractNum>
  <w:abstractNum w:abstractNumId="97">
    <w:nsid w:val="6C80EC70"/>
    <w:multiLevelType w:val="hybridMultilevel"/>
    <w:lvl w:ilvl="0">
      <w:lvlJc w:val="left"/>
      <w:lvlText w:val="%1."/>
      <w:numFmt w:val="decimal"/>
      <w:start w:val="1"/>
    </w:lvl>
  </w:abstractNum>
  <w:abstractNum w:abstractNumId="98">
    <w:nsid w:val="379E21B5"/>
    <w:multiLevelType w:val="hybridMultilevel"/>
    <w:lvl w:ilvl="0">
      <w:lvlJc w:val="left"/>
      <w:lvlText w:val="%1."/>
      <w:numFmt w:val="decimal"/>
      <w:start w:val="2"/>
    </w:lvl>
  </w:abstractNum>
  <w:abstractNum w:abstractNumId="99">
    <w:nsid w:val="69E373"/>
    <w:multiLevelType w:val="hybridMultilevel"/>
    <w:lvl w:ilvl="0">
      <w:lvlJc w:val="left"/>
      <w:lvlText w:val="(%1)"/>
      <w:numFmt w:val="lowerLetter"/>
      <w:start w:val="1"/>
    </w:lvl>
  </w:abstractNum>
  <w:abstractNum w:abstractNumId="100">
    <w:nsid w:val="2C27173B"/>
    <w:multiLevelType w:val="hybridMultilevel"/>
    <w:lvl w:ilvl="0">
      <w:lvlJc w:val="left"/>
      <w:lvlText w:val="(%1)"/>
      <w:numFmt w:val="lowerLetter"/>
      <w:start w:val="5"/>
    </w:lvl>
  </w:abstractNum>
  <w:abstractNum w:abstractNumId="101">
    <w:nsid w:val="4C9B0904"/>
    <w:multiLevelType w:val="hybridMultilevel"/>
    <w:lvl w:ilvl="0">
      <w:lvlJc w:val="left"/>
      <w:lvlText w:val="(%1)"/>
      <w:numFmt w:val="lowerLetter"/>
      <w:start w:val="6"/>
    </w:lvl>
  </w:abstractNum>
  <w:abstractNum w:abstractNumId="102">
    <w:nsid w:val="6AA7B75C"/>
    <w:multiLevelType w:val="hybridMultilevel"/>
    <w:lvl w:ilvl="0">
      <w:lvlJc w:val="left"/>
      <w:lvlText w:val="%1."/>
      <w:numFmt w:val="decimal"/>
      <w:start w:val="3"/>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Letter"/>
      <w:start w:val="2"/>
    </w:lvl>
  </w:abstractNum>
  <w:abstractNum w:abstractNumId="105">
    <w:nsid w:val="3DD15094"/>
    <w:multiLevelType w:val="hybridMultilevel"/>
    <w:lvl w:ilvl="0">
      <w:lvlJc w:val="left"/>
      <w:lvlText w:val="(%1)"/>
      <w:numFmt w:val="lowerLetter"/>
      <w:start w:val="6"/>
    </w:lvl>
  </w:abstractNum>
  <w:abstractNum w:abstractNumId="106">
    <w:nsid w:val="3DB012B3"/>
    <w:multiLevelType w:val="hybridMultilevel"/>
    <w:lvl w:ilvl="0">
      <w:lvlJc w:val="left"/>
      <w:lvlText w:val="%1."/>
      <w:numFmt w:val="decimal"/>
      <w:start w:val="5"/>
    </w:lvl>
  </w:abstractNum>
  <w:abstractNum w:abstractNumId="107">
    <w:nsid w:val="2708C9AF"/>
    <w:multiLevelType w:val="hybridMultilevel"/>
    <w:lvl w:ilvl="0">
      <w:lvlJc w:val="left"/>
      <w:lvlText w:val="(%1)"/>
      <w:numFmt w:val="lowerLetter"/>
      <w:start w:val="1"/>
    </w:lvl>
  </w:abstractNum>
  <w:abstractNum w:abstractNumId="108">
    <w:nsid w:val="5B25ACE2"/>
    <w:multiLevelType w:val="hybridMultilevel"/>
    <w:lvl w:ilvl="0">
      <w:lvlJc w:val="left"/>
      <w:lvlText w:val="(%1)"/>
      <w:numFmt w:val="lowerLetter"/>
      <w:start w:val="4"/>
    </w:lvl>
    <w:lvl w:ilvl="1">
      <w:lvlJc w:val="left"/>
      <w:lvlText w:val="%2."/>
      <w:numFmt w:val="lowerLetter"/>
      <w:start w:val="1"/>
    </w:lvl>
  </w:abstractNum>
  <w:abstractNum w:abstractNumId="109">
    <w:nsid w:val="175DFCF0"/>
    <w:multiLevelType w:val="hybridMultilevel"/>
    <w:lvl w:ilvl="0">
      <w:lvlJc w:val="left"/>
      <w:lvlText w:val="%1."/>
      <w:numFmt w:val="decimal"/>
      <w:start w:val="7"/>
    </w:lvl>
  </w:abstractNum>
  <w:abstractNum w:abstractNumId="110">
    <w:nsid w:val="4F97E3E4"/>
    <w:multiLevelType w:val="hybridMultilevel"/>
    <w:lvl w:ilvl="0">
      <w:lvlJc w:val="left"/>
      <w:lvlText w:val="%1."/>
      <w:numFmt w:val="decimal"/>
      <w:start w:val="8"/>
    </w:lvl>
  </w:abstractNum>
  <w:abstractNum w:abstractNumId="111">
    <w:nsid w:val="53B0A9E"/>
    <w:multiLevelType w:val="hybridMultilevel"/>
    <w:lvl w:ilvl="0">
      <w:lvlJc w:val="left"/>
      <w:lvlText w:val="%1."/>
      <w:numFmt w:val="lowerLetter"/>
      <w:start w:val="4"/>
    </w:lvl>
  </w:abstractNum>
  <w:abstractNum w:abstractNumId="112">
    <w:nsid w:val="34FD6B4F"/>
    <w:multiLevelType w:val="hybridMultilevel"/>
    <w:lvl w:ilvl="0">
      <w:lvlJc w:val="left"/>
      <w:lvlText w:val="%1."/>
      <w:numFmt w:val="lowerLetter"/>
      <w:start w:val="7"/>
    </w:lvl>
  </w:abstractNum>
  <w:abstractNum w:abstractNumId="113">
    <w:nsid w:val="5915FF32"/>
    <w:multiLevelType w:val="hybridMultilevel"/>
    <w:lvl w:ilvl="0">
      <w:lvlJc w:val="left"/>
      <w:lvlText w:val="%1."/>
      <w:numFmt w:val="lowerLetter"/>
      <w:start w:val="8"/>
    </w:lvl>
  </w:abstractNum>
  <w:abstractNum w:abstractNumId="114">
    <w:nsid w:val="56438D15"/>
    <w:multiLevelType w:val="hybridMultilevel"/>
    <w:lvl w:ilvl="0">
      <w:lvlJc w:val="left"/>
      <w:lvlText w:val="%1."/>
      <w:numFmt w:val="lowerLetter"/>
      <w:start w:val="11"/>
    </w:lvl>
  </w:abstractNum>
  <w:abstractNum w:abstractNumId="115">
    <w:nsid w:val="519E3149"/>
    <w:multiLevelType w:val="hybridMultilevel"/>
    <w:lvl w:ilvl="0">
      <w:lvlJc w:val="left"/>
      <w:lvlText w:val="%1"/>
      <w:numFmt w:val="lowerRoman"/>
      <w:start w:val="1"/>
    </w:lvl>
    <w:lvl w:ilvl="1">
      <w:lvlJc w:val="left"/>
      <w:lvlText w:val="%2."/>
      <w:numFmt w:val="lowerLetter"/>
      <w:start w:val="13"/>
    </w:lvl>
  </w:abstractNum>
  <w:abstractNum w:abstractNumId="116">
    <w:nsid w:val="2C6E4AFD"/>
    <w:multiLevelType w:val="hybridMultilevel"/>
    <w:lvl w:ilvl="0">
      <w:lvlJc w:val="left"/>
      <w:lvlText w:val="(%1)"/>
      <w:numFmt w:val="lowerRoman"/>
      <w:start w:val="10"/>
    </w:lvl>
    <w:lvl w:ilvl="1">
      <w:lvlJc w:val="left"/>
      <w:lvlText w:val="%2."/>
      <w:numFmt w:val="lowerLetter"/>
      <w:start w:val="14"/>
    </w:lvl>
  </w:abstractNum>
  <w:abstractNum w:abstractNumId="117">
    <w:nsid w:val="17A1B582"/>
    <w:multiLevelType w:val="hybridMultilevel"/>
    <w:lvl w:ilvl="0">
      <w:lvlJc w:val="left"/>
      <w:lvlText w:val="(%1)"/>
      <w:numFmt w:val="upperLetter"/>
      <w:start w:val="2"/>
    </w:lvl>
    <w:lvl w:ilvl="1">
      <w:lvlJc w:val="left"/>
      <w:lvlText w:val="%2."/>
      <w:numFmt w:val="decimal"/>
      <w:start w:val="9"/>
    </w:lvl>
  </w:abstractNum>
  <w:abstractNum w:abstractNumId="118">
    <w:nsid w:val="4DF72E4E"/>
    <w:multiLevelType w:val="hybridMultilevel"/>
    <w:lvl w:ilvl="0">
      <w:lvlJc w:val="left"/>
      <w:lvlText w:val="%1."/>
      <w:numFmt w:val="lowerLetter"/>
      <w:start w:val="15"/>
    </w:lvl>
  </w:abstractNum>
  <w:abstractNum w:abstractNumId="119">
    <w:nsid w:val="5046B5A9"/>
    <w:multiLevelType w:val="hybridMultilevel"/>
    <w:lvl w:ilvl="0">
      <w:lvlJc w:val="left"/>
      <w:lvlText w:val="(%1)"/>
      <w:numFmt w:val="decimal"/>
      <w:start w:val="18"/>
    </w:lvl>
  </w:abstractNum>
  <w:abstractNum w:abstractNumId="120">
    <w:nsid w:val="5D888A08"/>
    <w:multiLevelType w:val="hybridMultilevel"/>
    <w:lvl w:ilvl="0">
      <w:lvlJc w:val="left"/>
      <w:lvlText w:val="%1."/>
      <w:numFmt w:val="lowerLetter"/>
      <w:start w:val="18"/>
    </w:lvl>
  </w:abstractNum>
  <w:abstractNum w:abstractNumId="121">
    <w:nsid w:val="2A082C70"/>
    <w:multiLevelType w:val="hybridMultilevel"/>
    <w:lvl w:ilvl="0">
      <w:lvlJc w:val="left"/>
      <w:lvlText w:val="%1."/>
      <w:numFmt w:val="decimal"/>
      <w:start w:val="10"/>
    </w:lvl>
  </w:abstractNum>
  <w:abstractNum w:abstractNumId="122">
    <w:nsid w:val="5EC6AFD4"/>
    <w:multiLevelType w:val="hybridMultilevel"/>
    <w:lvl w:ilvl="0">
      <w:lvlJc w:val="left"/>
      <w:lvlText w:val="(%1)"/>
      <w:numFmt w:val="lowerRoman"/>
      <w:start w:val="2"/>
    </w:lvl>
  </w:abstractNum>
  <w:abstractNum w:abstractNumId="123">
    <w:nsid w:val="19E21BB2"/>
    <w:multiLevelType w:val="hybridMultilevel"/>
    <w:lvl w:ilvl="0">
      <w:lvlJc w:val="left"/>
      <w:lvlText w:val="%1."/>
      <w:numFmt w:val="decimal"/>
      <w:start w:val="11"/>
    </w:lvl>
  </w:abstractNum>
  <w:abstractNum w:abstractNumId="124">
    <w:nsid w:val="75E0858A"/>
    <w:multiLevelType w:val="hybridMultilevel"/>
    <w:lvl w:ilvl="0">
      <w:lvlJc w:val="left"/>
      <w:lvlText w:val="%1."/>
      <w:numFmt w:val="decimal"/>
      <w:start w:val="12"/>
    </w:lvl>
  </w:abstractNum>
  <w:abstractNum w:abstractNumId="125">
    <w:nsid w:val="57A61A29"/>
    <w:multiLevelType w:val="hybridMultilevel"/>
    <w:lvl w:ilvl="0">
      <w:lvlJc w:val="left"/>
      <w:lvlText w:val="%1."/>
      <w:numFmt w:val="decimal"/>
      <w:start w:val="13"/>
    </w:lvl>
  </w:abstractNum>
  <w:abstractNum w:abstractNumId="126">
    <w:nsid w:val="5399C654"/>
    <w:multiLevelType w:val="hybridMultilevel"/>
    <w:lvl w:ilvl="0">
      <w:lvlJc w:val="left"/>
      <w:lvlText w:val="%1."/>
      <w:numFmt w:val="decimal"/>
      <w:start w:val="15"/>
    </w:lvl>
  </w:abstractNum>
  <w:abstractNum w:abstractNumId="127">
    <w:nsid w:val="20EE1348"/>
    <w:multiLevelType w:val="hybridMultilevel"/>
    <w:lvl w:ilvl="0">
      <w:lvlJc w:val="left"/>
      <w:lvlText w:val="%1."/>
      <w:numFmt w:val="decimal"/>
      <w:start w:val="19"/>
    </w:lvl>
  </w:abstractNum>
  <w:abstractNum w:abstractNumId="128">
    <w:nsid w:val="4427069A"/>
    <w:multiLevelType w:val="hybridMultilevel"/>
    <w:lvl w:ilvl="0">
      <w:lvlJc w:val="left"/>
      <w:lvlText w:val="%1."/>
      <w:numFmt w:val="decimal"/>
      <w:start w:val="1"/>
    </w:lvl>
  </w:abstractNum>
  <w:abstractNum w:abstractNumId="129">
    <w:nsid w:val="B37E80A"/>
    <w:multiLevelType w:val="hybridMultilevel"/>
    <w:lvl w:ilvl="0">
      <w:lvlJc w:val="left"/>
      <w:lvlText w:val="%1."/>
      <w:numFmt w:val="lowerLetter"/>
      <w:start w:val="1"/>
    </w:lvl>
  </w:abstractNum>
  <w:abstractNum w:abstractNumId="130">
    <w:nsid w:val="2157F6BC"/>
    <w:multiLevelType w:val="hybridMultilevel"/>
    <w:lvl w:ilvl="0">
      <w:lvlJc w:val="left"/>
      <w:lvlText w:val="%1."/>
      <w:numFmt w:val="lowerLetter"/>
      <w:start w:val="2"/>
    </w:lvl>
  </w:abstractNum>
  <w:abstractNum w:abstractNumId="131">
    <w:nsid w:val="704E1DD5"/>
    <w:multiLevelType w:val="hybridMultilevel"/>
    <w:lvl w:ilvl="0">
      <w:lvlJc w:val="left"/>
      <w:lvlText w:val="1"/>
      <w:numFmt w:val="bullet"/>
      <w:start w:val="1"/>
    </w:lvl>
  </w:abstractNum>
  <w:abstractNum w:abstractNumId="132">
    <w:nsid w:val="57D2F10E"/>
    <w:multiLevelType w:val="hybridMultilevel"/>
    <w:lvl w:ilvl="0">
      <w:lvlJc w:val="left"/>
      <w:lvlText w:val="%1."/>
      <w:numFmt w:val="decimal"/>
      <w:start w:val="1"/>
    </w:lvl>
    <w:lvl w:ilvl="1">
      <w:lvlJc w:val="left"/>
      <w:lvlText w:val="%2."/>
      <w:numFmt w:val="lowerLetter"/>
      <w:start w:val="1"/>
    </w:lvl>
  </w:abstractNum>
  <w:abstractNum w:abstractNumId="133">
    <w:nsid w:val="BFFAE18"/>
    <w:multiLevelType w:val="hybridMultilevel"/>
    <w:lvl w:ilvl="0">
      <w:lvlJc w:val="left"/>
      <w:lvlText w:val="%1."/>
      <w:numFmt w:val="decimal"/>
      <w:start w:val="1"/>
    </w:lvl>
    <w:lvl w:ilvl="1">
      <w:lvlJc w:val="left"/>
      <w:lvlText w:val="%2."/>
      <w:numFmt w:val="lowerLetter"/>
      <w:start w:val="1"/>
    </w:lvl>
  </w:abstractNum>
  <w:abstractNum w:abstractNumId="134">
    <w:nsid w:val="E3E47A8"/>
    <w:multiLevelType w:val="hybridMultilevel"/>
    <w:lvl w:ilvl="0">
      <w:lvlJc w:val="left"/>
      <w:lvlText w:val="%1."/>
      <w:numFmt w:val="decimal"/>
      <w:start w:val="1"/>
    </w:lvl>
  </w:abstractNum>
  <w:abstractNum w:abstractNumId="135">
    <w:nsid w:val="2E48F04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png"/><Relationship Id="rId198" Type="http://schemas.openxmlformats.org/officeDocument/2006/relationships/image" Target="media/image146.png"/><Relationship Id="rId199" Type="http://schemas.openxmlformats.org/officeDocument/2006/relationships/image" Target="media/image147.png"/><Relationship Id="rId200" Type="http://schemas.openxmlformats.org/officeDocument/2006/relationships/image" Target="media/image148.png"/><Relationship Id="rId137" Type="http://schemas.openxmlformats.org/officeDocument/2006/relationships/hyperlink" Target="http://www.sec.gov/Archives/edgar/data/1817358/000119312520264744/d910645dex31.htm" TargetMode="External"/><Relationship Id="rId138" Type="http://schemas.openxmlformats.org/officeDocument/2006/relationships/hyperlink" Target="http://www.sec.gov/Archives/edgar/data/1817358/000119312520264744/d910645dex32.htm" TargetMode="External"/><Relationship Id="rId139" Type="http://schemas.openxmlformats.org/officeDocument/2006/relationships/hyperlink" Target="http://www.sec.gov/Archives/edgar/data/1817358/000119312520264744/d910645dex41.htm" TargetMode="External"/><Relationship Id="rId140" Type="http://schemas.openxmlformats.org/officeDocument/2006/relationships/hyperlink" Target="http://www.sec.gov/Archives/edgar/data/1817358/000119312520287988/d22150dex41.htm" TargetMode="External"/><Relationship Id="rId141" Type="http://schemas.openxmlformats.org/officeDocument/2006/relationships/hyperlink" Target="http://www.sec.gov/Archives/edgar/data/1817358/000119312520287988/d22150dex101.htm" TargetMode="External"/><Relationship Id="rId142" Type="http://schemas.openxmlformats.org/officeDocument/2006/relationships/hyperlink" Target="http://www.sec.gov/Archives/edgar/data/0001817358/000119312520242076/d934024dex102.htm" TargetMode="External"/><Relationship Id="rId143" Type="http://schemas.openxmlformats.org/officeDocument/2006/relationships/hyperlink" Target="http://www.sec.gov/Archives/edgar/data/0001817358/000119312520242076/d934024dex103.htm" TargetMode="External"/><Relationship Id="rId144" Type="http://schemas.openxmlformats.org/officeDocument/2006/relationships/hyperlink" Target="http://www.sec.gov/Archives/edgar/data/0001817358/000119312520242076/d934024dex104.htm" TargetMode="External"/><Relationship Id="rId145" Type="http://schemas.openxmlformats.org/officeDocument/2006/relationships/hyperlink" Target="http://www.sec.gov/Archives/edgar/data/1817358/000119312521016235/d103203dex105.htm" TargetMode="External"/><Relationship Id="rId146" Type="http://schemas.openxmlformats.org/officeDocument/2006/relationships/hyperlink" Target="http://www.sec.gov/Archives/edgar/data/1817358/000119312521016235/d103203dex106.htm" TargetMode="External"/><Relationship Id="rId147" Type="http://schemas.openxmlformats.org/officeDocument/2006/relationships/hyperlink" Target="http://www.sec.gov/Archives/edgar/data/1817358/000119312521016235/d103203dex107.htm" TargetMode="External"/><Relationship Id="rId148" Type="http://schemas.openxmlformats.org/officeDocument/2006/relationships/hyperlink" Target="http://www.sec.gov/Archives/edgar/data/0001817358/000119312520242076/d934024dex105.htm" TargetMode="External"/><Relationship Id="rId151" Type="http://schemas.openxmlformats.org/officeDocument/2006/relationships/hyperlink" Target="http://www.sec.gov/Archives/edgar/data/0001817358/000119312520242076/d934024dex106.htm" TargetMode="External"/><Relationship Id="rId152" Type="http://schemas.openxmlformats.org/officeDocument/2006/relationships/hyperlink" Target="http://www.sec.gov/Archives/edgar/data/1817358/000119312520287988/d22150dex102.htm" TargetMode="External"/><Relationship Id="rId153" Type="http://schemas.openxmlformats.org/officeDocument/2006/relationships/hyperlink" Target="http://www.sec.gov/Archives/edgar/data/0001817358/000119312520242076/d934024dex107.htm" TargetMode="External"/><Relationship Id="rId154" Type="http://schemas.openxmlformats.org/officeDocument/2006/relationships/hyperlink" Target="http://www.sec.gov/Archives/edgar/data/0001817358/000119312520242076/d934024dex108.htm" TargetMode="External"/><Relationship Id="rId155" Type="http://schemas.openxmlformats.org/officeDocument/2006/relationships/hyperlink" Target="http://www.sec.gov/Archives/edgar/data/1817358/000119312521016235/d103203dex1013.htm" TargetMode="External"/><Relationship Id="rId156" Type="http://schemas.openxmlformats.org/officeDocument/2006/relationships/hyperlink" Target="http://www.sec.gov/Archives/edgar/data/1817358/000119312521016235/d103203dex1014.htm" TargetMode="External"/><Relationship Id="rId157" Type="http://schemas.openxmlformats.org/officeDocument/2006/relationships/hyperlink" Target="http://www.sec.gov/Archives/edgar/data/1817358/000181735820000012/exhibit102.htm" TargetMode="External"/><Relationship Id="rId158" Type="http://schemas.openxmlformats.org/officeDocument/2006/relationships/hyperlink" Target="http://www.sec.gov/Archives/edgar/data/1817358/000119312520252290/d934024dex1010.htm" TargetMode="External"/><Relationship Id="rId159" Type="http://schemas.openxmlformats.org/officeDocument/2006/relationships/hyperlink" Target="http://www.sec.gov/Archives/edgar/data/1817358/000119312520252290/d934024dex1011.htm" TargetMode="External"/><Relationship Id="rId160" Type="http://schemas.openxmlformats.org/officeDocument/2006/relationships/hyperlink" Target="http://www.sec.gov/Archives/edgar/data/1817358/000119312520252290/d934024dex1012.htm" TargetMode="External"/><Relationship Id="rId161" Type="http://schemas.openxmlformats.org/officeDocument/2006/relationships/hyperlink" Target="http://www.sec.gov/Archives/edgar/data/1817358/000119312520242076/d934024dex1013.htm" TargetMode="External"/><Relationship Id="rId162" Type="http://schemas.openxmlformats.org/officeDocument/2006/relationships/hyperlink" Target="http://www.sec.gov/Archives/edgar/data/1817358/000119312520242076/d934024dex1014.htm" TargetMode="External"/><Relationship Id="rId163" Type="http://schemas.openxmlformats.org/officeDocument/2006/relationships/hyperlink" Target="http://www.sec.gov/Archives/edgar/data/1817358/000119312520242076/d934024dex1015.htm" TargetMode="External"/><Relationship Id="rId164" Type="http://schemas.openxmlformats.org/officeDocument/2006/relationships/hyperlink" Target="http://www.sec.gov/Archives/edgar/data/1817358/000119312520242076/d934024dex1016.htm" TargetMode="External"/><Relationship Id="rId165" Type="http://schemas.openxmlformats.org/officeDocument/2006/relationships/hyperlink" Target="http://www.sec.gov/Archives/edgar/data/1817358/000119312520242076/d934024dex1017.htm" TargetMode="External"/><Relationship Id="rId168" Type="http://schemas.openxmlformats.org/officeDocument/2006/relationships/hyperlink" Target="http://www.sec.gov/Archives/edgar/data/1817358/000119312520242076/d934024dex1018.htm" TargetMode="External"/><Relationship Id="rId169" Type="http://schemas.openxmlformats.org/officeDocument/2006/relationships/hyperlink" Target="http://www.sec.gov/Archives/edgar/data/1817358/000119312520242076/d934024dex1019.htm" TargetMode="External"/><Relationship Id="rId170" Type="http://schemas.openxmlformats.org/officeDocument/2006/relationships/hyperlink" Target="http://www.sec.gov/Archives/edgar/data/1817358/000119312520242076/d934024dex1020.htm" TargetMode="External"/><Relationship Id="rId171" Type="http://schemas.openxmlformats.org/officeDocument/2006/relationships/hyperlink" Target="http://www.sec.gov/Archives/edgar/data/1817358/000119312520242076/d934024dex1021.htm" TargetMode="External"/><Relationship Id="rId172" Type="http://schemas.openxmlformats.org/officeDocument/2006/relationships/hyperlink" Target="http://www.sec.gov/Archives/edgar/data/1817358/000119312520242076/d934024dex1022.htm" TargetMode="External"/><Relationship Id="rId173" Type="http://schemas.openxmlformats.org/officeDocument/2006/relationships/hyperlink" Target="http://www.sec.gov/Archives/edgar/data/1817358/000119312520242076/d934024dex1023.htm" TargetMode="External"/><Relationship Id="rId174" Type="http://schemas.openxmlformats.org/officeDocument/2006/relationships/hyperlink" Target="http://www.sec.gov/Archives/edgar/data/1817358/000119312520242076/d934024dex1024.htm" TargetMode="External"/><Relationship Id="rId175" Type="http://schemas.openxmlformats.org/officeDocument/2006/relationships/hyperlink" Target="http://www.sec.gov/Archives/edgar/data/1817358/000119312520242076/d934024dex1025.htm" TargetMode="External"/><Relationship Id="rId176" Type="http://schemas.openxmlformats.org/officeDocument/2006/relationships/hyperlink" Target="http://www.sec.gov/Archives/edgar/data/1817358/000119312520242076/d934024dex1026.htm" TargetMode="External"/><Relationship Id="rId177" Type="http://schemas.openxmlformats.org/officeDocument/2006/relationships/hyperlink" Target="http://www.sec.gov/Archives/edgar/data/1817358/000119312520242076/d934024dex1027.htm" TargetMode="External"/><Relationship Id="rId178" Type="http://schemas.openxmlformats.org/officeDocument/2006/relationships/hyperlink" Target="http://www.sec.gov/Archives/edgar/data/1817358/000119312520242076/d934024dex1028.htm" TargetMode="External"/><Relationship Id="rId179" Type="http://schemas.openxmlformats.org/officeDocument/2006/relationships/hyperlink" Target="http://www.sec.gov/Archives/edgar/data/1817358/000119312520242076/d934024dex1029.htm" TargetMode="External"/><Relationship Id="rId180" Type="http://schemas.openxmlformats.org/officeDocument/2006/relationships/hyperlink" Target="http://www.sec.gov/Archives/edgar/data/1817358/000119312520242076/d934024dex1030.htm" TargetMode="External"/><Relationship Id="rId181" Type="http://schemas.openxmlformats.org/officeDocument/2006/relationships/hyperlink" Target="http://www.sec.gov/Archives/edgar/data/1817358/000119312520242076/d934024dex1031.htm" TargetMode="External"/><Relationship Id="rId182" Type="http://schemas.openxmlformats.org/officeDocument/2006/relationships/hyperlink" Target="http://www.sec.gov/Archives/edgar/data/1817358/000119312520242076/d934024dex1032.htm" TargetMode="External"/><Relationship Id="rId183" Type="http://schemas.openxmlformats.org/officeDocument/2006/relationships/hyperlink" Target="http://www.sec.gov/Archives/edgar/data/1817358/000119312520252290/d934024dex1034.htm" TargetMode="External"/><Relationship Id="rId184" Type="http://schemas.openxmlformats.org/officeDocument/2006/relationships/hyperlink" Target="http://www.sec.gov/Archives/edgar/data/1817358/000119312520264744/d910645dex101.htm" TargetMode="External"/><Relationship Id="rId185" Type="http://schemas.openxmlformats.org/officeDocument/2006/relationships/hyperlink" Target="http://www.sec.gov/Archives/edgar/data/1817358/000119312520252290/d934024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2021-04-07T15:16:21Z</dcterms:created>
  <dcterms:modified xsi:type="dcterms:W3CDTF">2021-04-07T15:16:21Z</dcterms:modified>
</cp:coreProperties>
</file>