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4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4953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5363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Picou Monique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77499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16"/>
        </w:trPr>
        <w:tc>
          <w:tcPr>
            <w:tcW w:w="60" w:type="dxa"/>
            <w:vAlign w:val="bottom"/>
            <w:tcBorders>
              <w:bottom w:val="single" w:sz="8" w:color="2C2C2C"/>
            </w:tcBorders>
          </w:tcPr>
          <w:p>
            <w:pPr>
              <w:spacing w:after="0"/>
              <w:rPr>
                <w:sz w:val="10"/>
                <w:szCs w:val="10"/>
                <w:color w:val="auto"/>
              </w:rPr>
            </w:pPr>
          </w:p>
        </w:tc>
        <w:tc>
          <w:tcPr>
            <w:tcW w:w="140" w:type="dxa"/>
            <w:vAlign w:val="bottom"/>
            <w:tcBorders>
              <w:top w:val="single" w:sz="8" w:color="0000EE"/>
              <w:bottom w:val="single" w:sz="8" w:color="2C2C2C"/>
            </w:tcBorders>
          </w:tcPr>
          <w:p>
            <w:pPr>
              <w:spacing w:after="0"/>
              <w:rPr>
                <w:sz w:val="10"/>
                <w:szCs w:val="10"/>
                <w:color w:val="auto"/>
              </w:rPr>
            </w:pPr>
          </w:p>
        </w:tc>
        <w:tc>
          <w:tcPr>
            <w:tcW w:w="2700" w:type="dxa"/>
            <w:vAlign w:val="bottom"/>
            <w:tcBorders>
              <w:top w:val="single" w:sz="8" w:color="0000EE"/>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90" w:lineRule="exact"/>
              <w:rPr>
                <w:sz w:val="20"/>
                <w:szCs w:val="20"/>
                <w:color w:val="auto"/>
              </w:rPr>
            </w:pPr>
            <w:r>
              <w:rPr>
                <w:rFonts w:ascii="Arial" w:cs="Arial" w:eastAsia="Arial" w:hAnsi="Arial"/>
                <w:sz w:val="10"/>
                <w:szCs w:val="10"/>
                <w:color w:val="auto"/>
              </w:rPr>
              <w:t>Director</w:t>
            </w:r>
          </w:p>
        </w:tc>
        <w:tc>
          <w:tcPr>
            <w:tcW w:w="1440" w:type="dxa"/>
            <w:vAlign w:val="bottom"/>
          </w:tcPr>
          <w:p>
            <w:pPr>
              <w:ind w:left="320"/>
              <w:spacing w:after="0" w:line="90" w:lineRule="exact"/>
              <w:rPr>
                <w:sz w:val="20"/>
                <w:szCs w:val="20"/>
                <w:color w:val="auto"/>
              </w:rPr>
            </w:pPr>
            <w:r>
              <w:rPr>
                <w:rFonts w:ascii="Arial" w:cs="Arial" w:eastAsia="Arial" w:hAnsi="Arial"/>
                <w:sz w:val="10"/>
                <w:szCs w:val="10"/>
                <w:color w:val="auto"/>
              </w:rPr>
              <w:t>10% Owner</w:t>
            </w: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9"/>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06/14/2024</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7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2,929</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06/14/2024</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2,929</w:t>
            </w:r>
          </w:p>
        </w:tc>
        <w:tc>
          <w:tcPr>
            <w:tcW w:w="26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2,929</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as amended (the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upon vesting to receive one share of Issuer common stock, par value $0.01 per share ("Common Stock").</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14, 2024, the Reporting Person was granted 2,929 time-based restricted stock units that vest 100%, subject to the Reporting Person's continued service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06/15/2024</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2013246"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2024-06-14T15:15:18Z</dcterms:created>
  <dcterms:modified xsi:type="dcterms:W3CDTF">2024-06-14T15:15:18Z</dcterms:modified>
</cp:coreProperties>
</file>