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339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39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Lawrence Steven Paul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line="343"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Academy Sports &amp; Outdoors,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ASO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680" w:type="dxa"/>
            <w:vAlign w:val="bottom"/>
            <w:tcBorders>
              <w:bottom w:val="single" w:sz="8" w:color="808080"/>
            </w:tcBorders>
          </w:tcPr>
          <w:p>
            <w:pPr>
              <w:spacing w:after="0"/>
              <w:rPr>
                <w:sz w:val="16"/>
                <w:szCs w:val="16"/>
                <w:color w:val="auto"/>
              </w:rPr>
            </w:pPr>
          </w:p>
        </w:tc>
        <w:tc>
          <w:tcPr>
            <w:tcW w:w="96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64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0000FF"/>
                <w:w w:val="99"/>
              </w:rPr>
              <w:t>EVP &amp; CMO</w:t>
            </w: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03/30/2022</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00" w:space="14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4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114,311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0000FF"/>
              </w:rPr>
              <w:t>8,501</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03/30/2022</w:t>
            </w:r>
          </w:p>
        </w:tc>
        <w:tc>
          <w:tcPr>
            <w:tcW w:w="1140" w:type="dxa"/>
            <w:vAlign w:val="bottom"/>
          </w:tcPr>
          <w:p>
            <w:pPr>
              <w:spacing w:after="0"/>
              <w:rPr>
                <w:sz w:val="6"/>
                <w:szCs w:val="6"/>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8,501</w:t>
            </w:r>
          </w:p>
        </w:tc>
        <w:tc>
          <w:tcPr>
            <w:tcW w:w="34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03/30/2032</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8,501</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restart"/>
          </w:tcPr>
          <w:p>
            <w:pPr>
              <w:jc w:val="center"/>
              <w:ind w:right="12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39.17</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03/30/2022</w:t>
            </w:r>
          </w:p>
        </w:tc>
        <w:tc>
          <w:tcPr>
            <w:tcW w:w="114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right"/>
              <w:ind w:right="21"/>
              <w:spacing w:after="0"/>
              <w:rPr>
                <w:sz w:val="20"/>
                <w:szCs w:val="20"/>
                <w:color w:val="auto"/>
              </w:rPr>
            </w:pPr>
            <w:r>
              <w:rPr>
                <w:rFonts w:ascii="Times New Roman" w:cs="Times New Roman" w:eastAsia="Times New Roman" w:hAnsi="Times New Roman"/>
                <w:sz w:val="13"/>
                <w:szCs w:val="13"/>
                <w:color w:val="0000FF"/>
              </w:rPr>
              <w:t>40,695</w:t>
            </w:r>
          </w:p>
        </w:tc>
        <w:tc>
          <w:tcPr>
            <w:tcW w:w="34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03/30/2032</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40,695</w:t>
            </w: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40,695</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(1)</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3" w:lineRule="exact"/>
        <w:rPr>
          <w:rFonts w:ascii="Times New Roman" w:cs="Times New Roman" w:eastAsia="Times New Roman" w:hAnsi="Times New Roman"/>
          <w:sz w:val="13"/>
          <w:szCs w:val="13"/>
          <w:color w:val="008000"/>
        </w:rPr>
      </w:pPr>
    </w:p>
    <w:p>
      <w:pPr>
        <w:ind w:left="40" w:right="220" w:firstLine="2"/>
        <w:spacing w:after="0" w:line="23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8,501 performance-based restricted stock units. These performance-based restricted stock units vest if certain performance criteria and/or Issuer stock price conditions are met and certified by the Issuer's compensation committee. The number of shares of Common Stock that the Reporting Person may be entitled to receive upon vesting, if any, may vary from 0% to 100% of the number shown above based on the Issuer's achievement of certain performance criteria for fiscal 2022, and will vest in four equal annual installments beginning on the date of certification by the Issuer's compensation committee and thereafter on or after the second, third and fourth anniversaries of the Vesting Commencement Date (i.e., January 30, 2022), or upon certification by the Issuer's compensation committee of achievement of certain Issuer stock price conditions as of the fourth anniversary of the Vesting Commencement Date.</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time-based options vest in four equal annual installments beginning on first anniversary of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Gary Holland,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04/01/2022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8845"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2022-04-01T17:04:34Z</dcterms:created>
  <dcterms:modified xsi:type="dcterms:W3CDTF">2022-04-01T17:04:34Z</dcterms:modified>
</cp:coreProperties>
</file>