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139700</wp:posOffset>
            </wp:positionV>
            <wp:extent cx="1688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144145</wp:posOffset>
            </wp:positionV>
            <wp:extent cx="1688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145415</wp:posOffset>
            </wp:positionV>
            <wp:extent cx="1688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248285</wp:posOffset>
            </wp:positionV>
            <wp:extent cx="198882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140335</wp:posOffset>
            </wp:positionV>
            <wp:extent cx="168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20" w:space="720"/>
            <w:col w:w="280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80" w:space="720"/>
            <w:col w:w="244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2701290</wp:posOffset>
            </wp:positionH>
            <wp:positionV relativeFrom="paragraph">
              <wp:posOffset>133350</wp:posOffset>
            </wp:positionV>
            <wp:extent cx="1688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2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96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6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6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9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ASO</w:t>
            </w:r>
          </w:p>
        </w:tc>
        <w:tc>
          <w:tcPr>
            <w:tcW w:w="66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On November 30, 2023, Academy Sports and Outdoors, Inc. (the “Company”) issued a press release announcing financial results for the quarter ended October 28, 2023. A copy of the press release is furnished herewith as Exhibit 99.1 and incorporated by reference herein.</w:t>
      </w:r>
    </w:p>
    <w:p>
      <w:pPr>
        <w:spacing w:after="0" w:line="175" w:lineRule="exact"/>
        <w:rPr>
          <w:sz w:val="20"/>
          <w:szCs w:val="20"/>
          <w:color w:val="auto"/>
        </w:rPr>
      </w:pPr>
    </w:p>
    <w:p>
      <w:pPr>
        <w:jc w:val="both"/>
        <w:ind w:firstLine="401"/>
        <w:spacing w:after="0" w:line="24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On November 29, 2023, the Company’s Board of Directors declared a cash dividend with respect to the quarter ended October 28, 2023 of $0.09 per share of outstanding common stock of the Company, payable on January 10, 2024, to stockholders of record as of the close of business on December 13, 2023.</w:t>
      </w:r>
    </w:p>
    <w:p>
      <w:pPr>
        <w:spacing w:after="0" w:line="196" w:lineRule="exact"/>
        <w:rPr>
          <w:sz w:val="20"/>
          <w:szCs w:val="20"/>
          <w:color w:val="auto"/>
        </w:rPr>
      </w:pPr>
    </w:p>
    <w:p>
      <w:pPr>
        <w:jc w:val="both"/>
        <w:ind w:firstLine="401"/>
        <w:spacing w:after="0" w:line="243" w:lineRule="auto"/>
        <w:rPr>
          <w:sz w:val="20"/>
          <w:szCs w:val="20"/>
          <w:color w:val="auto"/>
        </w:rPr>
      </w:pPr>
      <w:r>
        <w:rPr>
          <w:rFonts w:ascii="Times New Roman" w:cs="Times New Roman" w:eastAsia="Times New Roman" w:hAnsi="Times New Roman"/>
          <w:sz w:val="18"/>
          <w:szCs w:val="18"/>
          <w:color w:val="auto"/>
        </w:rPr>
        <w:t>On November 29, 2023, the Company's Board of Directors authorized a new share repurchase program under which the Company may purchase up to $600 million of its outstanding shares during the three-year period ending November 29, 2026 (the "2023 Share Repurchase Program"). Under the 2023 Share Repurchase Program repurchases can be made using a variety of methods, which may include open market purchases, block trades, accelerated share repurchase programs, privately negotiated transactions and/or a non-discretionary trading plan, all in compliance with the rules of the SEC and other applicable legal requirements. The timing, manner, price and amount of any common share repurchases under the 2023 Share Repurchase Program will be determined by the Company in its discretion and will depend on a variety of factors, including legal requirements, price and economic and market conditions. The 2023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660" w:type="dxa"/>
            <w:vAlign w:val="bottom"/>
          </w:tcPr>
          <w:p>
            <w:pPr>
              <w:spacing w:after="0"/>
              <w:rPr>
                <w:sz w:val="20"/>
                <w:szCs w:val="20"/>
                <w:color w:val="auto"/>
              </w:rPr>
            </w:pPr>
          </w:p>
        </w:tc>
      </w:tr>
      <w:tr>
        <w:trPr>
          <w:trHeight w:val="500"/>
        </w:trPr>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0000FF"/>
              </w:rPr>
              <w:t>99.1</w:t>
            </w:r>
          </w:p>
        </w:tc>
        <w:tc>
          <w:tcPr>
            <w:tcW w:w="80" w:type="dxa"/>
            <w:vAlign w:val="bottom"/>
            <w:tcBorders>
              <w:bottom w:val="single" w:sz="8" w:color="CCEEFF"/>
            </w:tcBorders>
            <w:shd w:val="clear" w:color="auto" w:fill="CCEEFF"/>
          </w:tcPr>
          <w:p>
            <w:pPr>
              <w:spacing w:after="0"/>
              <w:rPr>
                <w:sz w:val="21"/>
                <w:szCs w:val="21"/>
                <w:color w:val="auto"/>
              </w:rPr>
            </w:pPr>
          </w:p>
        </w:tc>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Academy Sports and Outdoors, Inc. Press Release, dated November 30, 2023.</w:t>
            </w:r>
          </w:p>
        </w:tc>
      </w:tr>
      <w:tr>
        <w:trPr>
          <w:trHeight w:val="243"/>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75"/>
        </w:trPr>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November 30,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225425</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Third Quarter 2023 Results</w:t>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Third Quarter GAAP Diluted EPS of $1.31, or $1.38 Adjusted Diluted EPS</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Net Sales Decline (6.4)%; Comparable Sales Decline (8.0)%</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The Company Opened Five New Stores During the Third Quarter and a Total of 14 in 2023</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New $600 Million Share Repurchase Program Announced</w:t>
      </w:r>
    </w:p>
    <w:p>
      <w:pPr>
        <w:spacing w:after="0" w:line="2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color w:val="auto"/>
        </w:rPr>
        <w:t xml:space="preserve">KATY, TEXAS (Globe Newswire — November 30, 2023)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third quarter date ended October 28, 2023.</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sales and net earnings for the third quarter came in below expectations, primarily driven by weakening consumer sentiment coupled with above normal temperatures that negatively impacted demand for Fall product. Over the past year we have seen customers change their shopping patterns and aggregate trips into the key shopping moments on the calendar and we expect to see this pattern continue this holiday season," said Chief Executive Officer, Steve Lawrence. "During the fourth quarter, we are focused on providing excellent customer service, offering new and innovative gifts and driving traffic to our stores and website with aggressive marketing that features the outstanding values we are offering our customers to help them stretch their wallets as they celebrate this holiday season with their families. Beyond this holiday, we remain focused on executing our long-term strategy and investing in our growth initiatives. We believe that we have a solid operating model, a strong value position and deep customer affinity that will allow us to continue to grow and expand our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168910</wp:posOffset>
            </wp:positionV>
            <wp:extent cx="82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168910</wp:posOffset>
            </wp:positionV>
            <wp:extent cx="889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394335"/>
                    </a:xfrm>
                    <a:prstGeom prst="rect">
                      <a:avLst/>
                    </a:prstGeom>
                    <a:noFill/>
                  </pic:spPr>
                </pic:pic>
              </a:graphicData>
            </a:graphic>
          </wp:anchor>
        </w:drawing>
      </w:r>
    </w:p>
    <w:p>
      <w:pPr>
        <w:spacing w:after="0" w:line="226" w:lineRule="exact"/>
        <w:rPr>
          <w:sz w:val="20"/>
          <w:szCs w:val="20"/>
          <w:color w:val="auto"/>
        </w:rPr>
      </w:pPr>
    </w:p>
    <w:tbl>
      <w:tblPr>
        <w:tblLayout w:type="fixed"/>
        <w:tblInd w:w="7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tcBorders>
            <w:vMerge w:val="restart"/>
            <w:shd w:val="clear" w:color="auto" w:fill="1928A0"/>
          </w:tcPr>
          <w:p>
            <w:pPr>
              <w:ind w:left="40"/>
              <w:spacing w:after="0"/>
              <w:rPr>
                <w:sz w:val="20"/>
                <w:szCs w:val="20"/>
                <w:color w:val="auto"/>
              </w:rPr>
            </w:pPr>
            <w:r>
              <w:rPr>
                <w:rFonts w:ascii="Calibri" w:cs="Calibri" w:eastAsia="Calibri" w:hAnsi="Calibri"/>
                <w:sz w:val="20"/>
                <w:szCs w:val="20"/>
                <w:b w:val="1"/>
                <w:bCs w:val="1"/>
                <w:color w:val="FFFFFF"/>
              </w:rPr>
              <w:t xml:space="preserve">Third Quarter Operatng Results </w:t>
            </w:r>
            <w:r>
              <w:rPr>
                <w:rFonts w:ascii="Calibri" w:cs="Calibri" w:eastAsia="Calibri" w:hAnsi="Calibri"/>
                <w:sz w:val="14"/>
                <w:szCs w:val="14"/>
                <w:b w:val="1"/>
                <w:bCs w:val="1"/>
                <w:color w:val="FFFFFF"/>
              </w:rPr>
              <w:t>($ in millions, except per</w:t>
            </w:r>
          </w:p>
        </w:tc>
        <w:tc>
          <w:tcPr>
            <w:tcW w:w="180" w:type="dxa"/>
            <w:vAlign w:val="bottom"/>
            <w:tcBorders>
              <w:top w:val="single" w:sz="8" w:color="auto"/>
            </w:tcBorders>
            <w:shd w:val="clear" w:color="auto" w:fill="1928A0"/>
          </w:tcPr>
          <w:p>
            <w:pPr>
              <w:spacing w:after="0"/>
              <w:rPr>
                <w:sz w:val="21"/>
                <w:szCs w:val="21"/>
                <w:color w:val="auto"/>
              </w:rPr>
            </w:pPr>
          </w:p>
        </w:tc>
        <w:tc>
          <w:tcPr>
            <w:tcW w:w="3720" w:type="dxa"/>
            <w:vAlign w:val="bottom"/>
            <w:tcBorders>
              <w:top w:val="single" w:sz="8" w:color="auto"/>
            </w:tcBorders>
            <w:gridSpan w:val="3"/>
            <w:shd w:val="clear" w:color="auto" w:fill="1928A0"/>
          </w:tcPr>
          <w:p>
            <w:pPr>
              <w:jc w:val="right"/>
              <w:ind w:right="909"/>
              <w:spacing w:after="0"/>
              <w:rPr>
                <w:sz w:val="20"/>
                <w:szCs w:val="20"/>
                <w:color w:val="auto"/>
              </w:rPr>
            </w:pPr>
            <w:r>
              <w:rPr>
                <w:rFonts w:ascii="Calibri" w:cs="Calibri" w:eastAsia="Calibri" w:hAnsi="Calibri"/>
                <w:sz w:val="20"/>
                <w:szCs w:val="20"/>
                <w:b w:val="1"/>
                <w:bCs w:val="1"/>
                <w:color w:val="FFFFFF"/>
              </w:rPr>
              <w:t>Thirteen Weeks Ended</w:t>
            </w:r>
          </w:p>
        </w:tc>
        <w:tc>
          <w:tcPr>
            <w:tcW w:w="1440" w:type="dxa"/>
            <w:vAlign w:val="bottom"/>
            <w:tcBorders>
              <w:top w:val="single" w:sz="8" w:color="auto"/>
              <w:right w:val="single" w:sz="8" w:color="auto"/>
            </w:tcBorders>
            <w:shd w:val="clear" w:color="auto" w:fill="1928A0"/>
          </w:tcPr>
          <w:p>
            <w:pPr>
              <w:ind w:left="400"/>
              <w:spacing w:after="0"/>
              <w:rPr>
                <w:sz w:val="20"/>
                <w:szCs w:val="20"/>
                <w:color w:val="auto"/>
              </w:rPr>
            </w:pPr>
            <w:r>
              <w:rPr>
                <w:rFonts w:ascii="Calibri" w:cs="Calibri" w:eastAsia="Calibri" w:hAnsi="Calibri"/>
                <w:sz w:val="20"/>
                <w:szCs w:val="20"/>
                <w:b w:val="1"/>
                <w:bCs w:val="1"/>
                <w:color w:val="FFFFFF"/>
              </w:rPr>
              <w:t>Change</w:t>
            </w:r>
          </w:p>
        </w:tc>
        <w:tc>
          <w:tcPr>
            <w:tcW w:w="0" w:type="dxa"/>
            <w:vAlign w:val="bottom"/>
          </w:tcPr>
          <w:p>
            <w:pPr>
              <w:spacing w:after="0"/>
              <w:rPr>
                <w:sz w:val="1"/>
                <w:szCs w:val="1"/>
                <w:color w:val="auto"/>
              </w:rPr>
            </w:pPr>
          </w:p>
        </w:tc>
      </w:tr>
      <w:tr>
        <w:trPr>
          <w:trHeight w:val="127"/>
        </w:trPr>
        <w:tc>
          <w:tcPr>
            <w:tcW w:w="4540" w:type="dxa"/>
            <w:vAlign w:val="bottom"/>
            <w:tcBorders>
              <w:left w:val="single" w:sz="8" w:color="auto"/>
            </w:tcBorders>
            <w:vMerge w:val="continue"/>
            <w:shd w:val="clear" w:color="auto" w:fill="1928A0"/>
          </w:tcPr>
          <w:p>
            <w:pPr>
              <w:spacing w:after="0"/>
              <w:rPr>
                <w:sz w:val="11"/>
                <w:szCs w:val="11"/>
                <w:color w:val="auto"/>
              </w:rPr>
            </w:pPr>
          </w:p>
        </w:tc>
        <w:tc>
          <w:tcPr>
            <w:tcW w:w="180" w:type="dxa"/>
            <w:vAlign w:val="bottom"/>
            <w:shd w:val="clear" w:color="auto" w:fill="1928A0"/>
          </w:tcPr>
          <w:p>
            <w:pPr>
              <w:spacing w:after="0"/>
              <w:rPr>
                <w:sz w:val="11"/>
                <w:szCs w:val="11"/>
                <w:color w:val="auto"/>
              </w:rPr>
            </w:pPr>
          </w:p>
        </w:tc>
        <w:tc>
          <w:tcPr>
            <w:tcW w:w="1760" w:type="dxa"/>
            <w:vAlign w:val="bottom"/>
            <w:vMerge w:val="restart"/>
            <w:shd w:val="clear" w:color="auto" w:fill="1928A0"/>
          </w:tcPr>
          <w:p>
            <w:pPr>
              <w:jc w:val="right"/>
              <w:ind w:right="168"/>
              <w:spacing w:after="0"/>
              <w:rPr>
                <w:sz w:val="20"/>
                <w:szCs w:val="20"/>
                <w:color w:val="auto"/>
              </w:rPr>
            </w:pPr>
            <w:r>
              <w:rPr>
                <w:rFonts w:ascii="Calibri" w:cs="Calibri" w:eastAsia="Calibri" w:hAnsi="Calibri"/>
                <w:sz w:val="20"/>
                <w:szCs w:val="20"/>
                <w:b w:val="1"/>
                <w:bCs w:val="1"/>
                <w:color w:val="FFFFFF"/>
              </w:rPr>
              <w:t>October 28, 2023</w:t>
            </w:r>
          </w:p>
        </w:tc>
        <w:tc>
          <w:tcPr>
            <w:tcW w:w="180" w:type="dxa"/>
            <w:vAlign w:val="bottom"/>
            <w:shd w:val="clear" w:color="auto" w:fill="1928A0"/>
          </w:tcPr>
          <w:p>
            <w:pPr>
              <w:spacing w:after="0"/>
              <w:rPr>
                <w:sz w:val="11"/>
                <w:szCs w:val="11"/>
                <w:color w:val="auto"/>
              </w:rPr>
            </w:pPr>
          </w:p>
        </w:tc>
        <w:tc>
          <w:tcPr>
            <w:tcW w:w="1780" w:type="dxa"/>
            <w:vAlign w:val="bottom"/>
            <w:vMerge w:val="restart"/>
            <w:shd w:val="clear" w:color="auto" w:fill="1928A0"/>
          </w:tcPr>
          <w:p>
            <w:pPr>
              <w:jc w:val="right"/>
              <w:ind w:right="189"/>
              <w:spacing w:after="0"/>
              <w:rPr>
                <w:sz w:val="20"/>
                <w:szCs w:val="20"/>
                <w:color w:val="auto"/>
              </w:rPr>
            </w:pPr>
            <w:r>
              <w:rPr>
                <w:rFonts w:ascii="Calibri" w:cs="Calibri" w:eastAsia="Calibri" w:hAnsi="Calibri"/>
                <w:sz w:val="20"/>
                <w:szCs w:val="20"/>
                <w:b w:val="1"/>
                <w:bCs w:val="1"/>
                <w:color w:val="FFFFFF"/>
              </w:rPr>
              <w:t>October 29, 2022</w:t>
            </w:r>
          </w:p>
        </w:tc>
        <w:tc>
          <w:tcPr>
            <w:tcW w:w="1440" w:type="dxa"/>
            <w:vAlign w:val="bottom"/>
            <w:tcBorders>
              <w:right w:val="single" w:sz="8" w:color="auto"/>
            </w:tcBorders>
            <w:vMerge w:val="restart"/>
            <w:shd w:val="clear" w:color="auto" w:fill="1928A0"/>
          </w:tcPr>
          <w:p>
            <w:pPr>
              <w:jc w:val="center"/>
              <w:spacing w:after="0"/>
              <w:rPr>
                <w:sz w:val="20"/>
                <w:szCs w:val="20"/>
                <w:color w:val="auto"/>
              </w:rPr>
            </w:pPr>
            <w:r>
              <w:rPr>
                <w:rFonts w:ascii="Calibri" w:cs="Calibri" w:eastAsia="Calibri" w:hAnsi="Calibri"/>
                <w:sz w:val="20"/>
                <w:szCs w:val="20"/>
                <w:b w:val="1"/>
                <w:bCs w:val="1"/>
                <w:color w:val="FFFFFF"/>
              </w:rPr>
              <w:t>%</w:t>
            </w:r>
          </w:p>
        </w:tc>
        <w:tc>
          <w:tcPr>
            <w:tcW w:w="0" w:type="dxa"/>
            <w:vAlign w:val="bottom"/>
          </w:tcPr>
          <w:p>
            <w:pPr>
              <w:spacing w:after="0"/>
              <w:rPr>
                <w:sz w:val="1"/>
                <w:szCs w:val="1"/>
                <w:color w:val="auto"/>
              </w:rPr>
            </w:pPr>
          </w:p>
        </w:tc>
      </w:tr>
      <w:tr>
        <w:trPr>
          <w:trHeight w:val="230"/>
        </w:trPr>
        <w:tc>
          <w:tcPr>
            <w:tcW w:w="4540" w:type="dxa"/>
            <w:vAlign w:val="bottom"/>
            <w:tcBorders>
              <w:left w:val="single" w:sz="8" w:color="auto"/>
              <w:bottom w:val="single" w:sz="8" w:color="1928A0"/>
            </w:tcBorders>
            <w:shd w:val="clear" w:color="auto" w:fill="1928A0"/>
          </w:tcPr>
          <w:p>
            <w:pPr>
              <w:ind w:left="40"/>
              <w:spacing w:after="0"/>
              <w:rPr>
                <w:sz w:val="20"/>
                <w:szCs w:val="20"/>
                <w:color w:val="auto"/>
              </w:rPr>
            </w:pPr>
            <w:r>
              <w:rPr>
                <w:rFonts w:ascii="Calibri" w:cs="Calibri" w:eastAsia="Calibri" w:hAnsi="Calibri"/>
                <w:sz w:val="14"/>
                <w:szCs w:val="14"/>
                <w:b w:val="1"/>
                <w:bCs w:val="1"/>
                <w:color w:val="FFFFFF"/>
              </w:rPr>
              <w:t>share data)</w:t>
            </w:r>
          </w:p>
        </w:tc>
        <w:tc>
          <w:tcPr>
            <w:tcW w:w="180" w:type="dxa"/>
            <w:vAlign w:val="bottom"/>
            <w:tcBorders>
              <w:bottom w:val="single" w:sz="8" w:color="1928A0"/>
            </w:tcBorders>
            <w:shd w:val="clear" w:color="auto" w:fill="1928A0"/>
          </w:tcPr>
          <w:p>
            <w:pPr>
              <w:spacing w:after="0"/>
              <w:rPr>
                <w:sz w:val="20"/>
                <w:szCs w:val="20"/>
                <w:color w:val="auto"/>
              </w:rPr>
            </w:pPr>
          </w:p>
        </w:tc>
        <w:tc>
          <w:tcPr>
            <w:tcW w:w="1760" w:type="dxa"/>
            <w:vAlign w:val="bottom"/>
            <w:tcBorders>
              <w:bottom w:val="single" w:sz="8" w:color="1928A0"/>
            </w:tcBorders>
            <w:vMerge w:val="continue"/>
            <w:shd w:val="clear" w:color="auto" w:fill="1928A0"/>
          </w:tcPr>
          <w:p>
            <w:pPr>
              <w:spacing w:after="0"/>
              <w:rPr>
                <w:sz w:val="20"/>
                <w:szCs w:val="20"/>
                <w:color w:val="auto"/>
              </w:rPr>
            </w:pPr>
          </w:p>
        </w:tc>
        <w:tc>
          <w:tcPr>
            <w:tcW w:w="180" w:type="dxa"/>
            <w:vAlign w:val="bottom"/>
            <w:tcBorders>
              <w:bottom w:val="single" w:sz="8" w:color="1928A0"/>
            </w:tcBorders>
            <w:shd w:val="clear" w:color="auto" w:fill="1928A0"/>
          </w:tcPr>
          <w:p>
            <w:pPr>
              <w:spacing w:after="0"/>
              <w:rPr>
                <w:sz w:val="20"/>
                <w:szCs w:val="20"/>
                <w:color w:val="auto"/>
              </w:rPr>
            </w:pPr>
          </w:p>
        </w:tc>
        <w:tc>
          <w:tcPr>
            <w:tcW w:w="1780" w:type="dxa"/>
            <w:vAlign w:val="bottom"/>
            <w:tcBorders>
              <w:bottom w:val="single" w:sz="8" w:color="1928A0"/>
            </w:tcBorders>
            <w:vMerge w:val="continue"/>
            <w:shd w:val="clear" w:color="auto" w:fill="1928A0"/>
          </w:tcPr>
          <w:p>
            <w:pPr>
              <w:spacing w:after="0"/>
              <w:rPr>
                <w:sz w:val="20"/>
                <w:szCs w:val="20"/>
                <w:color w:val="auto"/>
              </w:rPr>
            </w:pPr>
          </w:p>
        </w:tc>
        <w:tc>
          <w:tcPr>
            <w:tcW w:w="1440" w:type="dxa"/>
            <w:vAlign w:val="bottom"/>
            <w:tcBorders>
              <w:bottom w:val="single" w:sz="8" w:color="1928A0"/>
              <w:right w:val="single" w:sz="8" w:color="auto"/>
            </w:tcBorders>
            <w:vMerge w:val="continue"/>
            <w:shd w:val="clear" w:color="auto" w:fill="1928A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40" w:type="dxa"/>
            <w:vAlign w:val="bottom"/>
            <w:tcBorders>
              <w:top w:val="single" w:sz="8" w:color="DBDBDB"/>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Net sales</w:t>
            </w:r>
          </w:p>
        </w:tc>
        <w:tc>
          <w:tcPr>
            <w:tcW w:w="180" w:type="dxa"/>
            <w:vAlign w:val="bottom"/>
            <w:tcBorders>
              <w:top w:val="single" w:sz="8" w:color="auto"/>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Borders>
              <w:top w:val="single" w:sz="8" w:color="auto"/>
              <w:bottom w:val="single" w:sz="8" w:color="DBDBDB"/>
            </w:tcBorders>
            <w:shd w:val="clear" w:color="auto" w:fill="DBDBDB"/>
          </w:tcPr>
          <w:p>
            <w:pPr>
              <w:jc w:val="right"/>
              <w:ind w:right="108"/>
              <w:spacing w:after="0" w:line="213" w:lineRule="exact"/>
              <w:rPr>
                <w:sz w:val="20"/>
                <w:szCs w:val="20"/>
                <w:color w:val="auto"/>
              </w:rPr>
            </w:pPr>
            <w:r>
              <w:rPr>
                <w:rFonts w:ascii="Calibri" w:cs="Calibri" w:eastAsia="Calibri" w:hAnsi="Calibri"/>
                <w:sz w:val="18"/>
                <w:szCs w:val="18"/>
                <w:color w:val="auto"/>
              </w:rPr>
              <w:t>1,397.8</w:t>
            </w:r>
          </w:p>
        </w:tc>
        <w:tc>
          <w:tcPr>
            <w:tcW w:w="180" w:type="dxa"/>
            <w:vAlign w:val="bottom"/>
            <w:tcBorders>
              <w:top w:val="single" w:sz="8" w:color="auto"/>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780" w:type="dxa"/>
            <w:vAlign w:val="bottom"/>
            <w:tcBorders>
              <w:top w:val="single" w:sz="8" w:color="auto"/>
              <w:bottom w:val="single" w:sz="8" w:color="DBDBDB"/>
            </w:tcBorders>
            <w:shd w:val="clear" w:color="auto" w:fill="DBDBDB"/>
          </w:tcPr>
          <w:p>
            <w:pPr>
              <w:jc w:val="right"/>
              <w:ind w:right="109"/>
              <w:spacing w:after="0" w:line="213" w:lineRule="exact"/>
              <w:rPr>
                <w:sz w:val="20"/>
                <w:szCs w:val="20"/>
                <w:color w:val="auto"/>
              </w:rPr>
            </w:pPr>
            <w:r>
              <w:rPr>
                <w:rFonts w:ascii="Calibri" w:cs="Calibri" w:eastAsia="Calibri" w:hAnsi="Calibri"/>
                <w:sz w:val="18"/>
                <w:szCs w:val="18"/>
                <w:color w:val="auto"/>
              </w:rPr>
              <w:t>1,493.9</w:t>
            </w:r>
          </w:p>
        </w:tc>
        <w:tc>
          <w:tcPr>
            <w:tcW w:w="1440" w:type="dxa"/>
            <w:vAlign w:val="bottom"/>
            <w:tcBorders>
              <w:top w:val="single" w:sz="8" w:color="DBDBDB"/>
              <w:bottom w:val="single" w:sz="8" w:color="DBDBDB"/>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8"/>
              </w:rPr>
              <w:t>(6.4)%</w:t>
            </w:r>
          </w:p>
        </w:tc>
        <w:tc>
          <w:tcPr>
            <w:tcW w:w="0" w:type="dxa"/>
            <w:vAlign w:val="bottom"/>
          </w:tcPr>
          <w:p>
            <w:pPr>
              <w:spacing w:after="0"/>
              <w:rPr>
                <w:sz w:val="1"/>
                <w:szCs w:val="1"/>
                <w:color w:val="auto"/>
              </w:rPr>
            </w:pPr>
          </w:p>
        </w:tc>
      </w:tr>
      <w:tr>
        <w:trPr>
          <w:trHeight w:val="220"/>
        </w:trPr>
        <w:tc>
          <w:tcPr>
            <w:tcW w:w="4540" w:type="dxa"/>
            <w:vAlign w:val="bottom"/>
            <w:tcBorders>
              <w:left w:val="single" w:sz="8" w:color="auto"/>
            </w:tcBorders>
          </w:tcPr>
          <w:p>
            <w:pPr>
              <w:ind w:left="40"/>
              <w:spacing w:after="0"/>
              <w:rPr>
                <w:sz w:val="20"/>
                <w:szCs w:val="20"/>
                <w:color w:val="auto"/>
              </w:rPr>
            </w:pPr>
            <w:r>
              <w:rPr>
                <w:rFonts w:ascii="Calibri" w:cs="Calibri" w:eastAsia="Calibri" w:hAnsi="Calibri"/>
                <w:sz w:val="18"/>
                <w:szCs w:val="18"/>
                <w:color w:val="auto"/>
              </w:rPr>
              <w:t>Comparable sales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Calibri" w:cs="Calibri" w:eastAsia="Calibri" w:hAnsi="Calibri"/>
                <w:sz w:val="18"/>
                <w:szCs w:val="18"/>
                <w:color w:val="auto"/>
              </w:rPr>
              <w:t>(8.0)%</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Calibri" w:cs="Calibri" w:eastAsia="Calibri" w:hAnsi="Calibri"/>
                <w:sz w:val="18"/>
                <w:szCs w:val="18"/>
                <w:color w:val="auto"/>
              </w:rPr>
              <w:t>(7.2)%</w:t>
            </w:r>
          </w:p>
        </w:tc>
        <w:tc>
          <w:tcPr>
            <w:tcW w:w="1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540" w:type="dxa"/>
            <w:vAlign w:val="bottom"/>
            <w:tcBorders>
              <w:lef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4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Calibri" w:cs="Calibri" w:eastAsia="Calibri" w:hAnsi="Calibri"/>
                <w:sz w:val="18"/>
                <w:szCs w:val="18"/>
                <w:color w:val="auto"/>
              </w:rPr>
              <w:t>Income before income tax</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60" w:type="dxa"/>
            <w:vAlign w:val="bottom"/>
            <w:tcBorders>
              <w:bottom w:val="single" w:sz="8" w:color="DBDBDB"/>
            </w:tcBorders>
            <w:shd w:val="clear" w:color="auto" w:fill="DBDBDB"/>
          </w:tcPr>
          <w:p>
            <w:pPr>
              <w:jc w:val="right"/>
              <w:ind w:right="108"/>
              <w:spacing w:after="0"/>
              <w:rPr>
                <w:sz w:val="20"/>
                <w:szCs w:val="20"/>
                <w:color w:val="auto"/>
              </w:rPr>
            </w:pPr>
            <w:r>
              <w:rPr>
                <w:rFonts w:ascii="Calibri" w:cs="Calibri" w:eastAsia="Calibri" w:hAnsi="Calibri"/>
                <w:sz w:val="18"/>
                <w:szCs w:val="18"/>
                <w:color w:val="auto"/>
              </w:rPr>
              <w:t>129.9</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8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color w:val="auto"/>
              </w:rPr>
              <w:t>169.9</w:t>
            </w:r>
          </w:p>
        </w:tc>
        <w:tc>
          <w:tcPr>
            <w:tcW w:w="1440" w:type="dxa"/>
            <w:vAlign w:val="bottom"/>
            <w:tcBorders>
              <w:bottom w:val="single" w:sz="8" w:color="DBDBDB"/>
              <w:right w:val="single" w:sz="8" w:color="auto"/>
            </w:tcBorders>
            <w:shd w:val="clear" w:color="auto" w:fill="DBDBDB"/>
          </w:tcPr>
          <w:p>
            <w:pPr>
              <w:jc w:val="center"/>
              <w:spacing w:after="0"/>
              <w:rPr>
                <w:sz w:val="20"/>
                <w:szCs w:val="20"/>
                <w:color w:val="auto"/>
              </w:rPr>
            </w:pPr>
            <w:r>
              <w:rPr>
                <w:rFonts w:ascii="Calibri" w:cs="Calibri" w:eastAsia="Calibri" w:hAnsi="Calibri"/>
                <w:sz w:val="18"/>
                <w:szCs w:val="18"/>
                <w:color w:val="auto"/>
              </w:rPr>
              <w:t>(23.5)%</w:t>
            </w:r>
          </w:p>
        </w:tc>
        <w:tc>
          <w:tcPr>
            <w:tcW w:w="0" w:type="dxa"/>
            <w:vAlign w:val="bottom"/>
          </w:tcPr>
          <w:p>
            <w:pPr>
              <w:spacing w:after="0"/>
              <w:rPr>
                <w:sz w:val="1"/>
                <w:szCs w:val="1"/>
                <w:color w:val="auto"/>
              </w:rPr>
            </w:pPr>
          </w:p>
        </w:tc>
      </w:tr>
      <w:tr>
        <w:trPr>
          <w:trHeight w:val="220"/>
        </w:trPr>
        <w:tc>
          <w:tcPr>
            <w:tcW w:w="4540" w:type="dxa"/>
            <w:vAlign w:val="bottom"/>
            <w:tcBorders>
              <w:left w:val="single" w:sz="8" w:color="auto"/>
            </w:tcBorders>
          </w:tcPr>
          <w:p>
            <w:pPr>
              <w:ind w:left="40"/>
              <w:spacing w:after="0"/>
              <w:rPr>
                <w:sz w:val="20"/>
                <w:szCs w:val="20"/>
                <w:color w:val="auto"/>
              </w:rPr>
            </w:pPr>
            <w:r>
              <w:rPr>
                <w:rFonts w:ascii="Calibri" w:cs="Calibri" w:eastAsia="Calibri" w:hAnsi="Calibri"/>
                <w:sz w:val="18"/>
                <w:szCs w:val="18"/>
                <w:color w:val="auto"/>
              </w:rPr>
              <w:t>Net Income</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760" w:type="dxa"/>
            <w:vAlign w:val="bottom"/>
          </w:tcPr>
          <w:p>
            <w:pPr>
              <w:jc w:val="right"/>
              <w:ind w:right="108"/>
              <w:spacing w:after="0"/>
              <w:rPr>
                <w:sz w:val="20"/>
                <w:szCs w:val="20"/>
                <w:color w:val="auto"/>
              </w:rPr>
            </w:pPr>
            <w:r>
              <w:rPr>
                <w:rFonts w:ascii="Calibri" w:cs="Calibri" w:eastAsia="Calibri" w:hAnsi="Calibri"/>
                <w:sz w:val="18"/>
                <w:szCs w:val="18"/>
                <w:color w:val="auto"/>
              </w:rPr>
              <w:t>100.0</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780" w:type="dxa"/>
            <w:vAlign w:val="bottom"/>
          </w:tcPr>
          <w:p>
            <w:pPr>
              <w:jc w:val="right"/>
              <w:ind w:right="109"/>
              <w:spacing w:after="0"/>
              <w:rPr>
                <w:sz w:val="20"/>
                <w:szCs w:val="20"/>
                <w:color w:val="auto"/>
              </w:rPr>
            </w:pPr>
            <w:r>
              <w:rPr>
                <w:rFonts w:ascii="Calibri" w:cs="Calibri" w:eastAsia="Calibri" w:hAnsi="Calibri"/>
                <w:sz w:val="18"/>
                <w:szCs w:val="18"/>
                <w:color w:val="auto"/>
              </w:rPr>
              <w:t>131.7</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rPr>
              <w:t>(24.1)%</w:t>
            </w:r>
          </w:p>
        </w:tc>
        <w:tc>
          <w:tcPr>
            <w:tcW w:w="0" w:type="dxa"/>
            <w:vAlign w:val="bottom"/>
          </w:tcPr>
          <w:p>
            <w:pPr>
              <w:spacing w:after="0"/>
              <w:rPr>
                <w:sz w:val="1"/>
                <w:szCs w:val="1"/>
                <w:color w:val="auto"/>
              </w:rPr>
            </w:pPr>
          </w:p>
        </w:tc>
      </w:tr>
      <w:tr>
        <w:trPr>
          <w:trHeight w:val="50"/>
        </w:trPr>
        <w:tc>
          <w:tcPr>
            <w:tcW w:w="4540" w:type="dxa"/>
            <w:vAlign w:val="bottom"/>
            <w:tcBorders>
              <w:lef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40" w:type="dxa"/>
            <w:vAlign w:val="bottom"/>
            <w:tcBorders>
              <w:left w:val="single" w:sz="8" w:color="auto"/>
            </w:tcBorders>
            <w:shd w:val="clear" w:color="auto" w:fill="DBDBDB"/>
          </w:tcPr>
          <w:p>
            <w:pPr>
              <w:ind w:left="40"/>
              <w:spacing w:after="0" w:line="270"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3"/>
                <w:szCs w:val="23"/>
                <w:color w:val="auto"/>
                <w:vertAlign w:val="superscript"/>
              </w:rPr>
              <w:t>(1)</w:t>
            </w:r>
          </w:p>
        </w:tc>
        <w:tc>
          <w:tcPr>
            <w:tcW w:w="180" w:type="dxa"/>
            <w:vAlign w:val="bottom"/>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60" w:type="dxa"/>
            <w:vAlign w:val="bottom"/>
            <w:shd w:val="clear" w:color="auto" w:fill="DBDBDB"/>
          </w:tcPr>
          <w:p>
            <w:pPr>
              <w:jc w:val="right"/>
              <w:ind w:right="108"/>
              <w:spacing w:after="0"/>
              <w:rPr>
                <w:sz w:val="20"/>
                <w:szCs w:val="20"/>
                <w:color w:val="auto"/>
              </w:rPr>
            </w:pPr>
            <w:r>
              <w:rPr>
                <w:rFonts w:ascii="Calibri" w:cs="Calibri" w:eastAsia="Calibri" w:hAnsi="Calibri"/>
                <w:sz w:val="18"/>
                <w:szCs w:val="18"/>
                <w:color w:val="auto"/>
              </w:rPr>
              <w:t>104.7</w:t>
            </w:r>
          </w:p>
        </w:tc>
        <w:tc>
          <w:tcPr>
            <w:tcW w:w="180" w:type="dxa"/>
            <w:vAlign w:val="bottom"/>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80" w:type="dxa"/>
            <w:vAlign w:val="bottom"/>
            <w:shd w:val="clear" w:color="auto" w:fill="DBDBDB"/>
          </w:tcPr>
          <w:p>
            <w:pPr>
              <w:jc w:val="right"/>
              <w:ind w:right="109"/>
              <w:spacing w:after="0"/>
              <w:rPr>
                <w:sz w:val="20"/>
                <w:szCs w:val="20"/>
                <w:color w:val="auto"/>
              </w:rPr>
            </w:pPr>
            <w:r>
              <w:rPr>
                <w:rFonts w:ascii="Calibri" w:cs="Calibri" w:eastAsia="Calibri" w:hAnsi="Calibri"/>
                <w:sz w:val="18"/>
                <w:szCs w:val="18"/>
                <w:color w:val="auto"/>
              </w:rPr>
              <w:t>136.2</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Calibri" w:cs="Calibri" w:eastAsia="Calibri" w:hAnsi="Calibri"/>
                <w:sz w:val="18"/>
                <w:szCs w:val="18"/>
                <w:color w:val="auto"/>
              </w:rPr>
              <w:t>(23.1)%</w:t>
            </w:r>
          </w:p>
        </w:tc>
        <w:tc>
          <w:tcPr>
            <w:tcW w:w="0" w:type="dxa"/>
            <w:vAlign w:val="bottom"/>
          </w:tcPr>
          <w:p>
            <w:pPr>
              <w:spacing w:after="0"/>
              <w:rPr>
                <w:sz w:val="1"/>
                <w:szCs w:val="1"/>
                <w:color w:val="auto"/>
              </w:rPr>
            </w:pPr>
          </w:p>
        </w:tc>
      </w:tr>
      <w:tr>
        <w:trPr>
          <w:trHeight w:val="220"/>
        </w:trPr>
        <w:tc>
          <w:tcPr>
            <w:tcW w:w="4540" w:type="dxa"/>
            <w:vAlign w:val="bottom"/>
            <w:tcBorders>
              <w:left w:val="single" w:sz="8" w:color="auto"/>
            </w:tcBorders>
          </w:tcPr>
          <w:p>
            <w:pPr>
              <w:ind w:left="40"/>
              <w:spacing w:after="0"/>
              <w:rPr>
                <w:sz w:val="20"/>
                <w:szCs w:val="20"/>
                <w:color w:val="auto"/>
              </w:rPr>
            </w:pPr>
            <w:r>
              <w:rPr>
                <w:rFonts w:ascii="Calibri" w:cs="Calibri" w:eastAsia="Calibri" w:hAnsi="Calibri"/>
                <w:sz w:val="18"/>
                <w:szCs w:val="18"/>
                <w:color w:val="auto"/>
              </w:rPr>
              <w:t>Earnings per common share, diluted</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760" w:type="dxa"/>
            <w:vAlign w:val="bottom"/>
          </w:tcPr>
          <w:p>
            <w:pPr>
              <w:jc w:val="right"/>
              <w:ind w:right="108"/>
              <w:spacing w:after="0"/>
              <w:rPr>
                <w:sz w:val="20"/>
                <w:szCs w:val="20"/>
                <w:color w:val="auto"/>
              </w:rPr>
            </w:pPr>
            <w:r>
              <w:rPr>
                <w:rFonts w:ascii="Calibri" w:cs="Calibri" w:eastAsia="Calibri" w:hAnsi="Calibri"/>
                <w:sz w:val="18"/>
                <w:szCs w:val="18"/>
                <w:color w:val="auto"/>
              </w:rPr>
              <w:t>1.31</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780" w:type="dxa"/>
            <w:vAlign w:val="bottom"/>
          </w:tcPr>
          <w:p>
            <w:pPr>
              <w:jc w:val="right"/>
              <w:ind w:right="109"/>
              <w:spacing w:after="0"/>
              <w:rPr>
                <w:sz w:val="20"/>
                <w:szCs w:val="20"/>
                <w:color w:val="auto"/>
              </w:rPr>
            </w:pPr>
            <w:r>
              <w:rPr>
                <w:rFonts w:ascii="Calibri" w:cs="Calibri" w:eastAsia="Calibri" w:hAnsi="Calibri"/>
                <w:sz w:val="18"/>
                <w:szCs w:val="18"/>
                <w:color w:val="auto"/>
              </w:rPr>
              <w:t>1.62</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rPr>
              <w:t>(19.1)%</w:t>
            </w:r>
          </w:p>
        </w:tc>
        <w:tc>
          <w:tcPr>
            <w:tcW w:w="0" w:type="dxa"/>
            <w:vAlign w:val="bottom"/>
          </w:tcPr>
          <w:p>
            <w:pPr>
              <w:spacing w:after="0"/>
              <w:rPr>
                <w:sz w:val="1"/>
                <w:szCs w:val="1"/>
                <w:color w:val="auto"/>
              </w:rPr>
            </w:pPr>
          </w:p>
        </w:tc>
      </w:tr>
      <w:tr>
        <w:trPr>
          <w:trHeight w:val="50"/>
        </w:trPr>
        <w:tc>
          <w:tcPr>
            <w:tcW w:w="4540" w:type="dxa"/>
            <w:vAlign w:val="bottom"/>
            <w:tcBorders>
              <w:lef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40" w:type="dxa"/>
            <w:vAlign w:val="bottom"/>
            <w:tcBorders>
              <w:left w:val="single" w:sz="8" w:color="auto"/>
              <w:bottom w:val="single" w:sz="8" w:color="auto"/>
            </w:tcBorders>
            <w:shd w:val="clear" w:color="auto" w:fill="DBDBDB"/>
          </w:tcPr>
          <w:p>
            <w:pPr>
              <w:ind w:left="40"/>
              <w:spacing w:after="0" w:line="270"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3"/>
                <w:szCs w:val="23"/>
                <w:color w:val="auto"/>
                <w:vertAlign w:val="superscript"/>
              </w:rPr>
              <w:t>(1)</w:t>
            </w:r>
          </w:p>
        </w:tc>
        <w:tc>
          <w:tcPr>
            <w:tcW w:w="18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60" w:type="dxa"/>
            <w:vAlign w:val="bottom"/>
            <w:tcBorders>
              <w:bottom w:val="single" w:sz="8" w:color="auto"/>
            </w:tcBorders>
            <w:shd w:val="clear" w:color="auto" w:fill="DBDBDB"/>
          </w:tcPr>
          <w:p>
            <w:pPr>
              <w:jc w:val="right"/>
              <w:ind w:right="108"/>
              <w:spacing w:after="0"/>
              <w:rPr>
                <w:sz w:val="20"/>
                <w:szCs w:val="20"/>
                <w:color w:val="auto"/>
              </w:rPr>
            </w:pPr>
            <w:r>
              <w:rPr>
                <w:rFonts w:ascii="Calibri" w:cs="Calibri" w:eastAsia="Calibri" w:hAnsi="Calibri"/>
                <w:sz w:val="18"/>
                <w:szCs w:val="18"/>
                <w:color w:val="auto"/>
              </w:rPr>
              <w:t>1.38</w:t>
            </w:r>
          </w:p>
        </w:tc>
        <w:tc>
          <w:tcPr>
            <w:tcW w:w="18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80" w:type="dxa"/>
            <w:vAlign w:val="bottom"/>
            <w:tcBorders>
              <w:bottom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color w:val="auto"/>
              </w:rPr>
              <w:t>1.67</w:t>
            </w:r>
          </w:p>
        </w:tc>
        <w:tc>
          <w:tcPr>
            <w:tcW w:w="14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Calibri" w:cs="Calibri" w:eastAsia="Calibri" w:hAnsi="Calibri"/>
                <w:sz w:val="18"/>
                <w:szCs w:val="18"/>
                <w:color w:val="auto"/>
              </w:rPr>
              <w:t>(17.4)%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222885</wp:posOffset>
            </wp:positionV>
            <wp:extent cx="889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222885</wp:posOffset>
            </wp:positionV>
            <wp:extent cx="825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394335"/>
                    </a:xfrm>
                    <a:prstGeom prst="rect">
                      <a:avLst/>
                    </a:prstGeom>
                    <a:noFill/>
                  </pic:spPr>
                </pic:pic>
              </a:graphicData>
            </a:graphic>
          </wp:anchor>
        </w:drawing>
      </w:r>
    </w:p>
    <w:p>
      <w:pPr>
        <w:spacing w:after="0" w:line="311" w:lineRule="exact"/>
        <w:rPr>
          <w:sz w:val="20"/>
          <w:szCs w:val="20"/>
          <w:color w:val="auto"/>
        </w:rPr>
      </w:pPr>
    </w:p>
    <w:tbl>
      <w:tblPr>
        <w:tblLayout w:type="fixed"/>
        <w:tblInd w:w="710" w:type="dxa"/>
        <w:tblCellMar>
          <w:top w:w="0" w:type="dxa"/>
          <w:left w:w="0" w:type="dxa"/>
          <w:bottom w:w="0" w:type="dxa"/>
          <w:right w:w="0" w:type="dxa"/>
        </w:tblCellMar>
      </w:tblPr>
      <w:tr>
        <w:trPr>
          <w:trHeight w:val="250"/>
        </w:trPr>
        <w:tc>
          <w:tcPr>
            <w:tcW w:w="4420" w:type="dxa"/>
            <w:vAlign w:val="bottom"/>
            <w:tcBorders>
              <w:top w:val="single" w:sz="8" w:color="auto"/>
              <w:left w:val="single" w:sz="8" w:color="auto"/>
            </w:tcBorders>
            <w:vMerge w:val="restart"/>
            <w:shd w:val="clear" w:color="auto" w:fill="1928A0"/>
          </w:tcPr>
          <w:p>
            <w:pPr>
              <w:ind w:left="40"/>
              <w:spacing w:after="0"/>
              <w:rPr>
                <w:sz w:val="20"/>
                <w:szCs w:val="20"/>
                <w:color w:val="auto"/>
              </w:rPr>
            </w:pPr>
            <w:r>
              <w:rPr>
                <w:rFonts w:ascii="Calibri" w:cs="Calibri" w:eastAsia="Calibri" w:hAnsi="Calibri"/>
                <w:sz w:val="20"/>
                <w:szCs w:val="20"/>
                <w:b w:val="1"/>
                <w:bCs w:val="1"/>
                <w:color w:val="FFFFFF"/>
              </w:rPr>
              <w:t xml:space="preserve">Year-to-Date Operatng Results </w:t>
            </w:r>
            <w:r>
              <w:rPr>
                <w:rFonts w:ascii="Calibri" w:cs="Calibri" w:eastAsia="Calibri" w:hAnsi="Calibri"/>
                <w:sz w:val="14"/>
                <w:szCs w:val="14"/>
                <w:b w:val="1"/>
                <w:bCs w:val="1"/>
                <w:color w:val="FFFFFF"/>
              </w:rPr>
              <w:t>($ in millions, except per</w:t>
            </w:r>
          </w:p>
        </w:tc>
        <w:tc>
          <w:tcPr>
            <w:tcW w:w="200" w:type="dxa"/>
            <w:vAlign w:val="bottom"/>
            <w:tcBorders>
              <w:top w:val="single" w:sz="8" w:color="auto"/>
            </w:tcBorders>
            <w:shd w:val="clear" w:color="auto" w:fill="1928A0"/>
          </w:tcPr>
          <w:p>
            <w:pPr>
              <w:spacing w:after="0"/>
              <w:rPr>
                <w:sz w:val="21"/>
                <w:szCs w:val="21"/>
                <w:color w:val="auto"/>
              </w:rPr>
            </w:pPr>
          </w:p>
        </w:tc>
        <w:tc>
          <w:tcPr>
            <w:tcW w:w="3820" w:type="dxa"/>
            <w:vAlign w:val="bottom"/>
            <w:tcBorders>
              <w:top w:val="single" w:sz="8" w:color="auto"/>
            </w:tcBorders>
            <w:gridSpan w:val="3"/>
            <w:shd w:val="clear" w:color="auto" w:fill="1928A0"/>
          </w:tcPr>
          <w:p>
            <w:pPr>
              <w:jc w:val="right"/>
              <w:ind w:right="869"/>
              <w:spacing w:after="0"/>
              <w:rPr>
                <w:sz w:val="20"/>
                <w:szCs w:val="20"/>
                <w:color w:val="auto"/>
              </w:rPr>
            </w:pPr>
            <w:r>
              <w:rPr>
                <w:rFonts w:ascii="Calibri" w:cs="Calibri" w:eastAsia="Calibri" w:hAnsi="Calibri"/>
                <w:sz w:val="20"/>
                <w:szCs w:val="20"/>
                <w:b w:val="1"/>
                <w:bCs w:val="1"/>
                <w:color w:val="FFFFFF"/>
              </w:rPr>
              <w:t>Thirty-Nine Weeks Ended</w:t>
            </w:r>
          </w:p>
        </w:tc>
        <w:tc>
          <w:tcPr>
            <w:tcW w:w="1420" w:type="dxa"/>
            <w:vAlign w:val="bottom"/>
            <w:tcBorders>
              <w:top w:val="single" w:sz="8" w:color="auto"/>
              <w:right w:val="single" w:sz="8" w:color="auto"/>
            </w:tcBorders>
            <w:shd w:val="clear" w:color="auto" w:fill="1928A0"/>
          </w:tcPr>
          <w:p>
            <w:pPr>
              <w:ind w:left="380"/>
              <w:spacing w:after="0"/>
              <w:rPr>
                <w:sz w:val="20"/>
                <w:szCs w:val="20"/>
                <w:color w:val="auto"/>
              </w:rPr>
            </w:pPr>
            <w:r>
              <w:rPr>
                <w:rFonts w:ascii="Calibri" w:cs="Calibri" w:eastAsia="Calibri" w:hAnsi="Calibri"/>
                <w:sz w:val="20"/>
                <w:szCs w:val="20"/>
                <w:b w:val="1"/>
                <w:bCs w:val="1"/>
                <w:color w:val="FFFFFF"/>
              </w:rPr>
              <w:t>Change</w:t>
            </w: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tcBorders>
            <w:vMerge w:val="continue"/>
            <w:shd w:val="clear" w:color="auto" w:fill="1928A0"/>
          </w:tcPr>
          <w:p>
            <w:pPr>
              <w:spacing w:after="0"/>
              <w:rPr>
                <w:sz w:val="11"/>
                <w:szCs w:val="11"/>
                <w:color w:val="auto"/>
              </w:rPr>
            </w:pPr>
          </w:p>
        </w:tc>
        <w:tc>
          <w:tcPr>
            <w:tcW w:w="200" w:type="dxa"/>
            <w:vAlign w:val="bottom"/>
            <w:shd w:val="clear" w:color="auto" w:fill="1928A0"/>
          </w:tcPr>
          <w:p>
            <w:pPr>
              <w:spacing w:after="0"/>
              <w:rPr>
                <w:sz w:val="11"/>
                <w:szCs w:val="11"/>
                <w:color w:val="auto"/>
              </w:rPr>
            </w:pPr>
          </w:p>
        </w:tc>
        <w:tc>
          <w:tcPr>
            <w:tcW w:w="1840" w:type="dxa"/>
            <w:vAlign w:val="bottom"/>
            <w:vMerge w:val="restart"/>
            <w:shd w:val="clear" w:color="auto" w:fill="1928A0"/>
          </w:tcPr>
          <w:p>
            <w:pPr>
              <w:jc w:val="right"/>
              <w:ind w:right="208"/>
              <w:spacing w:after="0"/>
              <w:rPr>
                <w:sz w:val="20"/>
                <w:szCs w:val="20"/>
                <w:color w:val="auto"/>
              </w:rPr>
            </w:pPr>
            <w:r>
              <w:rPr>
                <w:rFonts w:ascii="Calibri" w:cs="Calibri" w:eastAsia="Calibri" w:hAnsi="Calibri"/>
                <w:sz w:val="20"/>
                <w:szCs w:val="20"/>
                <w:b w:val="1"/>
                <w:bCs w:val="1"/>
                <w:color w:val="FFFFFF"/>
              </w:rPr>
              <w:t>October 28, 2023</w:t>
            </w:r>
          </w:p>
        </w:tc>
        <w:tc>
          <w:tcPr>
            <w:tcW w:w="180" w:type="dxa"/>
            <w:vAlign w:val="bottom"/>
            <w:shd w:val="clear" w:color="auto" w:fill="1928A0"/>
          </w:tcPr>
          <w:p>
            <w:pPr>
              <w:spacing w:after="0"/>
              <w:rPr>
                <w:sz w:val="11"/>
                <w:szCs w:val="11"/>
                <w:color w:val="auto"/>
              </w:rPr>
            </w:pPr>
          </w:p>
        </w:tc>
        <w:tc>
          <w:tcPr>
            <w:tcW w:w="1800" w:type="dxa"/>
            <w:vAlign w:val="bottom"/>
            <w:vMerge w:val="restart"/>
            <w:shd w:val="clear" w:color="auto" w:fill="1928A0"/>
          </w:tcPr>
          <w:p>
            <w:pPr>
              <w:jc w:val="right"/>
              <w:ind w:right="189"/>
              <w:spacing w:after="0"/>
              <w:rPr>
                <w:sz w:val="20"/>
                <w:szCs w:val="20"/>
                <w:color w:val="auto"/>
              </w:rPr>
            </w:pPr>
            <w:r>
              <w:rPr>
                <w:rFonts w:ascii="Calibri" w:cs="Calibri" w:eastAsia="Calibri" w:hAnsi="Calibri"/>
                <w:sz w:val="20"/>
                <w:szCs w:val="20"/>
                <w:b w:val="1"/>
                <w:bCs w:val="1"/>
                <w:color w:val="FFFFFF"/>
              </w:rPr>
              <w:t>October 29, 2022</w:t>
            </w:r>
          </w:p>
        </w:tc>
        <w:tc>
          <w:tcPr>
            <w:tcW w:w="1420" w:type="dxa"/>
            <w:vAlign w:val="bottom"/>
            <w:tcBorders>
              <w:right w:val="single" w:sz="8" w:color="auto"/>
            </w:tcBorders>
            <w:vMerge w:val="restart"/>
            <w:shd w:val="clear" w:color="auto" w:fill="1928A0"/>
          </w:tcPr>
          <w:p>
            <w:pPr>
              <w:jc w:val="center"/>
              <w:spacing w:after="0"/>
              <w:rPr>
                <w:sz w:val="20"/>
                <w:szCs w:val="20"/>
                <w:color w:val="auto"/>
              </w:rPr>
            </w:pPr>
            <w:r>
              <w:rPr>
                <w:rFonts w:ascii="Calibri" w:cs="Calibri" w:eastAsia="Calibri" w:hAnsi="Calibri"/>
                <w:sz w:val="20"/>
                <w:szCs w:val="20"/>
                <w:b w:val="1"/>
                <w:bCs w:val="1"/>
                <w:color w:val="FFFFFF"/>
                <w:w w:val="95"/>
              </w:rPr>
              <w:t>%</w:t>
            </w:r>
          </w:p>
        </w:tc>
        <w:tc>
          <w:tcPr>
            <w:tcW w:w="0" w:type="dxa"/>
            <w:vAlign w:val="bottom"/>
          </w:tcPr>
          <w:p>
            <w:pPr>
              <w:spacing w:after="0"/>
              <w:rPr>
                <w:sz w:val="1"/>
                <w:szCs w:val="1"/>
                <w:color w:val="auto"/>
              </w:rPr>
            </w:pPr>
          </w:p>
        </w:tc>
      </w:tr>
      <w:tr>
        <w:trPr>
          <w:trHeight w:val="222"/>
        </w:trPr>
        <w:tc>
          <w:tcPr>
            <w:tcW w:w="4420" w:type="dxa"/>
            <w:vAlign w:val="bottom"/>
            <w:tcBorders>
              <w:left w:val="single" w:sz="8" w:color="auto"/>
              <w:bottom w:val="single" w:sz="8" w:color="1928A0"/>
            </w:tcBorders>
            <w:shd w:val="clear" w:color="auto" w:fill="1928A0"/>
          </w:tcPr>
          <w:p>
            <w:pPr>
              <w:ind w:left="40"/>
              <w:spacing w:after="0"/>
              <w:rPr>
                <w:sz w:val="20"/>
                <w:szCs w:val="20"/>
                <w:color w:val="auto"/>
              </w:rPr>
            </w:pPr>
            <w:r>
              <w:rPr>
                <w:rFonts w:ascii="Calibri" w:cs="Calibri" w:eastAsia="Calibri" w:hAnsi="Calibri"/>
                <w:sz w:val="14"/>
                <w:szCs w:val="14"/>
                <w:b w:val="1"/>
                <w:bCs w:val="1"/>
                <w:color w:val="FFFFFF"/>
              </w:rPr>
              <w:t>share data)</w:t>
            </w:r>
          </w:p>
        </w:tc>
        <w:tc>
          <w:tcPr>
            <w:tcW w:w="200" w:type="dxa"/>
            <w:vAlign w:val="bottom"/>
            <w:tcBorders>
              <w:bottom w:val="single" w:sz="8" w:color="1928A0"/>
            </w:tcBorders>
            <w:shd w:val="clear" w:color="auto" w:fill="1928A0"/>
          </w:tcPr>
          <w:p>
            <w:pPr>
              <w:spacing w:after="0"/>
              <w:rPr>
                <w:sz w:val="19"/>
                <w:szCs w:val="19"/>
                <w:color w:val="auto"/>
              </w:rPr>
            </w:pPr>
          </w:p>
        </w:tc>
        <w:tc>
          <w:tcPr>
            <w:tcW w:w="1840" w:type="dxa"/>
            <w:vAlign w:val="bottom"/>
            <w:tcBorders>
              <w:bottom w:val="single" w:sz="8" w:color="1928A0"/>
            </w:tcBorders>
            <w:vMerge w:val="continue"/>
            <w:shd w:val="clear" w:color="auto" w:fill="1928A0"/>
          </w:tcPr>
          <w:p>
            <w:pPr>
              <w:spacing w:after="0"/>
              <w:rPr>
                <w:sz w:val="19"/>
                <w:szCs w:val="19"/>
                <w:color w:val="auto"/>
              </w:rPr>
            </w:pPr>
          </w:p>
        </w:tc>
        <w:tc>
          <w:tcPr>
            <w:tcW w:w="180" w:type="dxa"/>
            <w:vAlign w:val="bottom"/>
            <w:tcBorders>
              <w:bottom w:val="single" w:sz="8" w:color="1928A0"/>
            </w:tcBorders>
            <w:shd w:val="clear" w:color="auto" w:fill="1928A0"/>
          </w:tcPr>
          <w:p>
            <w:pPr>
              <w:spacing w:after="0"/>
              <w:rPr>
                <w:sz w:val="19"/>
                <w:szCs w:val="19"/>
                <w:color w:val="auto"/>
              </w:rPr>
            </w:pPr>
          </w:p>
        </w:tc>
        <w:tc>
          <w:tcPr>
            <w:tcW w:w="1800" w:type="dxa"/>
            <w:vAlign w:val="bottom"/>
            <w:tcBorders>
              <w:bottom w:val="single" w:sz="8" w:color="1928A0"/>
            </w:tcBorders>
            <w:vMerge w:val="continue"/>
            <w:shd w:val="clear" w:color="auto" w:fill="1928A0"/>
          </w:tcPr>
          <w:p>
            <w:pPr>
              <w:spacing w:after="0"/>
              <w:rPr>
                <w:sz w:val="19"/>
                <w:szCs w:val="19"/>
                <w:color w:val="auto"/>
              </w:rPr>
            </w:pPr>
          </w:p>
        </w:tc>
        <w:tc>
          <w:tcPr>
            <w:tcW w:w="1420" w:type="dxa"/>
            <w:vAlign w:val="bottom"/>
            <w:tcBorders>
              <w:bottom w:val="single" w:sz="8" w:color="1928A0"/>
              <w:right w:val="single" w:sz="8" w:color="auto"/>
            </w:tcBorders>
            <w:vMerge w:val="continue"/>
            <w:shd w:val="clear" w:color="auto" w:fill="1928A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Borders>
              <w:top w:val="single" w:sz="8" w:color="DBDBDB"/>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Net sales</w:t>
            </w:r>
          </w:p>
        </w:tc>
        <w:tc>
          <w:tcPr>
            <w:tcW w:w="200" w:type="dxa"/>
            <w:vAlign w:val="bottom"/>
            <w:tcBorders>
              <w:top w:val="single" w:sz="8" w:color="auto"/>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w:t>
            </w:r>
          </w:p>
        </w:tc>
        <w:tc>
          <w:tcPr>
            <w:tcW w:w="1840" w:type="dxa"/>
            <w:vAlign w:val="bottom"/>
            <w:tcBorders>
              <w:top w:val="single" w:sz="8" w:color="auto"/>
              <w:bottom w:val="single" w:sz="8" w:color="DBDBDB"/>
            </w:tcBorders>
            <w:shd w:val="clear" w:color="auto" w:fill="DBDBDB"/>
          </w:tcPr>
          <w:p>
            <w:pPr>
              <w:jc w:val="right"/>
              <w:ind w:right="108"/>
              <w:spacing w:after="0" w:line="213" w:lineRule="exact"/>
              <w:rPr>
                <w:sz w:val="20"/>
                <w:szCs w:val="20"/>
                <w:color w:val="auto"/>
              </w:rPr>
            </w:pPr>
            <w:r>
              <w:rPr>
                <w:rFonts w:ascii="Calibri" w:cs="Calibri" w:eastAsia="Calibri" w:hAnsi="Calibri"/>
                <w:sz w:val="18"/>
                <w:szCs w:val="18"/>
                <w:color w:val="auto"/>
              </w:rPr>
              <w:t>4,364.5</w:t>
            </w:r>
          </w:p>
        </w:tc>
        <w:tc>
          <w:tcPr>
            <w:tcW w:w="180" w:type="dxa"/>
            <w:vAlign w:val="bottom"/>
            <w:tcBorders>
              <w:top w:val="single" w:sz="8" w:color="auto"/>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800" w:type="dxa"/>
            <w:vAlign w:val="bottom"/>
            <w:tcBorders>
              <w:top w:val="single" w:sz="8" w:color="auto"/>
              <w:bottom w:val="single" w:sz="8" w:color="DBDBDB"/>
            </w:tcBorders>
            <w:shd w:val="clear" w:color="auto" w:fill="DBDBDB"/>
          </w:tcPr>
          <w:p>
            <w:pPr>
              <w:jc w:val="right"/>
              <w:ind w:right="109"/>
              <w:spacing w:after="0" w:line="213" w:lineRule="exact"/>
              <w:rPr>
                <w:sz w:val="20"/>
                <w:szCs w:val="20"/>
                <w:color w:val="auto"/>
              </w:rPr>
            </w:pPr>
            <w:r>
              <w:rPr>
                <w:rFonts w:ascii="Calibri" w:cs="Calibri" w:eastAsia="Calibri" w:hAnsi="Calibri"/>
                <w:sz w:val="18"/>
                <w:szCs w:val="18"/>
                <w:color w:val="auto"/>
              </w:rPr>
              <w:t>4,648.6</w:t>
            </w:r>
          </w:p>
        </w:tc>
        <w:tc>
          <w:tcPr>
            <w:tcW w:w="1420" w:type="dxa"/>
            <w:vAlign w:val="bottom"/>
            <w:tcBorders>
              <w:top w:val="single" w:sz="8" w:color="DBDBDB"/>
              <w:bottom w:val="single" w:sz="8" w:color="DBDBDB"/>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8"/>
              </w:rPr>
              <w:t>(6.1)%</w:t>
            </w:r>
          </w:p>
        </w:tc>
        <w:tc>
          <w:tcPr>
            <w:tcW w:w="0" w:type="dxa"/>
            <w:vAlign w:val="bottom"/>
          </w:tcPr>
          <w:p>
            <w:pPr>
              <w:spacing w:after="0"/>
              <w:rPr>
                <w:sz w:val="1"/>
                <w:szCs w:val="1"/>
                <w:color w:val="auto"/>
              </w:rPr>
            </w:pPr>
          </w:p>
        </w:tc>
      </w:tr>
      <w:tr>
        <w:trPr>
          <w:trHeight w:val="220"/>
        </w:trPr>
        <w:tc>
          <w:tcPr>
            <w:tcW w:w="4420" w:type="dxa"/>
            <w:vAlign w:val="bottom"/>
            <w:tcBorders>
              <w:left w:val="single" w:sz="8" w:color="auto"/>
            </w:tcBorders>
          </w:tcPr>
          <w:p>
            <w:pPr>
              <w:ind w:left="40"/>
              <w:spacing w:after="0"/>
              <w:rPr>
                <w:sz w:val="20"/>
                <w:szCs w:val="20"/>
                <w:color w:val="auto"/>
              </w:rPr>
            </w:pPr>
            <w:r>
              <w:rPr>
                <w:rFonts w:ascii="Calibri" w:cs="Calibri" w:eastAsia="Calibri" w:hAnsi="Calibri"/>
                <w:sz w:val="18"/>
                <w:szCs w:val="18"/>
                <w:color w:val="auto"/>
              </w:rPr>
              <w:t>Comparable sales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Calibri" w:cs="Calibri" w:eastAsia="Calibri" w:hAnsi="Calibri"/>
                <w:sz w:val="18"/>
                <w:szCs w:val="18"/>
                <w:color w:val="auto"/>
              </w:rPr>
              <w:t>(7.6)%</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(6.9)%</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4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20" w:type="dxa"/>
            <w:vAlign w:val="bottom"/>
            <w:tcBorders>
              <w:left w:val="single" w:sz="8" w:color="auto"/>
              <w:bottom w:val="single" w:sz="8" w:color="DBDBDB"/>
            </w:tcBorders>
            <w:shd w:val="clear" w:color="auto" w:fill="DBDBDB"/>
          </w:tcPr>
          <w:p>
            <w:pPr>
              <w:ind w:left="40"/>
              <w:spacing w:after="0"/>
              <w:rPr>
                <w:sz w:val="20"/>
                <w:szCs w:val="20"/>
                <w:color w:val="auto"/>
              </w:rPr>
            </w:pPr>
            <w:r>
              <w:rPr>
                <w:rFonts w:ascii="Calibri" w:cs="Calibri" w:eastAsia="Calibri" w:hAnsi="Calibri"/>
                <w:sz w:val="18"/>
                <w:szCs w:val="18"/>
                <w:color w:val="auto"/>
              </w:rPr>
              <w:t>Income before income tax</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w:t>
            </w:r>
          </w:p>
        </w:tc>
        <w:tc>
          <w:tcPr>
            <w:tcW w:w="1840" w:type="dxa"/>
            <w:vAlign w:val="bottom"/>
            <w:tcBorders>
              <w:bottom w:val="single" w:sz="8" w:color="DBDBDB"/>
            </w:tcBorders>
            <w:shd w:val="clear" w:color="auto" w:fill="DBDBDB"/>
          </w:tcPr>
          <w:p>
            <w:pPr>
              <w:jc w:val="right"/>
              <w:ind w:right="108"/>
              <w:spacing w:after="0"/>
              <w:rPr>
                <w:sz w:val="20"/>
                <w:szCs w:val="20"/>
                <w:color w:val="auto"/>
              </w:rPr>
            </w:pPr>
            <w:r>
              <w:rPr>
                <w:rFonts w:ascii="Calibri" w:cs="Calibri" w:eastAsia="Calibri" w:hAnsi="Calibri"/>
                <w:sz w:val="18"/>
                <w:szCs w:val="18"/>
                <w:color w:val="auto"/>
              </w:rPr>
              <w:t>451.9</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80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color w:val="auto"/>
              </w:rPr>
              <w:t>612.2</w:t>
            </w:r>
          </w:p>
        </w:tc>
        <w:tc>
          <w:tcPr>
            <w:tcW w:w="1420" w:type="dxa"/>
            <w:vAlign w:val="bottom"/>
            <w:tcBorders>
              <w:bottom w:val="single" w:sz="8" w:color="DBDBDB"/>
              <w:right w:val="single" w:sz="8" w:color="auto"/>
            </w:tcBorders>
            <w:shd w:val="clear" w:color="auto" w:fill="DBDBDB"/>
          </w:tcPr>
          <w:p>
            <w:pPr>
              <w:jc w:val="center"/>
              <w:spacing w:after="0"/>
              <w:rPr>
                <w:sz w:val="20"/>
                <w:szCs w:val="20"/>
                <w:color w:val="auto"/>
              </w:rPr>
            </w:pPr>
            <w:r>
              <w:rPr>
                <w:rFonts w:ascii="Calibri" w:cs="Calibri" w:eastAsia="Calibri" w:hAnsi="Calibri"/>
                <w:sz w:val="18"/>
                <w:szCs w:val="18"/>
                <w:color w:val="auto"/>
                <w:w w:val="96"/>
              </w:rPr>
              <w:t>(26.2)%</w:t>
            </w:r>
          </w:p>
        </w:tc>
        <w:tc>
          <w:tcPr>
            <w:tcW w:w="0" w:type="dxa"/>
            <w:vAlign w:val="bottom"/>
          </w:tcPr>
          <w:p>
            <w:pPr>
              <w:spacing w:after="0"/>
              <w:rPr>
                <w:sz w:val="1"/>
                <w:szCs w:val="1"/>
                <w:color w:val="auto"/>
              </w:rPr>
            </w:pPr>
          </w:p>
        </w:tc>
      </w:tr>
      <w:tr>
        <w:trPr>
          <w:trHeight w:val="220"/>
        </w:trPr>
        <w:tc>
          <w:tcPr>
            <w:tcW w:w="4420" w:type="dxa"/>
            <w:vAlign w:val="bottom"/>
            <w:tcBorders>
              <w:left w:val="single" w:sz="8" w:color="auto"/>
            </w:tcBorders>
          </w:tcPr>
          <w:p>
            <w:pPr>
              <w:ind w:left="40"/>
              <w:spacing w:after="0"/>
              <w:rPr>
                <w:sz w:val="20"/>
                <w:szCs w:val="20"/>
                <w:color w:val="auto"/>
              </w:rPr>
            </w:pPr>
            <w:r>
              <w:rPr>
                <w:rFonts w:ascii="Calibri" w:cs="Calibri" w:eastAsia="Calibri" w:hAnsi="Calibri"/>
                <w:sz w:val="18"/>
                <w:szCs w:val="18"/>
                <w:color w:val="auto"/>
              </w:rPr>
              <w:t>Net Income</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840" w:type="dxa"/>
            <w:vAlign w:val="bottom"/>
          </w:tcPr>
          <w:p>
            <w:pPr>
              <w:jc w:val="right"/>
              <w:ind w:right="108"/>
              <w:spacing w:after="0"/>
              <w:rPr>
                <w:sz w:val="20"/>
                <w:szCs w:val="20"/>
                <w:color w:val="auto"/>
              </w:rPr>
            </w:pPr>
            <w:r>
              <w:rPr>
                <w:rFonts w:ascii="Calibri" w:cs="Calibri" w:eastAsia="Calibri" w:hAnsi="Calibri"/>
                <w:sz w:val="18"/>
                <w:szCs w:val="18"/>
                <w:color w:val="auto"/>
              </w:rPr>
              <w:t>351.0</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800" w:type="dxa"/>
            <w:vAlign w:val="bottom"/>
          </w:tcPr>
          <w:p>
            <w:pPr>
              <w:jc w:val="right"/>
              <w:ind w:right="109"/>
              <w:spacing w:after="0"/>
              <w:rPr>
                <w:sz w:val="20"/>
                <w:szCs w:val="20"/>
                <w:color w:val="auto"/>
              </w:rPr>
            </w:pPr>
            <w:r>
              <w:rPr>
                <w:rFonts w:ascii="Calibri" w:cs="Calibri" w:eastAsia="Calibri" w:hAnsi="Calibri"/>
                <w:sz w:val="18"/>
                <w:szCs w:val="18"/>
                <w:color w:val="auto"/>
              </w:rPr>
              <w:t>470.3</w:t>
            </w: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(25.4)%</w:t>
            </w:r>
          </w:p>
        </w:tc>
        <w:tc>
          <w:tcPr>
            <w:tcW w:w="0" w:type="dxa"/>
            <w:vAlign w:val="bottom"/>
          </w:tcPr>
          <w:p>
            <w:pPr>
              <w:spacing w:after="0"/>
              <w:rPr>
                <w:sz w:val="1"/>
                <w:szCs w:val="1"/>
                <w:color w:val="auto"/>
              </w:rPr>
            </w:pPr>
          </w:p>
        </w:tc>
      </w:tr>
      <w:tr>
        <w:trPr>
          <w:trHeight w:val="50"/>
        </w:trPr>
        <w:tc>
          <w:tcPr>
            <w:tcW w:w="44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20" w:type="dxa"/>
            <w:vAlign w:val="bottom"/>
            <w:tcBorders>
              <w:left w:val="single" w:sz="8" w:color="auto"/>
            </w:tcBorders>
            <w:shd w:val="clear" w:color="auto" w:fill="DBDBDB"/>
          </w:tcPr>
          <w:p>
            <w:pPr>
              <w:ind w:left="40"/>
              <w:spacing w:after="0" w:line="270"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3"/>
                <w:szCs w:val="23"/>
                <w:color w:val="auto"/>
                <w:vertAlign w:val="superscript"/>
              </w:rPr>
              <w:t>(1)</w:t>
            </w:r>
          </w:p>
        </w:tc>
        <w:tc>
          <w:tcPr>
            <w:tcW w:w="200" w:type="dxa"/>
            <w:vAlign w:val="bottom"/>
            <w:shd w:val="clear" w:color="auto" w:fill="DBDBDB"/>
          </w:tcPr>
          <w:p>
            <w:pPr>
              <w:jc w:val="right"/>
              <w:spacing w:after="0"/>
              <w:rPr>
                <w:sz w:val="20"/>
                <w:szCs w:val="20"/>
                <w:color w:val="auto"/>
              </w:rPr>
            </w:pPr>
            <w:r>
              <w:rPr>
                <w:rFonts w:ascii="Calibri" w:cs="Calibri" w:eastAsia="Calibri" w:hAnsi="Calibri"/>
                <w:sz w:val="18"/>
                <w:szCs w:val="18"/>
                <w:color w:val="auto"/>
              </w:rPr>
              <w:t>$</w:t>
            </w:r>
          </w:p>
        </w:tc>
        <w:tc>
          <w:tcPr>
            <w:tcW w:w="1840" w:type="dxa"/>
            <w:vAlign w:val="bottom"/>
            <w:shd w:val="clear" w:color="auto" w:fill="DBDBDB"/>
          </w:tcPr>
          <w:p>
            <w:pPr>
              <w:jc w:val="right"/>
              <w:ind w:right="108"/>
              <w:spacing w:after="0"/>
              <w:rPr>
                <w:sz w:val="20"/>
                <w:szCs w:val="20"/>
                <w:color w:val="auto"/>
              </w:rPr>
            </w:pPr>
            <w:r>
              <w:rPr>
                <w:rFonts w:ascii="Calibri" w:cs="Calibri" w:eastAsia="Calibri" w:hAnsi="Calibri"/>
                <w:sz w:val="18"/>
                <w:szCs w:val="18"/>
                <w:color w:val="auto"/>
              </w:rPr>
              <w:t>371.2</w:t>
            </w:r>
          </w:p>
        </w:tc>
        <w:tc>
          <w:tcPr>
            <w:tcW w:w="180" w:type="dxa"/>
            <w:vAlign w:val="bottom"/>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800" w:type="dxa"/>
            <w:vAlign w:val="bottom"/>
            <w:shd w:val="clear" w:color="auto" w:fill="DBDBDB"/>
          </w:tcPr>
          <w:p>
            <w:pPr>
              <w:jc w:val="right"/>
              <w:ind w:right="109"/>
              <w:spacing w:after="0"/>
              <w:rPr>
                <w:sz w:val="20"/>
                <w:szCs w:val="20"/>
                <w:color w:val="auto"/>
              </w:rPr>
            </w:pPr>
            <w:r>
              <w:rPr>
                <w:rFonts w:ascii="Calibri" w:cs="Calibri" w:eastAsia="Calibri" w:hAnsi="Calibri"/>
                <w:sz w:val="18"/>
                <w:szCs w:val="18"/>
                <w:color w:val="auto"/>
              </w:rPr>
              <w:t>482.2</w:t>
            </w:r>
          </w:p>
        </w:tc>
        <w:tc>
          <w:tcPr>
            <w:tcW w:w="1420" w:type="dxa"/>
            <w:vAlign w:val="bottom"/>
            <w:tcBorders>
              <w:right w:val="single" w:sz="8" w:color="auto"/>
            </w:tcBorders>
            <w:shd w:val="clear" w:color="auto" w:fill="DBDBDB"/>
          </w:tcPr>
          <w:p>
            <w:pPr>
              <w:jc w:val="center"/>
              <w:spacing w:after="0"/>
              <w:rPr>
                <w:sz w:val="20"/>
                <w:szCs w:val="20"/>
                <w:color w:val="auto"/>
              </w:rPr>
            </w:pPr>
            <w:r>
              <w:rPr>
                <w:rFonts w:ascii="Calibri" w:cs="Calibri" w:eastAsia="Calibri" w:hAnsi="Calibri"/>
                <w:sz w:val="18"/>
                <w:szCs w:val="18"/>
                <w:color w:val="auto"/>
                <w:w w:val="96"/>
              </w:rPr>
              <w:t>(23.0)%</w:t>
            </w:r>
          </w:p>
        </w:tc>
        <w:tc>
          <w:tcPr>
            <w:tcW w:w="0" w:type="dxa"/>
            <w:vAlign w:val="bottom"/>
          </w:tcPr>
          <w:p>
            <w:pPr>
              <w:spacing w:after="0"/>
              <w:rPr>
                <w:sz w:val="1"/>
                <w:szCs w:val="1"/>
                <w:color w:val="auto"/>
              </w:rPr>
            </w:pPr>
          </w:p>
        </w:tc>
      </w:tr>
      <w:tr>
        <w:trPr>
          <w:trHeight w:val="219"/>
        </w:trPr>
        <w:tc>
          <w:tcPr>
            <w:tcW w:w="4420" w:type="dxa"/>
            <w:vAlign w:val="bottom"/>
            <w:tcBorders>
              <w:left w:val="single" w:sz="8" w:color="auto"/>
            </w:tcBorders>
          </w:tcPr>
          <w:p>
            <w:pPr>
              <w:ind w:left="40"/>
              <w:spacing w:after="0"/>
              <w:rPr>
                <w:sz w:val="20"/>
                <w:szCs w:val="20"/>
                <w:color w:val="auto"/>
              </w:rPr>
            </w:pPr>
            <w:r>
              <w:rPr>
                <w:rFonts w:ascii="Calibri" w:cs="Calibri" w:eastAsia="Calibri" w:hAnsi="Calibri"/>
                <w:sz w:val="18"/>
                <w:szCs w:val="18"/>
                <w:color w:val="auto"/>
              </w:rPr>
              <w:t>Earnings per common share, diluted</w:t>
            </w: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840" w:type="dxa"/>
            <w:vAlign w:val="bottom"/>
          </w:tcPr>
          <w:p>
            <w:pPr>
              <w:jc w:val="right"/>
              <w:ind w:right="108"/>
              <w:spacing w:after="0"/>
              <w:rPr>
                <w:sz w:val="20"/>
                <w:szCs w:val="20"/>
                <w:color w:val="auto"/>
              </w:rPr>
            </w:pPr>
            <w:r>
              <w:rPr>
                <w:rFonts w:ascii="Calibri" w:cs="Calibri" w:eastAsia="Calibri" w:hAnsi="Calibri"/>
                <w:sz w:val="18"/>
                <w:szCs w:val="18"/>
                <w:color w:val="auto"/>
              </w:rPr>
              <w:t>4.51</w:t>
            </w:r>
          </w:p>
        </w:tc>
        <w:tc>
          <w:tcPr>
            <w:tcW w:w="18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800" w:type="dxa"/>
            <w:vAlign w:val="bottom"/>
          </w:tcPr>
          <w:p>
            <w:pPr>
              <w:jc w:val="right"/>
              <w:ind w:right="109"/>
              <w:spacing w:after="0"/>
              <w:rPr>
                <w:sz w:val="20"/>
                <w:szCs w:val="20"/>
                <w:color w:val="auto"/>
              </w:rPr>
            </w:pPr>
            <w:r>
              <w:rPr>
                <w:rFonts w:ascii="Calibri" w:cs="Calibri" w:eastAsia="Calibri" w:hAnsi="Calibri"/>
                <w:sz w:val="18"/>
                <w:szCs w:val="18"/>
                <w:color w:val="auto"/>
              </w:rPr>
              <w:t>5.54</w:t>
            </w:r>
          </w:p>
        </w:tc>
        <w:tc>
          <w:tcPr>
            <w:tcW w:w="14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(18.6)%</w:t>
            </w:r>
          </w:p>
        </w:tc>
        <w:tc>
          <w:tcPr>
            <w:tcW w:w="0" w:type="dxa"/>
            <w:vAlign w:val="bottom"/>
          </w:tcPr>
          <w:p>
            <w:pPr>
              <w:spacing w:after="0"/>
              <w:rPr>
                <w:sz w:val="1"/>
                <w:szCs w:val="1"/>
                <w:color w:val="auto"/>
              </w:rPr>
            </w:pPr>
          </w:p>
        </w:tc>
      </w:tr>
      <w:tr>
        <w:trPr>
          <w:trHeight w:val="51"/>
        </w:trPr>
        <w:tc>
          <w:tcPr>
            <w:tcW w:w="4420" w:type="dxa"/>
            <w:vAlign w:val="bottom"/>
            <w:tcBorders>
              <w:lef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20" w:type="dxa"/>
            <w:vAlign w:val="bottom"/>
            <w:tcBorders>
              <w:left w:val="single" w:sz="8" w:color="auto"/>
              <w:bottom w:val="single" w:sz="8" w:color="auto"/>
            </w:tcBorders>
            <w:shd w:val="clear" w:color="auto" w:fill="DBDBDB"/>
          </w:tcPr>
          <w:p>
            <w:pPr>
              <w:ind w:left="40"/>
              <w:spacing w:after="0" w:line="270"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3"/>
                <w:szCs w:val="23"/>
                <w:color w:val="auto"/>
                <w:vertAlign w:val="superscript"/>
              </w:rPr>
              <w:t>(1)</w:t>
            </w:r>
          </w:p>
        </w:tc>
        <w:tc>
          <w:tcPr>
            <w:tcW w:w="20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w:t>
            </w:r>
          </w:p>
        </w:tc>
        <w:tc>
          <w:tcPr>
            <w:tcW w:w="1840" w:type="dxa"/>
            <w:vAlign w:val="bottom"/>
            <w:tcBorders>
              <w:bottom w:val="single" w:sz="8" w:color="auto"/>
            </w:tcBorders>
            <w:shd w:val="clear" w:color="auto" w:fill="DBDBDB"/>
          </w:tcPr>
          <w:p>
            <w:pPr>
              <w:jc w:val="right"/>
              <w:ind w:right="108"/>
              <w:spacing w:after="0"/>
              <w:rPr>
                <w:sz w:val="20"/>
                <w:szCs w:val="20"/>
                <w:color w:val="auto"/>
              </w:rPr>
            </w:pPr>
            <w:r>
              <w:rPr>
                <w:rFonts w:ascii="Calibri" w:cs="Calibri" w:eastAsia="Calibri" w:hAnsi="Calibri"/>
                <w:sz w:val="18"/>
                <w:szCs w:val="18"/>
                <w:color w:val="auto"/>
              </w:rPr>
              <w:t>4.77</w:t>
            </w:r>
          </w:p>
        </w:tc>
        <w:tc>
          <w:tcPr>
            <w:tcW w:w="18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800" w:type="dxa"/>
            <w:vAlign w:val="bottom"/>
            <w:tcBorders>
              <w:bottom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color w:val="auto"/>
              </w:rPr>
              <w:t>5.68</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Calibri" w:cs="Calibri" w:eastAsia="Calibri" w:hAnsi="Calibri"/>
                <w:sz w:val="18"/>
                <w:szCs w:val="18"/>
                <w:color w:val="auto"/>
                <w:w w:val="96"/>
              </w:rPr>
              <w:t>(16.0)%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right="820" w:firstLine="8"/>
        <w:spacing w:after="0" w:line="245" w:lineRule="auto"/>
        <w:tabs>
          <w:tab w:leader="none" w:pos="913"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Adjusted net income and Adjusted earnings per common share, diluted, are non-GAAP measures. See "Non-GAAP Measures" and "Reconciliatons of GAAP to Non-GAAP Financial Measures" below for reconciliatons of non-GAAP fnancial measures to their most directly comparable GAAP fnancial measures.</w:t>
      </w:r>
    </w:p>
    <w:p>
      <w:pPr>
        <w:sectPr>
          <w:pgSz w:w="11900" w:h="16838" w:orient="portrait"/>
          <w:cols w:equalWidth="0" w:num="1">
            <w:col w:w="11240"/>
          </w:cols>
          <w:pgMar w:left="320" w:top="4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41" w:right="339" w:bottom="1440" w:gutter="0" w:footer="0" w:header="0"/>
          <w:type w:val="continuous"/>
        </w:sectPr>
      </w:pPr>
    </w:p>
    <w:bookmarkStart w:id="4" w:name="page5"/>
    <w:bookmarkEnd w:id="4"/>
    <w:tbl>
      <w:tblPr>
        <w:tblLayout w:type="fixed"/>
        <w:tblInd w:w="750" w:type="dxa"/>
        <w:tblCellMar>
          <w:top w:w="0" w:type="dxa"/>
          <w:left w:w="0" w:type="dxa"/>
          <w:bottom w:w="0" w:type="dxa"/>
          <w:right w:w="0" w:type="dxa"/>
        </w:tblCellMar>
      </w:tblPr>
      <w:tr>
        <w:trPr>
          <w:trHeight w:val="251"/>
        </w:trPr>
        <w:tc>
          <w:tcPr>
            <w:tcW w:w="4480" w:type="dxa"/>
            <w:vAlign w:val="bottom"/>
            <w:tcBorders>
              <w:top w:val="single" w:sz="8" w:color="auto"/>
              <w:left w:val="single" w:sz="8" w:color="auto"/>
            </w:tcBorders>
            <w:shd w:val="clear" w:color="auto" w:fill="1928A0"/>
          </w:tcPr>
          <w:p>
            <w:pPr>
              <w:spacing w:after="0"/>
              <w:rPr>
                <w:sz w:val="21"/>
                <w:szCs w:val="21"/>
                <w:color w:val="auto"/>
              </w:rPr>
            </w:pPr>
          </w:p>
        </w:tc>
        <w:tc>
          <w:tcPr>
            <w:tcW w:w="160" w:type="dxa"/>
            <w:vAlign w:val="bottom"/>
            <w:tcBorders>
              <w:top w:val="single" w:sz="8" w:color="auto"/>
            </w:tcBorders>
            <w:shd w:val="clear" w:color="auto" w:fill="1928A0"/>
          </w:tcPr>
          <w:p>
            <w:pPr>
              <w:spacing w:after="0"/>
              <w:rPr>
                <w:sz w:val="21"/>
                <w:szCs w:val="21"/>
                <w:color w:val="auto"/>
              </w:rPr>
            </w:pPr>
          </w:p>
        </w:tc>
        <w:tc>
          <w:tcPr>
            <w:tcW w:w="1920" w:type="dxa"/>
            <w:vAlign w:val="bottom"/>
            <w:tcBorders>
              <w:top w:val="single" w:sz="8" w:color="auto"/>
            </w:tcBorders>
            <w:gridSpan w:val="2"/>
            <w:shd w:val="clear" w:color="auto" w:fill="1928A0"/>
          </w:tcPr>
          <w:p>
            <w:pPr>
              <w:jc w:val="right"/>
              <w:spacing w:after="0"/>
              <w:rPr>
                <w:sz w:val="20"/>
                <w:szCs w:val="20"/>
                <w:color w:val="auto"/>
              </w:rPr>
            </w:pPr>
            <w:r>
              <w:rPr>
                <w:rFonts w:ascii="Calibri" w:cs="Calibri" w:eastAsia="Calibri" w:hAnsi="Calibri"/>
                <w:sz w:val="20"/>
                <w:szCs w:val="20"/>
                <w:b w:val="1"/>
                <w:bCs w:val="1"/>
                <w:color w:val="FFFFFF"/>
              </w:rPr>
              <w:t>As of</w:t>
            </w:r>
          </w:p>
        </w:tc>
        <w:tc>
          <w:tcPr>
            <w:tcW w:w="1860" w:type="dxa"/>
            <w:vAlign w:val="bottom"/>
            <w:tcBorders>
              <w:top w:val="single" w:sz="8" w:color="auto"/>
            </w:tcBorders>
            <w:shd w:val="clear" w:color="auto" w:fill="1928A0"/>
          </w:tcPr>
          <w:p>
            <w:pPr>
              <w:spacing w:after="0"/>
              <w:rPr>
                <w:sz w:val="21"/>
                <w:szCs w:val="21"/>
                <w:color w:val="auto"/>
              </w:rPr>
            </w:pPr>
          </w:p>
        </w:tc>
        <w:tc>
          <w:tcPr>
            <w:tcW w:w="1380" w:type="dxa"/>
            <w:vAlign w:val="bottom"/>
            <w:tcBorders>
              <w:top w:val="single" w:sz="8" w:color="auto"/>
              <w:right w:val="single" w:sz="8" w:color="auto"/>
            </w:tcBorders>
            <w:shd w:val="clear" w:color="auto" w:fill="1928A0"/>
          </w:tcPr>
          <w:p>
            <w:pPr>
              <w:jc w:val="right"/>
              <w:ind w:right="406"/>
              <w:spacing w:after="0"/>
              <w:rPr>
                <w:sz w:val="20"/>
                <w:szCs w:val="20"/>
                <w:color w:val="auto"/>
              </w:rPr>
            </w:pPr>
            <w:r>
              <w:rPr>
                <w:rFonts w:ascii="Calibri" w:cs="Calibri" w:eastAsia="Calibri" w:hAnsi="Calibri"/>
                <w:sz w:val="20"/>
                <w:szCs w:val="20"/>
                <w:b w:val="1"/>
                <w:bCs w:val="1"/>
                <w:color w:val="FFFFFF"/>
              </w:rPr>
              <w:t>Change</w:t>
            </w:r>
          </w:p>
        </w:tc>
      </w:tr>
      <w:tr>
        <w:trPr>
          <w:trHeight w:val="337"/>
        </w:trPr>
        <w:tc>
          <w:tcPr>
            <w:tcW w:w="448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20"/>
                <w:szCs w:val="20"/>
                <w:b w:val="1"/>
                <w:bCs w:val="1"/>
                <w:color w:val="FFFFFF"/>
              </w:rPr>
              <w:t xml:space="preserve">Balance Sheet </w:t>
            </w:r>
            <w:r>
              <w:rPr>
                <w:rFonts w:ascii="Calibri" w:cs="Calibri" w:eastAsia="Calibri" w:hAnsi="Calibri"/>
                <w:sz w:val="14"/>
                <w:szCs w:val="14"/>
                <w:b w:val="1"/>
                <w:bCs w:val="1"/>
                <w:color w:val="FFFFFF"/>
              </w:rPr>
              <w:t>($ in millions)</w:t>
            </w:r>
          </w:p>
        </w:tc>
        <w:tc>
          <w:tcPr>
            <w:tcW w:w="160" w:type="dxa"/>
            <w:vAlign w:val="bottom"/>
            <w:tcBorders>
              <w:bottom w:val="single" w:sz="8" w:color="1928A0"/>
            </w:tcBorders>
            <w:shd w:val="clear" w:color="auto" w:fill="1928A0"/>
          </w:tcPr>
          <w:p>
            <w:pPr>
              <w:spacing w:after="0"/>
              <w:rPr>
                <w:sz w:val="24"/>
                <w:szCs w:val="24"/>
                <w:color w:val="auto"/>
              </w:rPr>
            </w:pPr>
          </w:p>
        </w:tc>
        <w:tc>
          <w:tcPr>
            <w:tcW w:w="1700" w:type="dxa"/>
            <w:vAlign w:val="bottom"/>
            <w:tcBorders>
              <w:bottom w:val="single" w:sz="8" w:color="1928A0"/>
            </w:tcBorders>
            <w:shd w:val="clear" w:color="auto" w:fill="1928A0"/>
          </w:tcPr>
          <w:p>
            <w:pPr>
              <w:jc w:val="right"/>
              <w:ind w:right="106"/>
              <w:spacing w:after="0"/>
              <w:rPr>
                <w:sz w:val="20"/>
                <w:szCs w:val="20"/>
                <w:color w:val="auto"/>
              </w:rPr>
            </w:pPr>
            <w:r>
              <w:rPr>
                <w:rFonts w:ascii="Calibri" w:cs="Calibri" w:eastAsia="Calibri" w:hAnsi="Calibri"/>
                <w:sz w:val="20"/>
                <w:szCs w:val="20"/>
                <w:b w:val="1"/>
                <w:bCs w:val="1"/>
                <w:color w:val="FFFFFF"/>
              </w:rPr>
              <w:t>October 28, 2023</w:t>
            </w:r>
          </w:p>
        </w:tc>
        <w:tc>
          <w:tcPr>
            <w:tcW w:w="220" w:type="dxa"/>
            <w:vAlign w:val="bottom"/>
            <w:tcBorders>
              <w:bottom w:val="single" w:sz="8" w:color="1928A0"/>
            </w:tcBorders>
            <w:shd w:val="clear" w:color="auto" w:fill="1928A0"/>
          </w:tcPr>
          <w:p>
            <w:pPr>
              <w:spacing w:after="0"/>
              <w:rPr>
                <w:sz w:val="24"/>
                <w:szCs w:val="24"/>
                <w:color w:val="auto"/>
              </w:rPr>
            </w:pPr>
          </w:p>
        </w:tc>
        <w:tc>
          <w:tcPr>
            <w:tcW w:w="1860" w:type="dxa"/>
            <w:vAlign w:val="bottom"/>
            <w:tcBorders>
              <w:bottom w:val="single" w:sz="8" w:color="1928A0"/>
            </w:tcBorders>
            <w:shd w:val="clear" w:color="auto" w:fill="1928A0"/>
          </w:tcPr>
          <w:p>
            <w:pPr>
              <w:jc w:val="right"/>
              <w:ind w:right="328"/>
              <w:spacing w:after="0"/>
              <w:rPr>
                <w:sz w:val="20"/>
                <w:szCs w:val="20"/>
                <w:color w:val="auto"/>
              </w:rPr>
            </w:pPr>
            <w:r>
              <w:rPr>
                <w:rFonts w:ascii="Calibri" w:cs="Calibri" w:eastAsia="Calibri" w:hAnsi="Calibri"/>
                <w:sz w:val="20"/>
                <w:szCs w:val="20"/>
                <w:b w:val="1"/>
                <w:bCs w:val="1"/>
                <w:color w:val="FFFFFF"/>
                <w:w w:val="99"/>
              </w:rPr>
              <w:t>October 29, 2022</w:t>
            </w:r>
          </w:p>
        </w:tc>
        <w:tc>
          <w:tcPr>
            <w:tcW w:w="1380" w:type="dxa"/>
            <w:vAlign w:val="bottom"/>
            <w:tcBorders>
              <w:bottom w:val="single" w:sz="8" w:color="1928A0"/>
              <w:right w:val="single" w:sz="8" w:color="auto"/>
            </w:tcBorders>
            <w:shd w:val="clear" w:color="auto" w:fill="1928A0"/>
          </w:tcPr>
          <w:p>
            <w:pPr>
              <w:jc w:val="right"/>
              <w:ind w:right="626"/>
              <w:spacing w:after="0"/>
              <w:rPr>
                <w:sz w:val="20"/>
                <w:szCs w:val="20"/>
                <w:color w:val="auto"/>
              </w:rPr>
            </w:pPr>
            <w:r>
              <w:rPr>
                <w:rFonts w:ascii="Calibri" w:cs="Calibri" w:eastAsia="Calibri" w:hAnsi="Calibri"/>
                <w:sz w:val="20"/>
                <w:szCs w:val="20"/>
                <w:b w:val="1"/>
                <w:bCs w:val="1"/>
                <w:color w:val="FFFFFF"/>
              </w:rPr>
              <w:t>%</w:t>
            </w:r>
          </w:p>
        </w:tc>
      </w:tr>
      <w:tr>
        <w:trPr>
          <w:trHeight w:val="250"/>
        </w:trPr>
        <w:tc>
          <w:tcPr>
            <w:tcW w:w="44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Cash and cash equivalents</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274.8</w:t>
            </w:r>
          </w:p>
        </w:tc>
        <w:tc>
          <w:tcPr>
            <w:tcW w:w="220" w:type="dxa"/>
            <w:vAlign w:val="bottom"/>
            <w:tcBorders>
              <w:bottom w:val="single" w:sz="8" w:color="DBDBDB"/>
            </w:tcBorders>
            <w:shd w:val="clear" w:color="auto" w:fill="DBDBDB"/>
          </w:tcPr>
          <w:p>
            <w:pPr>
              <w:jc w:val="right"/>
              <w:ind w:right="10"/>
              <w:spacing w:after="0"/>
              <w:rPr>
                <w:sz w:val="20"/>
                <w:szCs w:val="20"/>
                <w:color w:val="auto"/>
              </w:rPr>
            </w:pPr>
            <w:r>
              <w:rPr>
                <w:rFonts w:ascii="Calibri" w:cs="Calibri" w:eastAsia="Calibri" w:hAnsi="Calibri"/>
                <w:sz w:val="18"/>
                <w:szCs w:val="18"/>
                <w:color w:val="auto"/>
              </w:rPr>
              <w:t>$</w:t>
            </w:r>
          </w:p>
        </w:tc>
        <w:tc>
          <w:tcPr>
            <w:tcW w:w="1860" w:type="dxa"/>
            <w:vAlign w:val="bottom"/>
            <w:tcBorders>
              <w:bottom w:val="single" w:sz="8" w:color="DBDBDB"/>
            </w:tcBorders>
            <w:shd w:val="clear" w:color="auto" w:fill="DBDBDB"/>
          </w:tcPr>
          <w:p>
            <w:pPr>
              <w:jc w:val="right"/>
              <w:ind w:right="168"/>
              <w:spacing w:after="0"/>
              <w:rPr>
                <w:sz w:val="20"/>
                <w:szCs w:val="20"/>
                <w:color w:val="auto"/>
              </w:rPr>
            </w:pPr>
            <w:r>
              <w:rPr>
                <w:rFonts w:ascii="Calibri" w:cs="Calibri" w:eastAsia="Calibri" w:hAnsi="Calibri"/>
                <w:sz w:val="18"/>
                <w:szCs w:val="18"/>
                <w:color w:val="auto"/>
              </w:rPr>
              <w:t>318.2</w:t>
            </w:r>
          </w:p>
        </w:tc>
        <w:tc>
          <w:tcPr>
            <w:tcW w:w="13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(13.6)%</w:t>
            </w:r>
          </w:p>
        </w:tc>
      </w:tr>
      <w:tr>
        <w:trPr>
          <w:trHeight w:val="219"/>
        </w:trPr>
        <w:tc>
          <w:tcPr>
            <w:tcW w:w="4480" w:type="dxa"/>
            <w:vAlign w:val="bottom"/>
            <w:tcBorders>
              <w:left w:val="single" w:sz="8" w:color="auto"/>
            </w:tcBorders>
          </w:tcPr>
          <w:p>
            <w:pPr>
              <w:ind w:left="20"/>
              <w:spacing w:after="0"/>
              <w:rPr>
                <w:sz w:val="20"/>
                <w:szCs w:val="20"/>
                <w:color w:val="auto"/>
              </w:rPr>
            </w:pPr>
            <w:r>
              <w:rPr>
                <w:rFonts w:ascii="Calibri" w:cs="Calibri" w:eastAsia="Calibri" w:hAnsi="Calibri"/>
                <w:sz w:val="18"/>
                <w:szCs w:val="18"/>
                <w:color w:val="auto"/>
              </w:rPr>
              <w:t>Merchandise inventories, net</w:t>
            </w:r>
          </w:p>
        </w:tc>
        <w:tc>
          <w:tcPr>
            <w:tcW w:w="16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700" w:type="dxa"/>
            <w:vAlign w:val="bottom"/>
          </w:tcPr>
          <w:p>
            <w:pPr>
              <w:jc w:val="right"/>
              <w:spacing w:after="0"/>
              <w:rPr>
                <w:sz w:val="20"/>
                <w:szCs w:val="20"/>
                <w:color w:val="auto"/>
              </w:rPr>
            </w:pPr>
            <w:r>
              <w:rPr>
                <w:rFonts w:ascii="Calibri" w:cs="Calibri" w:eastAsia="Calibri" w:hAnsi="Calibri"/>
                <w:sz w:val="18"/>
                <w:szCs w:val="18"/>
                <w:color w:val="auto"/>
              </w:rPr>
              <w:t>1,492.2</w:t>
            </w:r>
          </w:p>
        </w:tc>
        <w:tc>
          <w:tcPr>
            <w:tcW w:w="22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1860" w:type="dxa"/>
            <w:vAlign w:val="bottom"/>
          </w:tcPr>
          <w:p>
            <w:pPr>
              <w:jc w:val="right"/>
              <w:ind w:right="168"/>
              <w:spacing w:after="0"/>
              <w:rPr>
                <w:sz w:val="20"/>
                <w:szCs w:val="20"/>
                <w:color w:val="auto"/>
              </w:rPr>
            </w:pPr>
            <w:r>
              <w:rPr>
                <w:rFonts w:ascii="Calibri" w:cs="Calibri" w:eastAsia="Calibri" w:hAnsi="Calibri"/>
                <w:sz w:val="18"/>
                <w:szCs w:val="18"/>
                <w:color w:val="auto"/>
              </w:rPr>
              <w:t>1,495.5</w:t>
            </w:r>
          </w:p>
        </w:tc>
        <w:tc>
          <w:tcPr>
            <w:tcW w:w="138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(0.2)%</w:t>
            </w:r>
          </w:p>
        </w:tc>
      </w:tr>
      <w:tr>
        <w:trPr>
          <w:trHeight w:val="50"/>
        </w:trPr>
        <w:tc>
          <w:tcPr>
            <w:tcW w:w="448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r>
      <w:tr>
        <w:trPr>
          <w:trHeight w:val="250"/>
        </w:trPr>
        <w:tc>
          <w:tcPr>
            <w:tcW w:w="44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Long-term debt, net</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583.4</w:t>
            </w:r>
          </w:p>
        </w:tc>
        <w:tc>
          <w:tcPr>
            <w:tcW w:w="220" w:type="dxa"/>
            <w:vAlign w:val="bottom"/>
            <w:tcBorders>
              <w:bottom w:val="single" w:sz="8" w:color="DBDBDB"/>
            </w:tcBorders>
            <w:shd w:val="clear" w:color="auto" w:fill="DBDBDB"/>
          </w:tcPr>
          <w:p>
            <w:pPr>
              <w:jc w:val="right"/>
              <w:ind w:right="10"/>
              <w:spacing w:after="0"/>
              <w:rPr>
                <w:sz w:val="20"/>
                <w:szCs w:val="20"/>
                <w:color w:val="auto"/>
              </w:rPr>
            </w:pPr>
            <w:r>
              <w:rPr>
                <w:rFonts w:ascii="Calibri" w:cs="Calibri" w:eastAsia="Calibri" w:hAnsi="Calibri"/>
                <w:sz w:val="18"/>
                <w:szCs w:val="18"/>
                <w:color w:val="auto"/>
              </w:rPr>
              <w:t>$</w:t>
            </w:r>
          </w:p>
        </w:tc>
        <w:tc>
          <w:tcPr>
            <w:tcW w:w="1860" w:type="dxa"/>
            <w:vAlign w:val="bottom"/>
            <w:tcBorders>
              <w:bottom w:val="single" w:sz="8" w:color="DBDBDB"/>
            </w:tcBorders>
            <w:shd w:val="clear" w:color="auto" w:fill="DBDBDB"/>
          </w:tcPr>
          <w:p>
            <w:pPr>
              <w:jc w:val="right"/>
              <w:ind w:right="168"/>
              <w:spacing w:after="0"/>
              <w:rPr>
                <w:sz w:val="20"/>
                <w:szCs w:val="20"/>
                <w:color w:val="auto"/>
              </w:rPr>
            </w:pPr>
            <w:r>
              <w:rPr>
                <w:rFonts w:ascii="Calibri" w:cs="Calibri" w:eastAsia="Calibri" w:hAnsi="Calibri"/>
                <w:sz w:val="18"/>
                <w:szCs w:val="18"/>
                <w:color w:val="auto"/>
              </w:rPr>
              <w:t>682.8</w:t>
            </w:r>
          </w:p>
        </w:tc>
        <w:tc>
          <w:tcPr>
            <w:tcW w:w="13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(14.6)%</w:t>
            </w:r>
          </w:p>
        </w:tc>
      </w:tr>
      <w:tr>
        <w:trPr>
          <w:trHeight w:val="20"/>
        </w:trPr>
        <w:tc>
          <w:tcPr>
            <w:tcW w:w="44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3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311785</wp:posOffset>
            </wp:positionV>
            <wp:extent cx="8255" cy="38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386080"/>
                    </a:xfrm>
                    <a:prstGeom prst="rect">
                      <a:avLst/>
                    </a:prstGeom>
                    <a:noFill/>
                  </pic:spPr>
                </pic:pic>
              </a:graphicData>
            </a:graphic>
          </wp:anchor>
        </w:drawing>
        <w:drawing>
          <wp:anchor simplePos="0" relativeHeight="251657728" behindDoc="1" locked="0" layoutInCell="0" allowOverlap="1">
            <wp:simplePos x="0" y="0"/>
            <wp:positionH relativeFrom="page">
              <wp:posOffset>3517265</wp:posOffset>
            </wp:positionH>
            <wp:positionV relativeFrom="page">
              <wp:posOffset>311785</wp:posOffset>
            </wp:positionV>
            <wp:extent cx="825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tbl>
      <w:tblPr>
        <w:tblLayout w:type="fixed"/>
        <w:tblInd w:w="750" w:type="dxa"/>
        <w:tblCellMar>
          <w:top w:w="0" w:type="dxa"/>
          <w:left w:w="0" w:type="dxa"/>
          <w:bottom w:w="0" w:type="dxa"/>
          <w:right w:w="0" w:type="dxa"/>
        </w:tblCellMar>
      </w:tblPr>
      <w:tr>
        <w:trPr>
          <w:trHeight w:val="251"/>
        </w:trPr>
        <w:tc>
          <w:tcPr>
            <w:tcW w:w="4480" w:type="dxa"/>
            <w:vAlign w:val="bottom"/>
            <w:tcBorders>
              <w:top w:val="single" w:sz="8" w:color="auto"/>
              <w:left w:val="single" w:sz="8" w:color="auto"/>
            </w:tcBorders>
            <w:shd w:val="clear" w:color="auto" w:fill="1928A0"/>
          </w:tcPr>
          <w:p>
            <w:pPr>
              <w:spacing w:after="0"/>
              <w:rPr>
                <w:sz w:val="21"/>
                <w:szCs w:val="21"/>
                <w:color w:val="auto"/>
              </w:rPr>
            </w:pPr>
          </w:p>
        </w:tc>
        <w:tc>
          <w:tcPr>
            <w:tcW w:w="160" w:type="dxa"/>
            <w:vAlign w:val="bottom"/>
            <w:tcBorders>
              <w:top w:val="single" w:sz="8" w:color="auto"/>
            </w:tcBorders>
            <w:shd w:val="clear" w:color="auto" w:fill="1928A0"/>
          </w:tcPr>
          <w:p>
            <w:pPr>
              <w:spacing w:after="0"/>
              <w:rPr>
                <w:sz w:val="21"/>
                <w:szCs w:val="21"/>
                <w:color w:val="auto"/>
              </w:rPr>
            </w:pPr>
          </w:p>
        </w:tc>
        <w:tc>
          <w:tcPr>
            <w:tcW w:w="3780" w:type="dxa"/>
            <w:vAlign w:val="bottom"/>
            <w:tcBorders>
              <w:top w:val="single" w:sz="8" w:color="auto"/>
            </w:tcBorders>
            <w:gridSpan w:val="3"/>
            <w:shd w:val="clear" w:color="auto" w:fill="1928A0"/>
          </w:tcPr>
          <w:p>
            <w:pPr>
              <w:jc w:val="right"/>
              <w:ind w:right="907"/>
              <w:spacing w:after="0"/>
              <w:rPr>
                <w:sz w:val="20"/>
                <w:szCs w:val="20"/>
                <w:color w:val="auto"/>
              </w:rPr>
            </w:pPr>
            <w:r>
              <w:rPr>
                <w:rFonts w:ascii="Calibri" w:cs="Calibri" w:eastAsia="Calibri" w:hAnsi="Calibri"/>
                <w:sz w:val="20"/>
                <w:szCs w:val="20"/>
                <w:b w:val="1"/>
                <w:bCs w:val="1"/>
                <w:color w:val="FFFFFF"/>
              </w:rPr>
              <w:t>Thirty-Nine Weeks Ended</w:t>
            </w:r>
          </w:p>
        </w:tc>
        <w:tc>
          <w:tcPr>
            <w:tcW w:w="1380" w:type="dxa"/>
            <w:vAlign w:val="bottom"/>
            <w:tcBorders>
              <w:top w:val="single" w:sz="8" w:color="auto"/>
              <w:right w:val="single" w:sz="8" w:color="auto"/>
            </w:tcBorders>
            <w:shd w:val="clear" w:color="auto" w:fill="1928A0"/>
          </w:tcPr>
          <w:p>
            <w:pPr>
              <w:jc w:val="right"/>
              <w:ind w:right="406"/>
              <w:spacing w:after="0"/>
              <w:rPr>
                <w:sz w:val="20"/>
                <w:szCs w:val="20"/>
                <w:color w:val="auto"/>
              </w:rPr>
            </w:pPr>
            <w:r>
              <w:rPr>
                <w:rFonts w:ascii="Calibri" w:cs="Calibri" w:eastAsia="Calibri" w:hAnsi="Calibri"/>
                <w:sz w:val="20"/>
                <w:szCs w:val="20"/>
                <w:b w:val="1"/>
                <w:bCs w:val="1"/>
                <w:color w:val="FFFFFF"/>
              </w:rPr>
              <w:t>Change</w:t>
            </w:r>
          </w:p>
        </w:tc>
      </w:tr>
      <w:tr>
        <w:trPr>
          <w:trHeight w:val="337"/>
        </w:trPr>
        <w:tc>
          <w:tcPr>
            <w:tcW w:w="448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20"/>
                <w:szCs w:val="20"/>
                <w:b w:val="1"/>
                <w:bCs w:val="1"/>
                <w:color w:val="FFFFFF"/>
              </w:rPr>
              <w:t xml:space="preserve">Capital Allocaton </w:t>
            </w:r>
            <w:r>
              <w:rPr>
                <w:rFonts w:ascii="Calibri" w:cs="Calibri" w:eastAsia="Calibri" w:hAnsi="Calibri"/>
                <w:sz w:val="14"/>
                <w:szCs w:val="14"/>
                <w:b w:val="1"/>
                <w:bCs w:val="1"/>
                <w:color w:val="FFFFFF"/>
              </w:rPr>
              <w:t>($ in millions)</w:t>
            </w:r>
          </w:p>
        </w:tc>
        <w:tc>
          <w:tcPr>
            <w:tcW w:w="160" w:type="dxa"/>
            <w:vAlign w:val="bottom"/>
            <w:tcBorders>
              <w:bottom w:val="single" w:sz="8" w:color="1928A0"/>
            </w:tcBorders>
            <w:shd w:val="clear" w:color="auto" w:fill="1928A0"/>
          </w:tcPr>
          <w:p>
            <w:pPr>
              <w:spacing w:after="0"/>
              <w:rPr>
                <w:sz w:val="24"/>
                <w:szCs w:val="24"/>
                <w:color w:val="auto"/>
              </w:rPr>
            </w:pPr>
          </w:p>
        </w:tc>
        <w:tc>
          <w:tcPr>
            <w:tcW w:w="1700" w:type="dxa"/>
            <w:vAlign w:val="bottom"/>
            <w:tcBorders>
              <w:bottom w:val="single" w:sz="8" w:color="1928A0"/>
            </w:tcBorders>
            <w:shd w:val="clear" w:color="auto" w:fill="1928A0"/>
          </w:tcPr>
          <w:p>
            <w:pPr>
              <w:jc w:val="right"/>
              <w:ind w:right="106"/>
              <w:spacing w:after="0"/>
              <w:rPr>
                <w:sz w:val="20"/>
                <w:szCs w:val="20"/>
                <w:color w:val="auto"/>
              </w:rPr>
            </w:pPr>
            <w:r>
              <w:rPr>
                <w:rFonts w:ascii="Calibri" w:cs="Calibri" w:eastAsia="Calibri" w:hAnsi="Calibri"/>
                <w:sz w:val="20"/>
                <w:szCs w:val="20"/>
                <w:b w:val="1"/>
                <w:bCs w:val="1"/>
                <w:color w:val="FFFFFF"/>
              </w:rPr>
              <w:t>October 28, 2023</w:t>
            </w:r>
          </w:p>
        </w:tc>
        <w:tc>
          <w:tcPr>
            <w:tcW w:w="180" w:type="dxa"/>
            <w:vAlign w:val="bottom"/>
            <w:tcBorders>
              <w:bottom w:val="single" w:sz="8" w:color="1928A0"/>
            </w:tcBorders>
            <w:shd w:val="clear" w:color="auto" w:fill="1928A0"/>
          </w:tcPr>
          <w:p>
            <w:pPr>
              <w:spacing w:after="0"/>
              <w:rPr>
                <w:sz w:val="24"/>
                <w:szCs w:val="24"/>
                <w:color w:val="auto"/>
              </w:rPr>
            </w:pPr>
          </w:p>
        </w:tc>
        <w:tc>
          <w:tcPr>
            <w:tcW w:w="1900" w:type="dxa"/>
            <w:vAlign w:val="bottom"/>
            <w:tcBorders>
              <w:bottom w:val="single" w:sz="8" w:color="1928A0"/>
            </w:tcBorders>
            <w:shd w:val="clear" w:color="auto" w:fill="1928A0"/>
          </w:tcPr>
          <w:p>
            <w:pPr>
              <w:jc w:val="right"/>
              <w:ind w:right="327"/>
              <w:spacing w:after="0"/>
              <w:rPr>
                <w:sz w:val="20"/>
                <w:szCs w:val="20"/>
                <w:color w:val="auto"/>
              </w:rPr>
            </w:pPr>
            <w:r>
              <w:rPr>
                <w:rFonts w:ascii="Calibri" w:cs="Calibri" w:eastAsia="Calibri" w:hAnsi="Calibri"/>
                <w:sz w:val="20"/>
                <w:szCs w:val="20"/>
                <w:b w:val="1"/>
                <w:bCs w:val="1"/>
                <w:color w:val="FFFFFF"/>
              </w:rPr>
              <w:t>October 29, 2022</w:t>
            </w:r>
          </w:p>
        </w:tc>
        <w:tc>
          <w:tcPr>
            <w:tcW w:w="1380" w:type="dxa"/>
            <w:vAlign w:val="bottom"/>
            <w:tcBorders>
              <w:bottom w:val="single" w:sz="8" w:color="1928A0"/>
              <w:right w:val="single" w:sz="8" w:color="auto"/>
            </w:tcBorders>
            <w:shd w:val="clear" w:color="auto" w:fill="1928A0"/>
          </w:tcPr>
          <w:p>
            <w:pPr>
              <w:jc w:val="right"/>
              <w:ind w:right="626"/>
              <w:spacing w:after="0"/>
              <w:rPr>
                <w:sz w:val="20"/>
                <w:szCs w:val="20"/>
                <w:color w:val="auto"/>
              </w:rPr>
            </w:pPr>
            <w:r>
              <w:rPr>
                <w:rFonts w:ascii="Calibri" w:cs="Calibri" w:eastAsia="Calibri" w:hAnsi="Calibri"/>
                <w:sz w:val="20"/>
                <w:szCs w:val="20"/>
                <w:b w:val="1"/>
                <w:bCs w:val="1"/>
                <w:color w:val="FFFFFF"/>
              </w:rPr>
              <w:t>%</w:t>
            </w:r>
          </w:p>
        </w:tc>
      </w:tr>
      <w:tr>
        <w:trPr>
          <w:trHeight w:val="250"/>
        </w:trPr>
        <w:tc>
          <w:tcPr>
            <w:tcW w:w="448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Share repurchases</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w w:val="87"/>
              </w:rPr>
              <w:t>$</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201.5</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w:t>
            </w:r>
          </w:p>
        </w:tc>
        <w:tc>
          <w:tcPr>
            <w:tcW w:w="1900" w:type="dxa"/>
            <w:vAlign w:val="bottom"/>
            <w:tcBorders>
              <w:bottom w:val="single" w:sz="8" w:color="DBDBDB"/>
            </w:tcBorders>
            <w:shd w:val="clear" w:color="auto" w:fill="DBDBDB"/>
          </w:tcPr>
          <w:p>
            <w:pPr>
              <w:jc w:val="right"/>
              <w:ind w:right="167"/>
              <w:spacing w:after="0"/>
              <w:rPr>
                <w:sz w:val="20"/>
                <w:szCs w:val="20"/>
                <w:color w:val="auto"/>
              </w:rPr>
            </w:pPr>
            <w:r>
              <w:rPr>
                <w:rFonts w:ascii="Calibri" w:cs="Calibri" w:eastAsia="Calibri" w:hAnsi="Calibri"/>
                <w:sz w:val="18"/>
                <w:szCs w:val="18"/>
                <w:color w:val="auto"/>
              </w:rPr>
              <w:t>389.4</w:t>
            </w:r>
          </w:p>
        </w:tc>
        <w:tc>
          <w:tcPr>
            <w:tcW w:w="13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(48.3)%</w:t>
            </w:r>
          </w:p>
        </w:tc>
      </w:tr>
      <w:tr>
        <w:trPr>
          <w:trHeight w:val="220"/>
        </w:trPr>
        <w:tc>
          <w:tcPr>
            <w:tcW w:w="4480" w:type="dxa"/>
            <w:vAlign w:val="bottom"/>
            <w:tcBorders>
              <w:left w:val="single" w:sz="8" w:color="auto"/>
            </w:tcBorders>
          </w:tcPr>
          <w:p>
            <w:pPr>
              <w:ind w:left="20"/>
              <w:spacing w:after="0"/>
              <w:rPr>
                <w:sz w:val="20"/>
                <w:szCs w:val="20"/>
                <w:color w:val="auto"/>
              </w:rPr>
            </w:pPr>
            <w:r>
              <w:rPr>
                <w:rFonts w:ascii="Calibri" w:cs="Calibri" w:eastAsia="Calibri" w:hAnsi="Calibri"/>
                <w:sz w:val="18"/>
                <w:szCs w:val="18"/>
                <w:color w:val="auto"/>
              </w:rPr>
              <w:t>Dividends paid</w:t>
            </w:r>
          </w:p>
        </w:tc>
        <w:tc>
          <w:tcPr>
            <w:tcW w:w="16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700" w:type="dxa"/>
            <w:vAlign w:val="bottom"/>
          </w:tcPr>
          <w:p>
            <w:pPr>
              <w:jc w:val="right"/>
              <w:spacing w:after="0"/>
              <w:rPr>
                <w:sz w:val="20"/>
                <w:szCs w:val="20"/>
                <w:color w:val="auto"/>
              </w:rPr>
            </w:pPr>
            <w:r>
              <w:rPr>
                <w:rFonts w:ascii="Calibri" w:cs="Calibri" w:eastAsia="Calibri" w:hAnsi="Calibri"/>
                <w:sz w:val="18"/>
                <w:szCs w:val="18"/>
                <w:color w:val="auto"/>
              </w:rPr>
              <w:t>20.5</w:t>
            </w: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900" w:type="dxa"/>
            <w:vAlign w:val="bottom"/>
          </w:tcPr>
          <w:p>
            <w:pPr>
              <w:jc w:val="right"/>
              <w:ind w:right="167"/>
              <w:spacing w:after="0"/>
              <w:rPr>
                <w:sz w:val="20"/>
                <w:szCs w:val="20"/>
                <w:color w:val="auto"/>
              </w:rPr>
            </w:pPr>
            <w:r>
              <w:rPr>
                <w:rFonts w:ascii="Calibri" w:cs="Calibri" w:eastAsia="Calibri" w:hAnsi="Calibri"/>
                <w:sz w:val="18"/>
                <w:szCs w:val="18"/>
                <w:color w:val="auto"/>
              </w:rPr>
              <w:t>18.8</w:t>
            </w:r>
          </w:p>
        </w:tc>
        <w:tc>
          <w:tcPr>
            <w:tcW w:w="138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9.0 %</w:t>
            </w:r>
          </w:p>
        </w:tc>
      </w:tr>
      <w:tr>
        <w:trPr>
          <w:trHeight w:val="50"/>
        </w:trPr>
        <w:tc>
          <w:tcPr>
            <w:tcW w:w="448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-736600</wp:posOffset>
            </wp:positionV>
            <wp:extent cx="825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38608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-736600</wp:posOffset>
            </wp:positionV>
            <wp:extent cx="8255"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386080"/>
                    </a:xfrm>
                    <a:prstGeom prst="rect">
                      <a:avLst/>
                    </a:prstGeom>
                    <a:noFill/>
                  </pic:spPr>
                </pic:pic>
              </a:graphicData>
            </a:graphic>
          </wp:anchor>
        </w:drawing>
      </w:r>
    </w:p>
    <w:p>
      <w:pPr>
        <w:spacing w:after="0" w:line="2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Subsequent to the end of the third quarter, on November 29, 2023, Academy's Board of Directors declared a quarterly cash dividend of $0.09 per share of common stock. The dividend is payable on January 10, 2024, to stockholders of record as of the close of business on December 13, 2023. The Board also approved a new, three-year, $ 600 million share repurchase program, bringing the total amount currently available under both share repurchase programs to approximately $700 million.</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Carl Ford, Chief Financial Officer, said, "In this challenging macro -economic environment, Academy remains focused on expense control and inventory management in order to maintain healthy margins and optimize cash flow. This strategy enables us to maintain a strong balance sheet as well as self-fund our strategic initiatives. We are also focused on creating shareholder value, demonstrated by the $44 million of share buybacks and $7 million of dividends paid to shareholders during the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Academy opened five new stores during the third quarter and seven new stores in November, completing its annual openings for 2023. The Company opened a total of 14 stores in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Outlook</w:t>
      </w:r>
    </w:p>
    <w:p>
      <w:pPr>
        <w:spacing w:after="0"/>
        <w:rPr>
          <w:sz w:val="20"/>
          <w:szCs w:val="20"/>
          <w:color w:val="auto"/>
        </w:rPr>
      </w:pPr>
      <w:r>
        <w:rPr>
          <w:rFonts w:ascii="Arial" w:cs="Arial" w:eastAsia="Arial" w:hAnsi="Arial"/>
          <w:sz w:val="18"/>
          <w:szCs w:val="18"/>
          <w:color w:val="auto"/>
        </w:rPr>
        <w:t>Based on year-to-date results and current business trends, Academy is narrowing its guidance for fiscal 2023 as follows:</w:t>
      </w:r>
    </w:p>
    <w:p>
      <w:pPr>
        <w:spacing w:after="0" w:line="17" w:lineRule="exact"/>
        <w:rPr>
          <w:sz w:val="20"/>
          <w:szCs w:val="20"/>
          <w:color w:val="auto"/>
        </w:rPr>
      </w:pPr>
    </w:p>
    <w:tbl>
      <w:tblPr>
        <w:tblLayout w:type="fixed"/>
        <w:tblInd w:w="350" w:type="dxa"/>
        <w:tblCellMar>
          <w:top w:w="0" w:type="dxa"/>
          <w:left w:w="0" w:type="dxa"/>
          <w:bottom w:w="0" w:type="dxa"/>
          <w:right w:w="0" w:type="dxa"/>
        </w:tblCellMar>
      </w:tblPr>
      <w:tr>
        <w:trPr>
          <w:trHeight w:val="250"/>
        </w:trPr>
        <w:tc>
          <w:tcPr>
            <w:tcW w:w="4060" w:type="dxa"/>
            <w:vAlign w:val="bottom"/>
            <w:tcBorders>
              <w:top w:val="single" w:sz="8" w:color="auto"/>
              <w:left w:val="single" w:sz="8" w:color="auto"/>
            </w:tcBorders>
            <w:shd w:val="clear" w:color="auto" w:fill="1928A0"/>
          </w:tcPr>
          <w:p>
            <w:pPr>
              <w:spacing w:after="0"/>
              <w:rPr>
                <w:sz w:val="21"/>
                <w:szCs w:val="21"/>
                <w:color w:val="auto"/>
              </w:rPr>
            </w:pPr>
          </w:p>
        </w:tc>
        <w:tc>
          <w:tcPr>
            <w:tcW w:w="240" w:type="dxa"/>
            <w:vAlign w:val="bottom"/>
            <w:tcBorders>
              <w:top w:val="single" w:sz="8" w:color="auto"/>
            </w:tcBorders>
            <w:shd w:val="clear" w:color="auto" w:fill="1928A0"/>
          </w:tcPr>
          <w:p>
            <w:pPr>
              <w:spacing w:after="0"/>
              <w:rPr>
                <w:sz w:val="21"/>
                <w:szCs w:val="21"/>
                <w:color w:val="auto"/>
              </w:rPr>
            </w:pPr>
          </w:p>
        </w:tc>
        <w:tc>
          <w:tcPr>
            <w:tcW w:w="3020" w:type="dxa"/>
            <w:vAlign w:val="bottom"/>
            <w:tcBorders>
              <w:top w:val="single" w:sz="8" w:color="auto"/>
            </w:tcBorders>
            <w:gridSpan w:val="3"/>
            <w:shd w:val="clear" w:color="auto" w:fill="1928A0"/>
          </w:tcPr>
          <w:p>
            <w:pPr>
              <w:jc w:val="right"/>
              <w:ind w:right="909"/>
              <w:spacing w:after="0"/>
              <w:rPr>
                <w:sz w:val="20"/>
                <w:szCs w:val="20"/>
                <w:color w:val="auto"/>
              </w:rPr>
            </w:pPr>
            <w:r>
              <w:rPr>
                <w:rFonts w:ascii="Calibri" w:cs="Calibri" w:eastAsia="Calibri" w:hAnsi="Calibri"/>
                <w:sz w:val="20"/>
                <w:szCs w:val="20"/>
                <w:b w:val="1"/>
                <w:bCs w:val="1"/>
                <w:color w:val="FFFFFF"/>
              </w:rPr>
              <w:t>Previous Guidance</w:t>
            </w:r>
          </w:p>
        </w:tc>
        <w:tc>
          <w:tcPr>
            <w:tcW w:w="540" w:type="dxa"/>
            <w:vAlign w:val="bottom"/>
            <w:tcBorders>
              <w:top w:val="single" w:sz="8" w:color="auto"/>
            </w:tcBorders>
            <w:shd w:val="clear" w:color="auto" w:fill="1928A0"/>
          </w:tcPr>
          <w:p>
            <w:pPr>
              <w:spacing w:after="0"/>
              <w:rPr>
                <w:sz w:val="21"/>
                <w:szCs w:val="21"/>
                <w:color w:val="auto"/>
              </w:rPr>
            </w:pPr>
          </w:p>
        </w:tc>
        <w:tc>
          <w:tcPr>
            <w:tcW w:w="2740" w:type="dxa"/>
            <w:vAlign w:val="bottom"/>
            <w:tcBorders>
              <w:top w:val="single" w:sz="8" w:color="auto"/>
              <w:right w:val="single" w:sz="8" w:color="auto"/>
            </w:tcBorders>
            <w:gridSpan w:val="3"/>
            <w:shd w:val="clear" w:color="auto" w:fill="1928A0"/>
          </w:tcPr>
          <w:p>
            <w:pPr>
              <w:jc w:val="right"/>
              <w:ind w:right="629"/>
              <w:spacing w:after="0"/>
              <w:rPr>
                <w:sz w:val="20"/>
                <w:szCs w:val="20"/>
                <w:color w:val="auto"/>
              </w:rPr>
            </w:pPr>
            <w:r>
              <w:rPr>
                <w:rFonts w:ascii="Calibri" w:cs="Calibri" w:eastAsia="Calibri" w:hAnsi="Calibri"/>
                <w:sz w:val="20"/>
                <w:szCs w:val="20"/>
                <w:b w:val="1"/>
                <w:bCs w:val="1"/>
                <w:color w:val="FFFFFF"/>
              </w:rPr>
              <w:t>Updated Guidance</w:t>
            </w:r>
          </w:p>
        </w:tc>
      </w:tr>
      <w:tr>
        <w:trPr>
          <w:trHeight w:val="337"/>
        </w:trPr>
        <w:tc>
          <w:tcPr>
            <w:tcW w:w="406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3"/>
                <w:szCs w:val="13"/>
                <w:b w:val="1"/>
                <w:bCs w:val="1"/>
                <w:color w:val="FFFFFF"/>
              </w:rPr>
              <w:t>(in millions, except per share data)</w:t>
            </w:r>
          </w:p>
        </w:tc>
        <w:tc>
          <w:tcPr>
            <w:tcW w:w="240" w:type="dxa"/>
            <w:vAlign w:val="bottom"/>
            <w:tcBorders>
              <w:bottom w:val="single" w:sz="8" w:color="1928A0"/>
            </w:tcBorders>
            <w:shd w:val="clear" w:color="auto" w:fill="1928A0"/>
          </w:tcPr>
          <w:p>
            <w:pPr>
              <w:spacing w:after="0"/>
              <w:rPr>
                <w:sz w:val="24"/>
                <w:szCs w:val="24"/>
                <w:color w:val="auto"/>
              </w:rPr>
            </w:pPr>
          </w:p>
        </w:tc>
        <w:tc>
          <w:tcPr>
            <w:tcW w:w="1220" w:type="dxa"/>
            <w:vAlign w:val="bottom"/>
            <w:tcBorders>
              <w:bottom w:val="single" w:sz="8" w:color="1928A0"/>
            </w:tcBorders>
            <w:shd w:val="clear" w:color="auto" w:fill="1928A0"/>
          </w:tcPr>
          <w:p>
            <w:pPr>
              <w:jc w:val="right"/>
              <w:ind w:right="289"/>
              <w:spacing w:after="0"/>
              <w:rPr>
                <w:sz w:val="20"/>
                <w:szCs w:val="20"/>
                <w:color w:val="auto"/>
              </w:rPr>
            </w:pPr>
            <w:r>
              <w:rPr>
                <w:rFonts w:ascii="Calibri" w:cs="Calibri" w:eastAsia="Calibri" w:hAnsi="Calibri"/>
                <w:sz w:val="20"/>
                <w:szCs w:val="20"/>
                <w:b w:val="1"/>
                <w:bCs w:val="1"/>
                <w:color w:val="FFFFFF"/>
              </w:rPr>
              <w:t>Low end</w:t>
            </w:r>
          </w:p>
        </w:tc>
        <w:tc>
          <w:tcPr>
            <w:tcW w:w="240" w:type="dxa"/>
            <w:vAlign w:val="bottom"/>
            <w:tcBorders>
              <w:bottom w:val="single" w:sz="8" w:color="1928A0"/>
            </w:tcBorders>
            <w:shd w:val="clear" w:color="auto" w:fill="1928A0"/>
          </w:tcPr>
          <w:p>
            <w:pPr>
              <w:spacing w:after="0"/>
              <w:rPr>
                <w:sz w:val="24"/>
                <w:szCs w:val="24"/>
                <w:color w:val="auto"/>
              </w:rPr>
            </w:pPr>
          </w:p>
        </w:tc>
        <w:tc>
          <w:tcPr>
            <w:tcW w:w="1560" w:type="dxa"/>
            <w:vAlign w:val="bottom"/>
            <w:tcBorders>
              <w:bottom w:val="single" w:sz="8" w:color="1928A0"/>
            </w:tcBorders>
            <w:shd w:val="clear" w:color="auto" w:fill="1928A0"/>
          </w:tcPr>
          <w:p>
            <w:pPr>
              <w:jc w:val="right"/>
              <w:ind w:right="589"/>
              <w:spacing w:after="0"/>
              <w:rPr>
                <w:sz w:val="20"/>
                <w:szCs w:val="20"/>
                <w:color w:val="auto"/>
              </w:rPr>
            </w:pPr>
            <w:r>
              <w:rPr>
                <w:rFonts w:ascii="Calibri" w:cs="Calibri" w:eastAsia="Calibri" w:hAnsi="Calibri"/>
                <w:sz w:val="20"/>
                <w:szCs w:val="20"/>
                <w:b w:val="1"/>
                <w:bCs w:val="1"/>
                <w:color w:val="FFFFFF"/>
              </w:rPr>
              <w:t>High end</w:t>
            </w:r>
          </w:p>
        </w:tc>
        <w:tc>
          <w:tcPr>
            <w:tcW w:w="540" w:type="dxa"/>
            <w:vAlign w:val="bottom"/>
            <w:tcBorders>
              <w:bottom w:val="single" w:sz="8" w:color="1928A0"/>
            </w:tcBorders>
            <w:shd w:val="clear" w:color="auto" w:fill="1928A0"/>
          </w:tcPr>
          <w:p>
            <w:pPr>
              <w:spacing w:after="0"/>
              <w:rPr>
                <w:sz w:val="24"/>
                <w:szCs w:val="24"/>
                <w:color w:val="auto"/>
              </w:rPr>
            </w:pPr>
          </w:p>
        </w:tc>
        <w:tc>
          <w:tcPr>
            <w:tcW w:w="1260" w:type="dxa"/>
            <w:vAlign w:val="bottom"/>
            <w:tcBorders>
              <w:bottom w:val="single" w:sz="8" w:color="1928A0"/>
            </w:tcBorders>
            <w:shd w:val="clear" w:color="auto" w:fill="1928A0"/>
          </w:tcPr>
          <w:p>
            <w:pPr>
              <w:jc w:val="right"/>
              <w:ind w:right="309"/>
              <w:spacing w:after="0"/>
              <w:rPr>
                <w:sz w:val="20"/>
                <w:szCs w:val="20"/>
                <w:color w:val="auto"/>
              </w:rPr>
            </w:pPr>
            <w:r>
              <w:rPr>
                <w:rFonts w:ascii="Calibri" w:cs="Calibri" w:eastAsia="Calibri" w:hAnsi="Calibri"/>
                <w:sz w:val="20"/>
                <w:szCs w:val="20"/>
                <w:b w:val="1"/>
                <w:bCs w:val="1"/>
                <w:color w:val="FFFFFF"/>
              </w:rPr>
              <w:t>Low end</w:t>
            </w:r>
          </w:p>
        </w:tc>
        <w:tc>
          <w:tcPr>
            <w:tcW w:w="220" w:type="dxa"/>
            <w:vAlign w:val="bottom"/>
            <w:tcBorders>
              <w:bottom w:val="single" w:sz="8" w:color="1928A0"/>
            </w:tcBorders>
            <w:shd w:val="clear" w:color="auto" w:fill="1928A0"/>
          </w:tcPr>
          <w:p>
            <w:pPr>
              <w:spacing w:after="0"/>
              <w:rPr>
                <w:sz w:val="24"/>
                <w:szCs w:val="24"/>
                <w:color w:val="auto"/>
              </w:rPr>
            </w:pPr>
          </w:p>
        </w:tc>
        <w:tc>
          <w:tcPr>
            <w:tcW w:w="1260" w:type="dxa"/>
            <w:vAlign w:val="bottom"/>
            <w:tcBorders>
              <w:bottom w:val="single" w:sz="8" w:color="1928A0"/>
              <w:right w:val="single" w:sz="8" w:color="auto"/>
            </w:tcBorders>
            <w:shd w:val="clear" w:color="auto" w:fill="1928A0"/>
          </w:tcPr>
          <w:p>
            <w:pPr>
              <w:jc w:val="right"/>
              <w:ind w:right="289"/>
              <w:spacing w:after="0"/>
              <w:rPr>
                <w:sz w:val="20"/>
                <w:szCs w:val="20"/>
                <w:color w:val="auto"/>
              </w:rPr>
            </w:pPr>
            <w:r>
              <w:rPr>
                <w:rFonts w:ascii="Calibri" w:cs="Calibri" w:eastAsia="Calibri" w:hAnsi="Calibri"/>
                <w:sz w:val="20"/>
                <w:szCs w:val="20"/>
                <w:b w:val="1"/>
                <w:bCs w:val="1"/>
                <w:color w:val="FFFFFF"/>
              </w:rPr>
              <w:t>High end</w:t>
            </w: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Net sales</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Calibri" w:cs="Calibri" w:eastAsia="Calibri" w:hAnsi="Calibri"/>
                <w:sz w:val="18"/>
                <w:szCs w:val="18"/>
                <w:color w:val="auto"/>
              </w:rPr>
              <w:t>6,175.0</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DBDBDB"/>
            </w:tcBorders>
            <w:shd w:val="clear" w:color="auto" w:fill="DBDBDB"/>
          </w:tcPr>
          <w:p>
            <w:pPr>
              <w:jc w:val="right"/>
              <w:ind w:right="389"/>
              <w:spacing w:after="0"/>
              <w:rPr>
                <w:sz w:val="20"/>
                <w:szCs w:val="20"/>
                <w:color w:val="auto"/>
              </w:rPr>
            </w:pPr>
            <w:r>
              <w:rPr>
                <w:rFonts w:ascii="Calibri" w:cs="Calibri" w:eastAsia="Calibri" w:hAnsi="Calibri"/>
                <w:sz w:val="18"/>
                <w:szCs w:val="18"/>
                <w:color w:val="auto"/>
              </w:rPr>
              <w:t>6,365.0</w:t>
            </w:r>
          </w:p>
        </w:tc>
        <w:tc>
          <w:tcPr>
            <w:tcW w:w="5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6,110.0</w:t>
            </w:r>
          </w:p>
        </w:tc>
        <w:tc>
          <w:tcPr>
            <w:tcW w:w="220" w:type="dxa"/>
            <w:vAlign w:val="bottom"/>
            <w:tcBorders>
              <w:bottom w:val="single" w:sz="8" w:color="DBDBDB"/>
            </w:tcBorders>
            <w:shd w:val="clear" w:color="auto" w:fill="DBDBDB"/>
          </w:tcPr>
          <w:p>
            <w:pPr>
              <w:jc w:val="right"/>
              <w:ind w:right="30"/>
              <w:spacing w:after="0"/>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bottom w:val="single" w:sz="8" w:color="DBDBDB"/>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6,170.0</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Comparable sales</w:t>
            </w:r>
          </w:p>
        </w:tc>
        <w:tc>
          <w:tcPr>
            <w:tcW w:w="24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(7.5)%</w:t>
            </w:r>
          </w:p>
        </w:tc>
        <w:tc>
          <w:tcPr>
            <w:tcW w:w="2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229"/>
              <w:spacing w:after="0"/>
              <w:rPr>
                <w:sz w:val="20"/>
                <w:szCs w:val="20"/>
                <w:color w:val="auto"/>
              </w:rPr>
            </w:pPr>
            <w:r>
              <w:rPr>
                <w:rFonts w:ascii="Calibri" w:cs="Calibri" w:eastAsia="Calibri" w:hAnsi="Calibri"/>
                <w:sz w:val="18"/>
                <w:szCs w:val="18"/>
                <w:color w:val="auto"/>
              </w:rPr>
              <w:t>(4.5)%</w:t>
            </w:r>
          </w:p>
        </w:tc>
        <w:tc>
          <w:tcPr>
            <w:tcW w:w="5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b w:val="1"/>
                <w:bCs w:val="1"/>
                <w:color w:val="auto"/>
              </w:rPr>
              <w:t>(7.5)%</w:t>
            </w:r>
          </w:p>
        </w:tc>
        <w:tc>
          <w:tcPr>
            <w:tcW w:w="22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b w:val="1"/>
                <w:bCs w:val="1"/>
                <w:color w:val="auto"/>
              </w:rPr>
              <w:t>(6.5)%</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Gross margin rate</w:t>
            </w:r>
          </w:p>
        </w:tc>
        <w:tc>
          <w:tcPr>
            <w:tcW w:w="24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34.0 %</w:t>
            </w:r>
          </w:p>
        </w:tc>
        <w:tc>
          <w:tcPr>
            <w:tcW w:w="2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229"/>
              <w:spacing w:after="0"/>
              <w:rPr>
                <w:sz w:val="20"/>
                <w:szCs w:val="20"/>
                <w:color w:val="auto"/>
              </w:rPr>
            </w:pPr>
            <w:r>
              <w:rPr>
                <w:rFonts w:ascii="Calibri" w:cs="Calibri" w:eastAsia="Calibri" w:hAnsi="Calibri"/>
                <w:sz w:val="18"/>
                <w:szCs w:val="18"/>
                <w:color w:val="auto"/>
              </w:rPr>
              <w:t>34.4 %</w:t>
            </w:r>
          </w:p>
        </w:tc>
        <w:tc>
          <w:tcPr>
            <w:tcW w:w="5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b w:val="1"/>
                <w:bCs w:val="1"/>
                <w:color w:val="auto"/>
              </w:rPr>
              <w:t>34.0 %</w:t>
            </w:r>
          </w:p>
        </w:tc>
        <w:tc>
          <w:tcPr>
            <w:tcW w:w="22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b w:val="1"/>
                <w:bCs w:val="1"/>
                <w:color w:val="auto"/>
              </w:rPr>
              <w:t>34.2 %</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Income before income taxes</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Calibri" w:cs="Calibri" w:eastAsia="Calibri" w:hAnsi="Calibri"/>
                <w:sz w:val="18"/>
                <w:szCs w:val="18"/>
                <w:color w:val="auto"/>
              </w:rPr>
              <w:t>675</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DBDBDB"/>
            </w:tcBorders>
            <w:shd w:val="clear" w:color="auto" w:fill="DBDBDB"/>
          </w:tcPr>
          <w:p>
            <w:pPr>
              <w:jc w:val="right"/>
              <w:ind w:right="389"/>
              <w:spacing w:after="0"/>
              <w:rPr>
                <w:sz w:val="20"/>
                <w:szCs w:val="20"/>
                <w:color w:val="auto"/>
              </w:rPr>
            </w:pPr>
            <w:r>
              <w:rPr>
                <w:rFonts w:ascii="Calibri" w:cs="Calibri" w:eastAsia="Calibri" w:hAnsi="Calibri"/>
                <w:sz w:val="18"/>
                <w:szCs w:val="18"/>
                <w:color w:val="auto"/>
              </w:rPr>
              <w:t>750</w:t>
            </w:r>
          </w:p>
        </w:tc>
        <w:tc>
          <w:tcPr>
            <w:tcW w:w="5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670</w:t>
            </w:r>
          </w:p>
        </w:tc>
        <w:tc>
          <w:tcPr>
            <w:tcW w:w="220" w:type="dxa"/>
            <w:vAlign w:val="bottom"/>
            <w:tcBorders>
              <w:bottom w:val="single" w:sz="8" w:color="DBDBDB"/>
            </w:tcBorders>
            <w:shd w:val="clear" w:color="auto" w:fill="DBDBDB"/>
          </w:tcPr>
          <w:p>
            <w:pPr>
              <w:jc w:val="right"/>
              <w:ind w:right="30"/>
              <w:spacing w:after="0"/>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bottom w:val="single" w:sz="8" w:color="DBDBDB"/>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680</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Net Income</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Calibri" w:cs="Calibri" w:eastAsia="Calibri" w:hAnsi="Calibri"/>
                <w:sz w:val="18"/>
                <w:szCs w:val="18"/>
                <w:color w:val="auto"/>
              </w:rPr>
              <w:t>520</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DBDBDB"/>
            </w:tcBorders>
            <w:shd w:val="clear" w:color="auto" w:fill="DBDBDB"/>
          </w:tcPr>
          <w:p>
            <w:pPr>
              <w:jc w:val="right"/>
              <w:ind w:right="389"/>
              <w:spacing w:after="0"/>
              <w:rPr>
                <w:sz w:val="20"/>
                <w:szCs w:val="20"/>
                <w:color w:val="auto"/>
              </w:rPr>
            </w:pPr>
            <w:r>
              <w:rPr>
                <w:rFonts w:ascii="Calibri" w:cs="Calibri" w:eastAsia="Calibri" w:hAnsi="Calibri"/>
                <w:sz w:val="18"/>
                <w:szCs w:val="18"/>
                <w:color w:val="auto"/>
              </w:rPr>
              <w:t>575</w:t>
            </w:r>
          </w:p>
        </w:tc>
        <w:tc>
          <w:tcPr>
            <w:tcW w:w="5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520</w:t>
            </w:r>
          </w:p>
        </w:tc>
        <w:tc>
          <w:tcPr>
            <w:tcW w:w="220" w:type="dxa"/>
            <w:vAlign w:val="bottom"/>
            <w:tcBorders>
              <w:bottom w:val="single" w:sz="8" w:color="DBDBDB"/>
            </w:tcBorders>
            <w:shd w:val="clear" w:color="auto" w:fill="DBDBDB"/>
          </w:tcPr>
          <w:p>
            <w:pPr>
              <w:jc w:val="right"/>
              <w:ind w:right="30"/>
              <w:spacing w:after="0"/>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bottom w:val="single" w:sz="8" w:color="DBDBDB"/>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530</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Earnings per common share, diluted</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Calibri" w:cs="Calibri" w:eastAsia="Calibri" w:hAnsi="Calibri"/>
                <w:sz w:val="18"/>
                <w:szCs w:val="18"/>
                <w:color w:val="auto"/>
              </w:rPr>
              <w:t>6.65</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DBDBDB"/>
            </w:tcBorders>
            <w:shd w:val="clear" w:color="auto" w:fill="DBDBDB"/>
          </w:tcPr>
          <w:p>
            <w:pPr>
              <w:jc w:val="right"/>
              <w:ind w:right="389"/>
              <w:spacing w:after="0"/>
              <w:rPr>
                <w:sz w:val="20"/>
                <w:szCs w:val="20"/>
                <w:color w:val="auto"/>
              </w:rPr>
            </w:pPr>
            <w:r>
              <w:rPr>
                <w:rFonts w:ascii="Calibri" w:cs="Calibri" w:eastAsia="Calibri" w:hAnsi="Calibri"/>
                <w:sz w:val="18"/>
                <w:szCs w:val="18"/>
                <w:color w:val="auto"/>
              </w:rPr>
              <w:t>7.35</w:t>
            </w:r>
          </w:p>
        </w:tc>
        <w:tc>
          <w:tcPr>
            <w:tcW w:w="5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b w:val="1"/>
                <w:bCs w:val="1"/>
                <w:i w:val="1"/>
                <w:iCs w:val="1"/>
                <w:color w:val="auto"/>
              </w:rPr>
              <w:t>$</w:t>
            </w:r>
          </w:p>
        </w:tc>
        <w:tc>
          <w:tcPr>
            <w:tcW w:w="126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i w:val="1"/>
                <w:iCs w:val="1"/>
                <w:color w:val="auto"/>
              </w:rPr>
              <w:t>6.70</w:t>
            </w:r>
          </w:p>
        </w:tc>
        <w:tc>
          <w:tcPr>
            <w:tcW w:w="220" w:type="dxa"/>
            <w:vAlign w:val="bottom"/>
            <w:tcBorders>
              <w:bottom w:val="single" w:sz="8" w:color="DBDBDB"/>
            </w:tcBorders>
            <w:shd w:val="clear" w:color="auto" w:fill="DBDBDB"/>
          </w:tcPr>
          <w:p>
            <w:pPr>
              <w:jc w:val="right"/>
              <w:ind w:right="30"/>
              <w:spacing w:after="0"/>
              <w:rPr>
                <w:sz w:val="20"/>
                <w:szCs w:val="20"/>
                <w:color w:val="auto"/>
              </w:rPr>
            </w:pPr>
            <w:r>
              <w:rPr>
                <w:rFonts w:ascii="Calibri" w:cs="Calibri" w:eastAsia="Calibri" w:hAnsi="Calibri"/>
                <w:sz w:val="18"/>
                <w:szCs w:val="18"/>
                <w:b w:val="1"/>
                <w:bCs w:val="1"/>
                <w:i w:val="1"/>
                <w:iCs w:val="1"/>
                <w:color w:val="auto"/>
                <w:w w:val="87"/>
              </w:rPr>
              <w:t>$</w:t>
            </w:r>
          </w:p>
        </w:tc>
        <w:tc>
          <w:tcPr>
            <w:tcW w:w="1260" w:type="dxa"/>
            <w:vAlign w:val="bottom"/>
            <w:tcBorders>
              <w:bottom w:val="single" w:sz="8" w:color="DBDBDB"/>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i w:val="1"/>
                <w:iCs w:val="1"/>
                <w:color w:val="auto"/>
              </w:rPr>
              <w:t>6.85</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70"/>
        </w:trPr>
        <w:tc>
          <w:tcPr>
            <w:tcW w:w="4060" w:type="dxa"/>
            <w:vAlign w:val="bottom"/>
            <w:tcBorders>
              <w:left w:val="single" w:sz="8" w:color="auto"/>
            </w:tcBorders>
            <w:shd w:val="clear" w:color="auto" w:fill="DBDBDB"/>
          </w:tcPr>
          <w:p>
            <w:pPr>
              <w:ind w:left="20"/>
              <w:spacing w:after="0" w:line="270"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3"/>
                <w:szCs w:val="23"/>
                <w:color w:val="auto"/>
                <w:vertAlign w:val="superscript"/>
              </w:rPr>
              <w:t>(1)</w:t>
            </w:r>
          </w:p>
        </w:tc>
        <w:tc>
          <w:tcPr>
            <w:tcW w:w="240" w:type="dxa"/>
            <w:vAlign w:val="bottom"/>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220" w:type="dxa"/>
            <w:vAlign w:val="bottom"/>
            <w:shd w:val="clear" w:color="auto" w:fill="DBDBDB"/>
          </w:tcPr>
          <w:p>
            <w:pPr>
              <w:jc w:val="right"/>
              <w:ind w:right="89"/>
              <w:spacing w:after="0"/>
              <w:rPr>
                <w:sz w:val="20"/>
                <w:szCs w:val="20"/>
                <w:color w:val="auto"/>
              </w:rPr>
            </w:pPr>
            <w:r>
              <w:rPr>
                <w:rFonts w:ascii="Calibri" w:cs="Calibri" w:eastAsia="Calibri" w:hAnsi="Calibri"/>
                <w:sz w:val="18"/>
                <w:szCs w:val="18"/>
                <w:color w:val="auto"/>
              </w:rPr>
              <w:t>6.95</w:t>
            </w:r>
          </w:p>
        </w:tc>
        <w:tc>
          <w:tcPr>
            <w:tcW w:w="240" w:type="dxa"/>
            <w:vAlign w:val="bottom"/>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560" w:type="dxa"/>
            <w:vAlign w:val="bottom"/>
            <w:shd w:val="clear" w:color="auto" w:fill="DBDBDB"/>
          </w:tcPr>
          <w:p>
            <w:pPr>
              <w:jc w:val="right"/>
              <w:ind w:right="389"/>
              <w:spacing w:after="0"/>
              <w:rPr>
                <w:sz w:val="20"/>
                <w:szCs w:val="20"/>
                <w:color w:val="auto"/>
              </w:rPr>
            </w:pPr>
            <w:r>
              <w:rPr>
                <w:rFonts w:ascii="Calibri" w:cs="Calibri" w:eastAsia="Calibri" w:hAnsi="Calibri"/>
                <w:sz w:val="18"/>
                <w:szCs w:val="18"/>
                <w:color w:val="auto"/>
              </w:rPr>
              <w:t>7.65</w:t>
            </w:r>
          </w:p>
        </w:tc>
        <w:tc>
          <w:tcPr>
            <w:tcW w:w="540" w:type="dxa"/>
            <w:vAlign w:val="bottom"/>
            <w:shd w:val="clear" w:color="auto" w:fill="DBDBDB"/>
          </w:tcPr>
          <w:p>
            <w:pPr>
              <w:jc w:val="right"/>
              <w:ind w:right="50"/>
              <w:spacing w:after="0"/>
              <w:rPr>
                <w:sz w:val="20"/>
                <w:szCs w:val="20"/>
                <w:color w:val="auto"/>
              </w:rPr>
            </w:pPr>
            <w:r>
              <w:rPr>
                <w:rFonts w:ascii="Calibri" w:cs="Calibri" w:eastAsia="Calibri" w:hAnsi="Calibri"/>
                <w:sz w:val="18"/>
                <w:szCs w:val="18"/>
                <w:b w:val="1"/>
                <w:bCs w:val="1"/>
                <w:i w:val="1"/>
                <w:iCs w:val="1"/>
                <w:color w:val="auto"/>
              </w:rPr>
              <w:t>$</w:t>
            </w:r>
          </w:p>
        </w:tc>
        <w:tc>
          <w:tcPr>
            <w:tcW w:w="1260" w:type="dxa"/>
            <w:vAlign w:val="bottom"/>
            <w:shd w:val="clear" w:color="auto" w:fill="DBDBDB"/>
          </w:tcPr>
          <w:p>
            <w:pPr>
              <w:jc w:val="right"/>
              <w:ind w:right="109"/>
              <w:spacing w:after="0"/>
              <w:rPr>
                <w:sz w:val="20"/>
                <w:szCs w:val="20"/>
                <w:color w:val="auto"/>
              </w:rPr>
            </w:pPr>
            <w:r>
              <w:rPr>
                <w:rFonts w:ascii="Calibri" w:cs="Calibri" w:eastAsia="Calibri" w:hAnsi="Calibri"/>
                <w:sz w:val="18"/>
                <w:szCs w:val="18"/>
                <w:b w:val="1"/>
                <w:bCs w:val="1"/>
                <w:i w:val="1"/>
                <w:iCs w:val="1"/>
                <w:color w:val="auto"/>
              </w:rPr>
              <w:t>7.05</w:t>
            </w:r>
          </w:p>
        </w:tc>
        <w:tc>
          <w:tcPr>
            <w:tcW w:w="220" w:type="dxa"/>
            <w:vAlign w:val="bottom"/>
            <w:shd w:val="clear" w:color="auto" w:fill="DBDBDB"/>
          </w:tcPr>
          <w:p>
            <w:pPr>
              <w:jc w:val="right"/>
              <w:ind w:right="30"/>
              <w:spacing w:after="0"/>
              <w:rPr>
                <w:sz w:val="20"/>
                <w:szCs w:val="20"/>
                <w:color w:val="auto"/>
              </w:rPr>
            </w:pPr>
            <w:r>
              <w:rPr>
                <w:rFonts w:ascii="Calibri" w:cs="Calibri" w:eastAsia="Calibri" w:hAnsi="Calibri"/>
                <w:sz w:val="18"/>
                <w:szCs w:val="18"/>
                <w:b w:val="1"/>
                <w:bCs w:val="1"/>
                <w:i w:val="1"/>
                <w:iCs w:val="1"/>
                <w:color w:val="auto"/>
                <w:w w:val="87"/>
              </w:rPr>
              <w:t>$</w:t>
            </w:r>
          </w:p>
        </w:tc>
        <w:tc>
          <w:tcPr>
            <w:tcW w:w="1260" w:type="dxa"/>
            <w:vAlign w:val="bottom"/>
            <w:tcBorders>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i w:val="1"/>
                <w:iCs w:val="1"/>
                <w:color w:val="auto"/>
              </w:rPr>
              <w:t>7.20</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Diluted weighted average common shares outstanding</w:t>
            </w:r>
          </w:p>
        </w:tc>
        <w:tc>
          <w:tcPr>
            <w:tcW w:w="24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Calibri" w:cs="Calibri" w:eastAsia="Calibri" w:hAnsi="Calibri"/>
                <w:sz w:val="18"/>
                <w:szCs w:val="18"/>
                <w:color w:val="auto"/>
              </w:rPr>
              <w:t>78.1</w:t>
            </w:r>
          </w:p>
        </w:tc>
        <w:tc>
          <w:tcPr>
            <w:tcW w:w="24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ind w:right="389"/>
              <w:spacing w:after="0"/>
              <w:rPr>
                <w:sz w:val="20"/>
                <w:szCs w:val="20"/>
                <w:color w:val="auto"/>
              </w:rPr>
            </w:pPr>
            <w:r>
              <w:rPr>
                <w:rFonts w:ascii="Calibri" w:cs="Calibri" w:eastAsia="Calibri" w:hAnsi="Calibri"/>
                <w:sz w:val="18"/>
                <w:szCs w:val="18"/>
                <w:color w:val="auto"/>
              </w:rPr>
              <w:t>78.1</w:t>
            </w:r>
          </w:p>
        </w:tc>
        <w:tc>
          <w:tcPr>
            <w:tcW w:w="54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i w:val="1"/>
                <w:iCs w:val="1"/>
                <w:color w:val="auto"/>
              </w:rPr>
              <w:t>77.3</w:t>
            </w:r>
          </w:p>
        </w:tc>
        <w:tc>
          <w:tcPr>
            <w:tcW w:w="22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i w:val="1"/>
                <w:iCs w:val="1"/>
                <w:color w:val="auto"/>
              </w:rPr>
              <w:t>77.3</w:t>
            </w:r>
          </w:p>
        </w:tc>
      </w:tr>
      <w:tr>
        <w:trPr>
          <w:trHeight w:val="162"/>
        </w:trPr>
        <w:tc>
          <w:tcPr>
            <w:tcW w:w="40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r>
      <w:tr>
        <w:trPr>
          <w:trHeight w:val="250"/>
        </w:trPr>
        <w:tc>
          <w:tcPr>
            <w:tcW w:w="4060" w:type="dxa"/>
            <w:vAlign w:val="bottom"/>
            <w:tcBorders>
              <w:left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Capital expenditures</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DBDBDB"/>
            </w:tcBorders>
            <w:shd w:val="clear" w:color="auto" w:fill="DBDBDB"/>
          </w:tcPr>
          <w:p>
            <w:pPr>
              <w:jc w:val="right"/>
              <w:ind w:right="89"/>
              <w:spacing w:after="0"/>
              <w:rPr>
                <w:sz w:val="20"/>
                <w:szCs w:val="20"/>
                <w:color w:val="auto"/>
              </w:rPr>
            </w:pPr>
            <w:r>
              <w:rPr>
                <w:rFonts w:ascii="Calibri" w:cs="Calibri" w:eastAsia="Calibri" w:hAnsi="Calibri"/>
                <w:sz w:val="18"/>
                <w:szCs w:val="18"/>
                <w:color w:val="auto"/>
              </w:rPr>
              <w:t>200</w:t>
            </w:r>
          </w:p>
        </w:tc>
        <w:tc>
          <w:tcPr>
            <w:tcW w:w="2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DBDBDB"/>
            </w:tcBorders>
            <w:shd w:val="clear" w:color="auto" w:fill="DBDBDB"/>
          </w:tcPr>
          <w:p>
            <w:pPr>
              <w:jc w:val="right"/>
              <w:ind w:right="389"/>
              <w:spacing w:after="0"/>
              <w:rPr>
                <w:sz w:val="20"/>
                <w:szCs w:val="20"/>
                <w:color w:val="auto"/>
              </w:rPr>
            </w:pPr>
            <w:r>
              <w:rPr>
                <w:rFonts w:ascii="Calibri" w:cs="Calibri" w:eastAsia="Calibri" w:hAnsi="Calibri"/>
                <w:sz w:val="18"/>
                <w:szCs w:val="18"/>
                <w:color w:val="auto"/>
              </w:rPr>
              <w:t>250</w:t>
            </w:r>
          </w:p>
        </w:tc>
        <w:tc>
          <w:tcPr>
            <w:tcW w:w="540" w:type="dxa"/>
            <w:vAlign w:val="bottom"/>
            <w:tcBorders>
              <w:bottom w:val="single" w:sz="8" w:color="DBDBDB"/>
            </w:tcBorders>
            <w:shd w:val="clear" w:color="auto" w:fill="DBDBDB"/>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DBDBDB"/>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175</w:t>
            </w:r>
          </w:p>
        </w:tc>
        <w:tc>
          <w:tcPr>
            <w:tcW w:w="220" w:type="dxa"/>
            <w:vAlign w:val="bottom"/>
            <w:tcBorders>
              <w:bottom w:val="single" w:sz="8" w:color="DBDBDB"/>
            </w:tcBorders>
            <w:shd w:val="clear" w:color="auto" w:fill="DBDBDB"/>
          </w:tcPr>
          <w:p>
            <w:pPr>
              <w:jc w:val="right"/>
              <w:ind w:right="30"/>
              <w:spacing w:after="0"/>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bottom w:val="single" w:sz="8" w:color="DBDBDB"/>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225</w:t>
            </w:r>
          </w:p>
        </w:tc>
      </w:tr>
      <w:tr>
        <w:trPr>
          <w:trHeight w:val="148"/>
        </w:trPr>
        <w:tc>
          <w:tcPr>
            <w:tcW w:w="40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r>
      <w:tr>
        <w:trPr>
          <w:trHeight w:val="270"/>
        </w:trPr>
        <w:tc>
          <w:tcPr>
            <w:tcW w:w="4060" w:type="dxa"/>
            <w:vAlign w:val="bottom"/>
            <w:tcBorders>
              <w:left w:val="single" w:sz="8" w:color="auto"/>
              <w:bottom w:val="single" w:sz="8" w:color="auto"/>
            </w:tcBorders>
            <w:shd w:val="clear" w:color="auto" w:fill="DBDBDB"/>
          </w:tcPr>
          <w:p>
            <w:pPr>
              <w:ind w:left="20"/>
              <w:spacing w:after="0" w:line="270" w:lineRule="exact"/>
              <w:rPr>
                <w:sz w:val="20"/>
                <w:szCs w:val="20"/>
                <w:color w:val="auto"/>
              </w:rPr>
            </w:pPr>
            <w:r>
              <w:rPr>
                <w:rFonts w:ascii="Calibri" w:cs="Calibri" w:eastAsia="Calibri" w:hAnsi="Calibri"/>
                <w:sz w:val="18"/>
                <w:szCs w:val="18"/>
                <w:color w:val="auto"/>
              </w:rPr>
              <w:t xml:space="preserve">Adjusted free cash fow </w:t>
            </w:r>
            <w:r>
              <w:rPr>
                <w:rFonts w:ascii="Calibri" w:cs="Calibri" w:eastAsia="Calibri" w:hAnsi="Calibri"/>
                <w:sz w:val="23"/>
                <w:szCs w:val="23"/>
                <w:color w:val="auto"/>
                <w:vertAlign w:val="superscript"/>
              </w:rPr>
              <w:t>(1)</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DBDBDB"/>
          </w:tcPr>
          <w:p>
            <w:pPr>
              <w:jc w:val="right"/>
              <w:ind w:right="89"/>
              <w:spacing w:after="0"/>
              <w:rPr>
                <w:sz w:val="20"/>
                <w:szCs w:val="20"/>
                <w:color w:val="auto"/>
              </w:rPr>
            </w:pPr>
            <w:r>
              <w:rPr>
                <w:rFonts w:ascii="Calibri" w:cs="Calibri" w:eastAsia="Calibri" w:hAnsi="Calibri"/>
                <w:sz w:val="18"/>
                <w:szCs w:val="18"/>
                <w:color w:val="auto"/>
              </w:rPr>
              <w:t>400</w:t>
            </w:r>
          </w:p>
        </w:tc>
        <w:tc>
          <w:tcPr>
            <w:tcW w:w="240" w:type="dxa"/>
            <w:vAlign w:val="bottom"/>
            <w:tcBorders>
              <w:bottom w:val="single" w:sz="8" w:color="auto"/>
            </w:tcBorders>
            <w:shd w:val="clear" w:color="auto" w:fill="DBDBDB"/>
          </w:tcPr>
          <w:p>
            <w:pPr>
              <w:jc w:val="right"/>
              <w:ind w:right="50"/>
              <w:spacing w:after="0"/>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auto"/>
            </w:tcBorders>
            <w:shd w:val="clear" w:color="auto" w:fill="DBDBDB"/>
          </w:tcPr>
          <w:p>
            <w:pPr>
              <w:jc w:val="right"/>
              <w:ind w:right="389"/>
              <w:spacing w:after="0"/>
              <w:rPr>
                <w:sz w:val="20"/>
                <w:szCs w:val="20"/>
                <w:color w:val="auto"/>
              </w:rPr>
            </w:pPr>
            <w:r>
              <w:rPr>
                <w:rFonts w:ascii="Calibri" w:cs="Calibri" w:eastAsia="Calibri" w:hAnsi="Calibri"/>
                <w:sz w:val="18"/>
                <w:szCs w:val="18"/>
                <w:color w:val="auto"/>
              </w:rPr>
              <w:t>450</w:t>
            </w:r>
          </w:p>
        </w:tc>
        <w:tc>
          <w:tcPr>
            <w:tcW w:w="540" w:type="dxa"/>
            <w:vAlign w:val="bottom"/>
            <w:tcBorders>
              <w:bottom w:val="single" w:sz="8" w:color="auto"/>
            </w:tcBorders>
            <w:shd w:val="clear" w:color="auto" w:fill="DBDBDB"/>
          </w:tcPr>
          <w:p>
            <w:pPr>
              <w:jc w:val="right"/>
              <w:ind w:right="50"/>
              <w:spacing w:after="0"/>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300</w:t>
            </w:r>
          </w:p>
        </w:tc>
        <w:tc>
          <w:tcPr>
            <w:tcW w:w="220" w:type="dxa"/>
            <w:vAlign w:val="bottom"/>
            <w:tcBorders>
              <w:bottom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bottom w:val="single" w:sz="8" w:color="auto"/>
              <w:right w:val="single" w:sz="8" w:color="auto"/>
            </w:tcBorders>
            <w:shd w:val="clear" w:color="auto" w:fill="DBDBDB"/>
          </w:tcPr>
          <w:p>
            <w:pPr>
              <w:jc w:val="right"/>
              <w:ind w:right="109"/>
              <w:spacing w:after="0"/>
              <w:rPr>
                <w:sz w:val="20"/>
                <w:szCs w:val="20"/>
                <w:color w:val="auto"/>
              </w:rPr>
            </w:pPr>
            <w:r>
              <w:rPr>
                <w:rFonts w:ascii="Calibri" w:cs="Calibri" w:eastAsia="Calibri" w:hAnsi="Calibri"/>
                <w:sz w:val="18"/>
                <w:szCs w:val="18"/>
                <w:b w:val="1"/>
                <w:bCs w:val="1"/>
                <w:color w:val="auto"/>
              </w:rPr>
              <w:t>350</w:t>
            </w:r>
          </w:p>
        </w:tc>
      </w:tr>
    </w:tbl>
    <w:p>
      <w:pPr>
        <w:spacing w:after="0" w:line="80" w:lineRule="exact"/>
        <w:rPr>
          <w:sz w:val="20"/>
          <w:szCs w:val="20"/>
          <w:color w:val="auto"/>
        </w:rPr>
      </w:pPr>
    </w:p>
    <w:p>
      <w:pPr>
        <w:ind w:left="340" w:right="720" w:firstLine="3"/>
        <w:spacing w:after="0" w:line="233" w:lineRule="auto"/>
        <w:tabs>
          <w:tab w:leader="none" w:pos="533"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Adjusted earnings per common share, diluted, and adjusted free cash fow are non-GAAP measures. See "Non-GAAP Measures" and "Reconciliatons of GAAP to Non-GAAP Financial Measures" below for reconciliatons of non-GAAP fnancial measures to their most directly comparable GAAP fnancial measures.</w:t>
      </w:r>
    </w:p>
    <w:p>
      <w:pPr>
        <w:spacing w:after="0" w:line="13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earnings per common share guidance reflects a tax rate of approximately 22.0% and does not include any potential future share repurchases.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7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The call will be webcast at </w:t>
      </w:r>
      <w:r>
        <w:rPr>
          <w:rFonts w:ascii="Arial" w:cs="Arial" w:eastAsia="Arial" w:hAnsi="Arial"/>
          <w:sz w:val="18"/>
          <w:szCs w:val="18"/>
          <w:u w:val="single" w:color="auto"/>
          <w:color w:val="0E32E1"/>
        </w:rPr>
        <w:t>investors.academy.com.</w:t>
      </w:r>
      <w:r>
        <w:rPr>
          <w:rFonts w:ascii="Arial" w:cs="Arial" w:eastAsia="Arial" w:hAnsi="Arial"/>
          <w:sz w:val="18"/>
          <w:szCs w:val="18"/>
          <w:color w:val="0E32E1"/>
        </w:rPr>
        <w:t xml:space="preserve"> </w:t>
      </w:r>
      <w:r>
        <w:rPr>
          <w:rFonts w:ascii="Arial" w:cs="Arial" w:eastAsia="Arial" w:hAnsi="Arial"/>
          <w:sz w:val="18"/>
          <w:szCs w:val="18"/>
          <w:color w:val="000000"/>
        </w:rPr>
        <w:t>The following information is provided for those who would like to participate in the conference call:</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U.S. callers</w:t>
            </w:r>
          </w:p>
        </w:tc>
        <w:tc>
          <w:tcPr>
            <w:tcW w:w="2060" w:type="dxa"/>
            <w:vAlign w:val="bottom"/>
            <w:gridSpan w:val="2"/>
          </w:tcPr>
          <w:p>
            <w:pPr>
              <w:jc w:val="right"/>
              <w:ind w:right="350"/>
              <w:spacing w:after="0"/>
              <w:rPr>
                <w:sz w:val="20"/>
                <w:szCs w:val="20"/>
                <w:color w:val="auto"/>
              </w:rPr>
            </w:pPr>
            <w:r>
              <w:rPr>
                <w:rFonts w:ascii="Arial" w:cs="Arial" w:eastAsia="Arial" w:hAnsi="Arial"/>
                <w:sz w:val="18"/>
                <w:szCs w:val="18"/>
                <w:color w:val="auto"/>
              </w:rPr>
              <w:t>1-877-407-3982</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International callers</w:t>
            </w:r>
          </w:p>
        </w:tc>
        <w:tc>
          <w:tcPr>
            <w:tcW w:w="1480" w:type="dxa"/>
            <w:vAlign w:val="bottom"/>
          </w:tcPr>
          <w:p>
            <w:pPr>
              <w:jc w:val="right"/>
              <w:spacing w:after="0"/>
              <w:rPr>
                <w:sz w:val="20"/>
                <w:szCs w:val="20"/>
                <w:color w:val="auto"/>
              </w:rPr>
            </w:pPr>
            <w:r>
              <w:rPr>
                <w:rFonts w:ascii="Arial" w:cs="Arial" w:eastAsia="Arial" w:hAnsi="Arial"/>
                <w:sz w:val="18"/>
                <w:szCs w:val="18"/>
                <w:color w:val="auto"/>
              </w:rPr>
              <w:t>1-201-493-6780</w:t>
            </w:r>
          </w:p>
        </w:tc>
      </w:tr>
      <w:tr>
        <w:trPr>
          <w:trHeight w:val="239"/>
        </w:trPr>
        <w:tc>
          <w:tcPr>
            <w:tcW w:w="1180" w:type="dxa"/>
            <w:vAlign w:val="bottom"/>
          </w:tcPr>
          <w:p>
            <w:pPr>
              <w:spacing w:after="0"/>
              <w:rPr>
                <w:sz w:val="20"/>
                <w:szCs w:val="20"/>
                <w:color w:val="auto"/>
              </w:rPr>
            </w:pPr>
            <w:r>
              <w:rPr>
                <w:rFonts w:ascii="Arial" w:cs="Arial" w:eastAsia="Arial" w:hAnsi="Arial"/>
                <w:sz w:val="18"/>
                <w:szCs w:val="18"/>
                <w:color w:val="auto"/>
              </w:rPr>
              <w:t>Passcode</w:t>
            </w:r>
          </w:p>
        </w:tc>
        <w:tc>
          <w:tcPr>
            <w:tcW w:w="2060" w:type="dxa"/>
            <w:vAlign w:val="bottom"/>
            <w:gridSpan w:val="2"/>
          </w:tcPr>
          <w:p>
            <w:pPr>
              <w:jc w:val="right"/>
              <w:ind w:right="910"/>
              <w:spacing w:after="0"/>
              <w:rPr>
                <w:sz w:val="20"/>
                <w:szCs w:val="20"/>
                <w:color w:val="auto"/>
              </w:rPr>
            </w:pPr>
            <w:r>
              <w:rPr>
                <w:rFonts w:ascii="Arial" w:cs="Arial" w:eastAsia="Arial" w:hAnsi="Arial"/>
                <w:sz w:val="18"/>
                <w:szCs w:val="18"/>
                <w:color w:val="auto"/>
              </w:rPr>
              <w:t>13742438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available for approximately 30 days on the Company's website.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275 stores across 18 states as of quarter end.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Adjusted EBIT, Adjusted Net Income, Adjusted Earnings per Common Share, and Adjusted Free Cash Flow have been</w:t>
      </w:r>
    </w:p>
    <w:p>
      <w:pPr>
        <w:jc w:val="both"/>
        <w:spacing w:after="0" w:line="226" w:lineRule="auto"/>
        <w:rPr>
          <w:sz w:val="20"/>
          <w:szCs w:val="20"/>
          <w:color w:val="auto"/>
        </w:rPr>
      </w:pPr>
      <w:r>
        <w:rPr>
          <w:rFonts w:ascii="Arial" w:cs="Arial" w:eastAsia="Arial" w:hAnsi="Arial"/>
          <w:sz w:val="18"/>
          <w:szCs w:val="18"/>
          <w:color w:val="auto"/>
        </w:rPr>
        <w:t>presented in this press release as supplemental measures of financial performance that are not required by, or presented in accordance with, generally accepted accounting principles (“GAAP”). The Company believes that the presentation of these non-GAAP measures is useful to</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investors as it provides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 please see our Annual Report for the fiscal year ended January 28, 2023 (the "Annual Report"), which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See “Reconciliations of GAAP to Non-GAAP Financial Measures” below for reconciliations of non-GAAP financial measures used in this press release to their most directly comparable GAAP financial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expectations and are not guarantees of future performance. Forward-looking statements may incorporate words such as “believe,” “expect,” “forward,” “ahead,” “opportunities,” “plans,” “priorities,” “goals,” “future,” “short/long term,” “will,” “should,” or the negative version of these words or other comparable words. The forward-looking statements include, among other things, statements regarding the Company’s fiscal 2023 outlook, the Company’s strategic plans and financial objectives, growth of the Company’s business and operations, the Company’s payment of dividends and declaration of future dividends, including the timing and amount thereof, share repurchases by the Company, the Company's expectations regarding its future performance, and future financial condition, and other such matters,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that could affect overall consumer spending or our industry, including the possible effects of ongoing macroeconomic challenges, inflation and increases in interest rates, or changes to the financial health of our customers, many of which are beyond Academy's control. These and other important factors that could cause actual results to differ materially from those in the forward-looking statements are set forth in</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Academy's filings with the SEC, including the Annual Report and the Company’s Quarterly Report for the thirteen and thirty-nine weeks ended October 28, 2023, under the caption "Risk Factors," as may be updated from time to time in our periodic filings with the SEC. Any</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6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8"/>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2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2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60" w:type="dxa"/>
            <w:vAlign w:val="bottom"/>
            <w:gridSpan w:val="3"/>
          </w:tcPr>
          <w:p>
            <w:pPr>
              <w:jc w:val="right"/>
              <w:ind w:right="110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0119"/>
          </w:cols>
          <w:pgMar w:left="340" w:top="466"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40" w:type="dxa"/>
            <w:vAlign w:val="bottom"/>
          </w:tcPr>
          <w:p>
            <w:pPr>
              <w:spacing w:after="0"/>
              <w:rPr>
                <w:sz w:val="24"/>
                <w:szCs w:val="24"/>
                <w:color w:val="auto"/>
              </w:rPr>
            </w:pPr>
          </w:p>
        </w:tc>
        <w:tc>
          <w:tcPr>
            <w:tcW w:w="140" w:type="dxa"/>
            <w:vAlign w:val="bottom"/>
            <w:tcBorders>
              <w:bottom w:val="single" w:sz="8" w:color="1928A0"/>
            </w:tcBorders>
            <w:shd w:val="clear" w:color="auto" w:fill="1928A0"/>
          </w:tcPr>
          <w:p>
            <w:pPr>
              <w:spacing w:after="0"/>
              <w:rPr>
                <w:sz w:val="24"/>
                <w:szCs w:val="24"/>
                <w:color w:val="auto"/>
              </w:rPr>
            </w:pPr>
          </w:p>
        </w:tc>
        <w:tc>
          <w:tcPr>
            <w:tcW w:w="1620" w:type="dxa"/>
            <w:vAlign w:val="bottom"/>
            <w:tcBorders>
              <w:bottom w:val="single" w:sz="8" w:color="1928A0"/>
            </w:tcBorders>
            <w:shd w:val="clear" w:color="auto" w:fill="1928A0"/>
          </w:tcPr>
          <w:p>
            <w:pPr>
              <w:spacing w:after="0"/>
              <w:rPr>
                <w:sz w:val="24"/>
                <w:szCs w:val="24"/>
                <w:color w:val="auto"/>
              </w:rPr>
            </w:pPr>
          </w:p>
        </w:tc>
        <w:tc>
          <w:tcPr>
            <w:tcW w:w="3680" w:type="dxa"/>
            <w:vAlign w:val="bottom"/>
            <w:tcBorders>
              <w:bottom w:val="single" w:sz="8" w:color="1928A0"/>
            </w:tcBorders>
            <w:gridSpan w:val="3"/>
            <w:shd w:val="clear" w:color="auto" w:fill="1928A0"/>
          </w:tcPr>
          <w:p>
            <w:pPr>
              <w:jc w:val="right"/>
              <w:ind w:right="810"/>
              <w:spacing w:after="0"/>
              <w:rPr>
                <w:sz w:val="20"/>
                <w:szCs w:val="20"/>
                <w:color w:val="auto"/>
              </w:rPr>
            </w:pPr>
            <w:r>
              <w:rPr>
                <w:rFonts w:ascii="Calibri" w:cs="Calibri" w:eastAsia="Calibri" w:hAnsi="Calibri"/>
                <w:sz w:val="20"/>
                <w:szCs w:val="20"/>
                <w:b w:val="1"/>
                <w:bCs w:val="1"/>
                <w:color w:val="FFFFFF"/>
              </w:rPr>
              <w:t>Thirteen Weeks Ended</w:t>
            </w:r>
          </w:p>
        </w:tc>
        <w:tc>
          <w:tcPr>
            <w:tcW w:w="1760" w:type="dxa"/>
            <w:vAlign w:val="bottom"/>
            <w:tcBorders>
              <w:bottom w:val="single" w:sz="8" w:color="1928A0"/>
            </w:tcBorders>
            <w:shd w:val="clear" w:color="auto" w:fill="1928A0"/>
          </w:tcPr>
          <w:p>
            <w:pPr>
              <w:spacing w:after="0"/>
              <w:rPr>
                <w:sz w:val="24"/>
                <w:szCs w:val="24"/>
                <w:color w:val="auto"/>
              </w:rPr>
            </w:pPr>
          </w:p>
        </w:tc>
      </w:tr>
      <w:tr>
        <w:trPr>
          <w:trHeight w:val="233"/>
        </w:trPr>
        <w:tc>
          <w:tcPr>
            <w:tcW w:w="4040" w:type="dxa"/>
            <w:vAlign w:val="bottom"/>
          </w:tcPr>
          <w:p>
            <w:pPr>
              <w:spacing w:after="0"/>
              <w:rPr>
                <w:sz w:val="20"/>
                <w:szCs w:val="20"/>
                <w:color w:val="auto"/>
              </w:rPr>
            </w:pPr>
          </w:p>
        </w:tc>
        <w:tc>
          <w:tcPr>
            <w:tcW w:w="140" w:type="dxa"/>
            <w:vAlign w:val="bottom"/>
            <w:shd w:val="clear" w:color="auto" w:fill="0A2299"/>
          </w:tcPr>
          <w:p>
            <w:pPr>
              <w:spacing w:after="0"/>
              <w:rPr>
                <w:sz w:val="20"/>
                <w:szCs w:val="20"/>
                <w:color w:val="auto"/>
              </w:rPr>
            </w:pPr>
          </w:p>
        </w:tc>
        <w:tc>
          <w:tcPr>
            <w:tcW w:w="1620" w:type="dxa"/>
            <w:vAlign w:val="bottom"/>
            <w:shd w:val="clear" w:color="auto" w:fill="0A2299"/>
          </w:tcPr>
          <w:p>
            <w:pPr>
              <w:spacing w:after="0"/>
              <w:rPr>
                <w:sz w:val="20"/>
                <w:szCs w:val="20"/>
                <w:color w:val="auto"/>
              </w:rPr>
            </w:pPr>
          </w:p>
        </w:tc>
        <w:tc>
          <w:tcPr>
            <w:tcW w:w="1900" w:type="dxa"/>
            <w:vAlign w:val="bottom"/>
            <w:shd w:val="clear" w:color="auto" w:fill="0A2299"/>
          </w:tcPr>
          <w:p>
            <w:pPr>
              <w:jc w:val="right"/>
              <w:ind w:right="269"/>
              <w:spacing w:after="0"/>
              <w:rPr>
                <w:sz w:val="20"/>
                <w:szCs w:val="20"/>
                <w:color w:val="auto"/>
              </w:rPr>
            </w:pPr>
            <w:r>
              <w:rPr>
                <w:rFonts w:ascii="Arial" w:cs="Arial" w:eastAsia="Arial" w:hAnsi="Arial"/>
                <w:sz w:val="18"/>
                <w:szCs w:val="18"/>
                <w:b w:val="1"/>
                <w:bCs w:val="1"/>
                <w:color w:val="FFFFFF"/>
              </w:rPr>
              <w:t>Percentage of</w:t>
            </w:r>
          </w:p>
        </w:tc>
        <w:tc>
          <w:tcPr>
            <w:tcW w:w="140" w:type="dxa"/>
            <w:vAlign w:val="bottom"/>
            <w:shd w:val="clear" w:color="auto" w:fill="0A2299"/>
          </w:tcPr>
          <w:p>
            <w:pPr>
              <w:spacing w:after="0"/>
              <w:rPr>
                <w:sz w:val="20"/>
                <w:szCs w:val="20"/>
                <w:color w:val="auto"/>
              </w:rPr>
            </w:pPr>
          </w:p>
        </w:tc>
        <w:tc>
          <w:tcPr>
            <w:tcW w:w="1640" w:type="dxa"/>
            <w:vAlign w:val="bottom"/>
            <w:shd w:val="clear" w:color="auto" w:fill="0A2299"/>
          </w:tcPr>
          <w:p>
            <w:pPr>
              <w:spacing w:after="0"/>
              <w:rPr>
                <w:sz w:val="20"/>
                <w:szCs w:val="20"/>
                <w:color w:val="auto"/>
              </w:rPr>
            </w:pPr>
          </w:p>
        </w:tc>
        <w:tc>
          <w:tcPr>
            <w:tcW w:w="1760" w:type="dxa"/>
            <w:vAlign w:val="bottom"/>
            <w:shd w:val="clear" w:color="auto" w:fill="0A2299"/>
          </w:tcPr>
          <w:p>
            <w:pPr>
              <w:jc w:val="right"/>
              <w:ind w:right="150"/>
              <w:spacing w:after="0"/>
              <w:rPr>
                <w:sz w:val="20"/>
                <w:szCs w:val="20"/>
                <w:color w:val="auto"/>
              </w:rPr>
            </w:pPr>
            <w:r>
              <w:rPr>
                <w:rFonts w:ascii="Arial" w:cs="Arial" w:eastAsia="Arial" w:hAnsi="Arial"/>
                <w:sz w:val="18"/>
                <w:szCs w:val="18"/>
                <w:b w:val="1"/>
                <w:bCs w:val="1"/>
                <w:color w:val="FFFFFF"/>
              </w:rPr>
              <w:t>Percentage of</w:t>
            </w:r>
          </w:p>
        </w:tc>
      </w:tr>
      <w:tr>
        <w:trPr>
          <w:trHeight w:val="266"/>
        </w:trPr>
        <w:tc>
          <w:tcPr>
            <w:tcW w:w="4040" w:type="dxa"/>
            <w:vAlign w:val="bottom"/>
          </w:tcPr>
          <w:p>
            <w:pPr>
              <w:spacing w:after="0"/>
              <w:rPr>
                <w:sz w:val="23"/>
                <w:szCs w:val="23"/>
                <w:color w:val="auto"/>
              </w:rPr>
            </w:pPr>
          </w:p>
        </w:tc>
        <w:tc>
          <w:tcPr>
            <w:tcW w:w="140" w:type="dxa"/>
            <w:vAlign w:val="bottom"/>
            <w:shd w:val="clear" w:color="auto" w:fill="0A2299"/>
          </w:tcPr>
          <w:p>
            <w:pPr>
              <w:spacing w:after="0"/>
              <w:rPr>
                <w:sz w:val="23"/>
                <w:szCs w:val="23"/>
                <w:color w:val="auto"/>
              </w:rPr>
            </w:pPr>
          </w:p>
        </w:tc>
        <w:tc>
          <w:tcPr>
            <w:tcW w:w="1620" w:type="dxa"/>
            <w:vAlign w:val="bottom"/>
            <w:shd w:val="clear" w:color="auto" w:fill="0A2299"/>
          </w:tcPr>
          <w:p>
            <w:pPr>
              <w:jc w:val="right"/>
              <w:ind w:right="70"/>
              <w:spacing w:after="0"/>
              <w:rPr>
                <w:sz w:val="20"/>
                <w:szCs w:val="20"/>
                <w:color w:val="auto"/>
              </w:rPr>
            </w:pPr>
            <w:r>
              <w:rPr>
                <w:rFonts w:ascii="Arial" w:cs="Arial" w:eastAsia="Arial" w:hAnsi="Arial"/>
                <w:sz w:val="18"/>
                <w:szCs w:val="18"/>
                <w:b w:val="1"/>
                <w:bCs w:val="1"/>
                <w:color w:val="FFFFFF"/>
                <w:w w:val="99"/>
              </w:rPr>
              <w:t>October 28, 2023</w:t>
            </w:r>
          </w:p>
        </w:tc>
        <w:tc>
          <w:tcPr>
            <w:tcW w:w="1900" w:type="dxa"/>
            <w:vAlign w:val="bottom"/>
            <w:shd w:val="clear" w:color="auto" w:fill="0A2299"/>
          </w:tcPr>
          <w:p>
            <w:pPr>
              <w:jc w:val="right"/>
              <w:ind w:right="529"/>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c>
          <w:tcPr>
            <w:tcW w:w="140" w:type="dxa"/>
            <w:vAlign w:val="bottom"/>
            <w:shd w:val="clear" w:color="auto" w:fill="0A2299"/>
          </w:tcPr>
          <w:p>
            <w:pPr>
              <w:spacing w:after="0"/>
              <w:rPr>
                <w:sz w:val="23"/>
                <w:szCs w:val="23"/>
                <w:color w:val="auto"/>
              </w:rPr>
            </w:pPr>
          </w:p>
        </w:tc>
        <w:tc>
          <w:tcPr>
            <w:tcW w:w="1640" w:type="dxa"/>
            <w:vAlign w:val="bottom"/>
            <w:shd w:val="clear" w:color="auto" w:fill="0A2299"/>
          </w:tcPr>
          <w:p>
            <w:pPr>
              <w:jc w:val="right"/>
              <w:ind w:right="90"/>
              <w:spacing w:after="0"/>
              <w:rPr>
                <w:sz w:val="20"/>
                <w:szCs w:val="20"/>
                <w:color w:val="auto"/>
              </w:rPr>
            </w:pPr>
            <w:r>
              <w:rPr>
                <w:rFonts w:ascii="Arial" w:cs="Arial" w:eastAsia="Arial" w:hAnsi="Arial"/>
                <w:sz w:val="18"/>
                <w:szCs w:val="18"/>
                <w:b w:val="1"/>
                <w:bCs w:val="1"/>
                <w:color w:val="FFFFFF"/>
                <w:w w:val="99"/>
              </w:rPr>
              <w:t>October 29, 2022</w:t>
            </w:r>
          </w:p>
        </w:tc>
        <w:tc>
          <w:tcPr>
            <w:tcW w:w="1760" w:type="dxa"/>
            <w:vAlign w:val="bottom"/>
            <w:shd w:val="clear" w:color="auto" w:fill="0A2299"/>
          </w:tcPr>
          <w:p>
            <w:pPr>
              <w:jc w:val="right"/>
              <w:ind w:right="430"/>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r>
      <w:tr>
        <w:trPr>
          <w:trHeight w:val="28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1,397,777</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100.0 %</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1,493,925</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915,136</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65.5 %</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971,454</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65.0 %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482,641</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34.5 %</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522,471</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35.0 %</w:t>
            </w:r>
          </w:p>
        </w:tc>
      </w:tr>
      <w:tr>
        <w:trPr>
          <w:trHeight w:val="264"/>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345,910</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24.7 %</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342,949</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23.0 %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136,731</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9.8 %</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179,522</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12.0 %</w:t>
            </w: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10,930</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0.8 %</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12,163</w:t>
            </w:r>
          </w:p>
        </w:tc>
        <w:tc>
          <w:tcPr>
            <w:tcW w:w="17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7"/>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DBDBDB"/>
          </w:tcPr>
          <w:p>
            <w:pPr>
              <w:spacing w:after="0"/>
              <w:rPr>
                <w:sz w:val="24"/>
                <w:szCs w:val="24"/>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(4,146)</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(0.3)%</w:t>
            </w:r>
          </w:p>
        </w:tc>
        <w:tc>
          <w:tcPr>
            <w:tcW w:w="140" w:type="dxa"/>
            <w:vAlign w:val="bottom"/>
            <w:tcBorders>
              <w:bottom w:val="single" w:sz="8" w:color="auto"/>
            </w:tcBorders>
            <w:shd w:val="clear" w:color="auto" w:fill="DBDBDB"/>
          </w:tcPr>
          <w:p>
            <w:pPr>
              <w:spacing w:after="0"/>
              <w:rPr>
                <w:sz w:val="24"/>
                <w:szCs w:val="2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(2,538)</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w:t>
            </w: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129,947</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9.3 %</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169,897</w:t>
            </w:r>
          </w:p>
        </w:tc>
        <w:tc>
          <w:tcPr>
            <w:tcW w:w="176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1"/>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29,969</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2.1 %</w:t>
            </w:r>
          </w:p>
        </w:tc>
        <w:tc>
          <w:tcPr>
            <w:tcW w:w="140" w:type="dxa"/>
            <w:vAlign w:val="bottom"/>
            <w:tcBorders>
              <w:bottom w:val="single" w:sz="8" w:color="auto"/>
            </w:tcBorders>
            <w:shd w:val="clear" w:color="auto" w:fill="DBDBDB"/>
          </w:tcPr>
          <w:p>
            <w:pPr>
              <w:spacing w:after="0"/>
              <w:rPr>
                <w:sz w:val="23"/>
                <w:szCs w:val="23"/>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38,156</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r>
      <w:tr>
        <w:trPr>
          <w:trHeight w:val="270"/>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99,978</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7.2 %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131,741</w:t>
            </w:r>
          </w:p>
        </w:tc>
        <w:tc>
          <w:tcPr>
            <w:tcW w:w="176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404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DBDBDB"/>
            </w:tcBorders>
          </w:tcPr>
          <w:p>
            <w:pPr>
              <w:spacing w:after="0" w:line="20" w:lineRule="exact"/>
              <w:rPr>
                <w:sz w:val="1"/>
                <w:szCs w:val="1"/>
                <w:color w:val="auto"/>
              </w:rPr>
            </w:pPr>
          </w:p>
        </w:tc>
      </w:tr>
      <w:tr>
        <w:trPr>
          <w:trHeight w:val="223"/>
        </w:trPr>
        <w:tc>
          <w:tcPr>
            <w:tcW w:w="40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20" w:type="dxa"/>
            <w:vAlign w:val="bottom"/>
            <w:shd w:val="clear" w:color="auto" w:fill="DBDBDB"/>
          </w:tcPr>
          <w:p>
            <w:pPr>
              <w:spacing w:after="0"/>
              <w:rPr>
                <w:sz w:val="19"/>
                <w:szCs w:val="19"/>
                <w:color w:val="auto"/>
              </w:rPr>
            </w:pPr>
          </w:p>
        </w:tc>
        <w:tc>
          <w:tcPr>
            <w:tcW w:w="19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4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w:t>
            </w:r>
          </w:p>
        </w:tc>
        <w:tc>
          <w:tcPr>
            <w:tcW w:w="1900" w:type="dxa"/>
            <w:vAlign w:val="bottom"/>
            <w:shd w:val="clear" w:color="auto" w:fill="DBDBDB"/>
          </w:tcPr>
          <w:p>
            <w:pPr>
              <w:spacing w:after="0"/>
              <w:rPr>
                <w:sz w:val="23"/>
                <w:szCs w:val="23"/>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1.67</w:t>
            </w:r>
          </w:p>
        </w:tc>
        <w:tc>
          <w:tcPr>
            <w:tcW w:w="1760" w:type="dxa"/>
            <w:vAlign w:val="bottom"/>
            <w:shd w:val="clear" w:color="auto" w:fill="DBDBDB"/>
          </w:tcPr>
          <w:p>
            <w:pPr>
              <w:spacing w:after="0"/>
              <w:rPr>
                <w:sz w:val="23"/>
                <w:szCs w:val="23"/>
                <w:color w:val="auto"/>
              </w:rPr>
            </w:pPr>
          </w:p>
        </w:tc>
      </w:tr>
      <w:tr>
        <w:trPr>
          <w:trHeight w:val="263"/>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9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1.62</w:t>
            </w:r>
          </w:p>
        </w:tc>
        <w:tc>
          <w:tcPr>
            <w:tcW w:w="1760" w:type="dxa"/>
            <w:vAlign w:val="bottom"/>
          </w:tcPr>
          <w:p>
            <w:pPr>
              <w:spacing w:after="0"/>
              <w:rPr>
                <w:sz w:val="22"/>
                <w:szCs w:val="22"/>
                <w:color w:val="auto"/>
              </w:rPr>
            </w:pPr>
          </w:p>
        </w:tc>
      </w:tr>
      <w:tr>
        <w:trPr>
          <w:trHeight w:val="264"/>
        </w:trPr>
        <w:tc>
          <w:tcPr>
            <w:tcW w:w="404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20" w:type="dxa"/>
            <w:vAlign w:val="bottom"/>
            <w:shd w:val="clear" w:color="auto" w:fill="DBDBDB"/>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1760" w:type="dxa"/>
            <w:vAlign w:val="bottom"/>
            <w:shd w:val="clear" w:color="auto" w:fill="DBDBDB"/>
          </w:tcPr>
          <w:p>
            <w:pPr>
              <w:spacing w:after="0"/>
              <w:rPr>
                <w:sz w:val="22"/>
                <w:szCs w:val="22"/>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74,461</w:t>
            </w:r>
          </w:p>
        </w:tc>
        <w:tc>
          <w:tcPr>
            <w:tcW w:w="19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79,085</w:t>
            </w:r>
          </w:p>
        </w:tc>
        <w:tc>
          <w:tcPr>
            <w:tcW w:w="1760" w:type="dxa"/>
            <w:vAlign w:val="bottom"/>
            <w:shd w:val="clear" w:color="auto" w:fill="DBDBDB"/>
          </w:tcPr>
          <w:p>
            <w:pPr>
              <w:spacing w:after="0"/>
              <w:rPr>
                <w:sz w:val="23"/>
                <w:szCs w:val="23"/>
                <w:color w:val="auto"/>
              </w:rPr>
            </w:pPr>
          </w:p>
        </w:tc>
      </w:tr>
      <w:tr>
        <w:trPr>
          <w:trHeight w:val="255"/>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76,057</w:t>
            </w: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81,379</w:t>
            </w:r>
          </w:p>
        </w:tc>
        <w:tc>
          <w:tcPr>
            <w:tcW w:w="1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-3118485</wp:posOffset>
            </wp:positionV>
            <wp:extent cx="45688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-3435985</wp:posOffset>
            </wp:positionV>
            <wp:extent cx="4568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3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40" w:type="dxa"/>
            <w:vAlign w:val="bottom"/>
          </w:tcPr>
          <w:p>
            <w:pPr>
              <w:spacing w:after="0"/>
              <w:rPr>
                <w:sz w:val="24"/>
                <w:szCs w:val="24"/>
                <w:color w:val="auto"/>
              </w:rPr>
            </w:pPr>
          </w:p>
        </w:tc>
        <w:tc>
          <w:tcPr>
            <w:tcW w:w="140" w:type="dxa"/>
            <w:vAlign w:val="bottom"/>
            <w:tcBorders>
              <w:bottom w:val="single" w:sz="8" w:color="1928A0"/>
            </w:tcBorders>
            <w:shd w:val="clear" w:color="auto" w:fill="1928A0"/>
          </w:tcPr>
          <w:p>
            <w:pPr>
              <w:spacing w:after="0"/>
              <w:rPr>
                <w:sz w:val="24"/>
                <w:szCs w:val="24"/>
                <w:color w:val="auto"/>
              </w:rPr>
            </w:pPr>
          </w:p>
        </w:tc>
        <w:tc>
          <w:tcPr>
            <w:tcW w:w="1620" w:type="dxa"/>
            <w:vAlign w:val="bottom"/>
            <w:tcBorders>
              <w:bottom w:val="single" w:sz="8" w:color="1928A0"/>
            </w:tcBorders>
            <w:shd w:val="clear" w:color="auto" w:fill="1928A0"/>
          </w:tcPr>
          <w:p>
            <w:pPr>
              <w:spacing w:after="0"/>
              <w:rPr>
                <w:sz w:val="24"/>
                <w:szCs w:val="24"/>
                <w:color w:val="auto"/>
              </w:rPr>
            </w:pPr>
          </w:p>
        </w:tc>
        <w:tc>
          <w:tcPr>
            <w:tcW w:w="3680" w:type="dxa"/>
            <w:vAlign w:val="bottom"/>
            <w:tcBorders>
              <w:bottom w:val="single" w:sz="8" w:color="1928A0"/>
            </w:tcBorders>
            <w:gridSpan w:val="3"/>
            <w:shd w:val="clear" w:color="auto" w:fill="1928A0"/>
          </w:tcPr>
          <w:p>
            <w:pPr>
              <w:jc w:val="right"/>
              <w:ind w:right="690"/>
              <w:spacing w:after="0"/>
              <w:rPr>
                <w:sz w:val="20"/>
                <w:szCs w:val="20"/>
                <w:color w:val="auto"/>
              </w:rPr>
            </w:pPr>
            <w:r>
              <w:rPr>
                <w:rFonts w:ascii="Calibri" w:cs="Calibri" w:eastAsia="Calibri" w:hAnsi="Calibri"/>
                <w:sz w:val="20"/>
                <w:szCs w:val="20"/>
                <w:b w:val="1"/>
                <w:bCs w:val="1"/>
                <w:color w:val="FFFFFF"/>
              </w:rPr>
              <w:t>Thirty-Nine Weeks Ended</w:t>
            </w:r>
          </w:p>
        </w:tc>
        <w:tc>
          <w:tcPr>
            <w:tcW w:w="1760" w:type="dxa"/>
            <w:vAlign w:val="bottom"/>
            <w:tcBorders>
              <w:bottom w:val="single" w:sz="8" w:color="1928A0"/>
            </w:tcBorders>
            <w:shd w:val="clear" w:color="auto" w:fill="1928A0"/>
          </w:tcPr>
          <w:p>
            <w:pPr>
              <w:spacing w:after="0"/>
              <w:rPr>
                <w:sz w:val="24"/>
                <w:szCs w:val="24"/>
                <w:color w:val="auto"/>
              </w:rPr>
            </w:pPr>
          </w:p>
        </w:tc>
      </w:tr>
      <w:tr>
        <w:trPr>
          <w:trHeight w:val="233"/>
        </w:trPr>
        <w:tc>
          <w:tcPr>
            <w:tcW w:w="4040" w:type="dxa"/>
            <w:vAlign w:val="bottom"/>
          </w:tcPr>
          <w:p>
            <w:pPr>
              <w:spacing w:after="0"/>
              <w:rPr>
                <w:sz w:val="20"/>
                <w:szCs w:val="20"/>
                <w:color w:val="auto"/>
              </w:rPr>
            </w:pPr>
          </w:p>
        </w:tc>
        <w:tc>
          <w:tcPr>
            <w:tcW w:w="140" w:type="dxa"/>
            <w:vAlign w:val="bottom"/>
            <w:shd w:val="clear" w:color="auto" w:fill="0A2299"/>
          </w:tcPr>
          <w:p>
            <w:pPr>
              <w:spacing w:after="0"/>
              <w:rPr>
                <w:sz w:val="20"/>
                <w:szCs w:val="20"/>
                <w:color w:val="auto"/>
              </w:rPr>
            </w:pPr>
          </w:p>
        </w:tc>
        <w:tc>
          <w:tcPr>
            <w:tcW w:w="1620" w:type="dxa"/>
            <w:vAlign w:val="bottom"/>
            <w:shd w:val="clear" w:color="auto" w:fill="0A2299"/>
          </w:tcPr>
          <w:p>
            <w:pPr>
              <w:spacing w:after="0"/>
              <w:rPr>
                <w:sz w:val="20"/>
                <w:szCs w:val="20"/>
                <w:color w:val="auto"/>
              </w:rPr>
            </w:pPr>
          </w:p>
        </w:tc>
        <w:tc>
          <w:tcPr>
            <w:tcW w:w="1900" w:type="dxa"/>
            <w:vAlign w:val="bottom"/>
            <w:shd w:val="clear" w:color="auto" w:fill="0A2299"/>
          </w:tcPr>
          <w:p>
            <w:pPr>
              <w:jc w:val="right"/>
              <w:ind w:right="269"/>
              <w:spacing w:after="0"/>
              <w:rPr>
                <w:sz w:val="20"/>
                <w:szCs w:val="20"/>
                <w:color w:val="auto"/>
              </w:rPr>
            </w:pPr>
            <w:r>
              <w:rPr>
                <w:rFonts w:ascii="Arial" w:cs="Arial" w:eastAsia="Arial" w:hAnsi="Arial"/>
                <w:sz w:val="18"/>
                <w:szCs w:val="18"/>
                <w:b w:val="1"/>
                <w:bCs w:val="1"/>
                <w:color w:val="FFFFFF"/>
              </w:rPr>
              <w:t>Percentage of</w:t>
            </w:r>
          </w:p>
        </w:tc>
        <w:tc>
          <w:tcPr>
            <w:tcW w:w="140" w:type="dxa"/>
            <w:vAlign w:val="bottom"/>
            <w:shd w:val="clear" w:color="auto" w:fill="0A2299"/>
          </w:tcPr>
          <w:p>
            <w:pPr>
              <w:spacing w:after="0"/>
              <w:rPr>
                <w:sz w:val="20"/>
                <w:szCs w:val="20"/>
                <w:color w:val="auto"/>
              </w:rPr>
            </w:pPr>
          </w:p>
        </w:tc>
        <w:tc>
          <w:tcPr>
            <w:tcW w:w="1640" w:type="dxa"/>
            <w:vAlign w:val="bottom"/>
            <w:shd w:val="clear" w:color="auto" w:fill="0A2299"/>
          </w:tcPr>
          <w:p>
            <w:pPr>
              <w:spacing w:after="0"/>
              <w:rPr>
                <w:sz w:val="20"/>
                <w:szCs w:val="20"/>
                <w:color w:val="auto"/>
              </w:rPr>
            </w:pPr>
          </w:p>
        </w:tc>
        <w:tc>
          <w:tcPr>
            <w:tcW w:w="1760" w:type="dxa"/>
            <w:vAlign w:val="bottom"/>
            <w:shd w:val="clear" w:color="auto" w:fill="0A2299"/>
          </w:tcPr>
          <w:p>
            <w:pPr>
              <w:jc w:val="right"/>
              <w:ind w:right="150"/>
              <w:spacing w:after="0"/>
              <w:rPr>
                <w:sz w:val="20"/>
                <w:szCs w:val="20"/>
                <w:color w:val="auto"/>
              </w:rPr>
            </w:pPr>
            <w:r>
              <w:rPr>
                <w:rFonts w:ascii="Arial" w:cs="Arial" w:eastAsia="Arial" w:hAnsi="Arial"/>
                <w:sz w:val="18"/>
                <w:szCs w:val="18"/>
                <w:b w:val="1"/>
                <w:bCs w:val="1"/>
                <w:color w:val="FFFFFF"/>
              </w:rPr>
              <w:t>Percentage of</w:t>
            </w:r>
          </w:p>
        </w:tc>
      </w:tr>
      <w:tr>
        <w:trPr>
          <w:trHeight w:val="266"/>
        </w:trPr>
        <w:tc>
          <w:tcPr>
            <w:tcW w:w="4040" w:type="dxa"/>
            <w:vAlign w:val="bottom"/>
          </w:tcPr>
          <w:p>
            <w:pPr>
              <w:spacing w:after="0"/>
              <w:rPr>
                <w:sz w:val="23"/>
                <w:szCs w:val="23"/>
                <w:color w:val="auto"/>
              </w:rPr>
            </w:pPr>
          </w:p>
        </w:tc>
        <w:tc>
          <w:tcPr>
            <w:tcW w:w="140" w:type="dxa"/>
            <w:vAlign w:val="bottom"/>
            <w:shd w:val="clear" w:color="auto" w:fill="0A2299"/>
          </w:tcPr>
          <w:p>
            <w:pPr>
              <w:spacing w:after="0"/>
              <w:rPr>
                <w:sz w:val="23"/>
                <w:szCs w:val="23"/>
                <w:color w:val="auto"/>
              </w:rPr>
            </w:pPr>
          </w:p>
        </w:tc>
        <w:tc>
          <w:tcPr>
            <w:tcW w:w="1620" w:type="dxa"/>
            <w:vAlign w:val="bottom"/>
            <w:shd w:val="clear" w:color="auto" w:fill="0A2299"/>
          </w:tcPr>
          <w:p>
            <w:pPr>
              <w:jc w:val="right"/>
              <w:ind w:right="70"/>
              <w:spacing w:after="0"/>
              <w:rPr>
                <w:sz w:val="20"/>
                <w:szCs w:val="20"/>
                <w:color w:val="auto"/>
              </w:rPr>
            </w:pPr>
            <w:r>
              <w:rPr>
                <w:rFonts w:ascii="Arial" w:cs="Arial" w:eastAsia="Arial" w:hAnsi="Arial"/>
                <w:sz w:val="18"/>
                <w:szCs w:val="18"/>
                <w:b w:val="1"/>
                <w:bCs w:val="1"/>
                <w:color w:val="FFFFFF"/>
                <w:w w:val="99"/>
              </w:rPr>
              <w:t>October 28, 2023</w:t>
            </w:r>
          </w:p>
        </w:tc>
        <w:tc>
          <w:tcPr>
            <w:tcW w:w="1900" w:type="dxa"/>
            <w:vAlign w:val="bottom"/>
            <w:shd w:val="clear" w:color="auto" w:fill="0A2299"/>
          </w:tcPr>
          <w:p>
            <w:pPr>
              <w:jc w:val="right"/>
              <w:ind w:right="529"/>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c>
          <w:tcPr>
            <w:tcW w:w="140" w:type="dxa"/>
            <w:vAlign w:val="bottom"/>
            <w:shd w:val="clear" w:color="auto" w:fill="0A2299"/>
          </w:tcPr>
          <w:p>
            <w:pPr>
              <w:spacing w:after="0"/>
              <w:rPr>
                <w:sz w:val="23"/>
                <w:szCs w:val="23"/>
                <w:color w:val="auto"/>
              </w:rPr>
            </w:pPr>
          </w:p>
        </w:tc>
        <w:tc>
          <w:tcPr>
            <w:tcW w:w="1640" w:type="dxa"/>
            <w:vAlign w:val="bottom"/>
            <w:shd w:val="clear" w:color="auto" w:fill="0A2299"/>
          </w:tcPr>
          <w:p>
            <w:pPr>
              <w:jc w:val="right"/>
              <w:ind w:right="90"/>
              <w:spacing w:after="0"/>
              <w:rPr>
                <w:sz w:val="20"/>
                <w:szCs w:val="20"/>
                <w:color w:val="auto"/>
              </w:rPr>
            </w:pPr>
            <w:r>
              <w:rPr>
                <w:rFonts w:ascii="Arial" w:cs="Arial" w:eastAsia="Arial" w:hAnsi="Arial"/>
                <w:sz w:val="18"/>
                <w:szCs w:val="18"/>
                <w:b w:val="1"/>
                <w:bCs w:val="1"/>
                <w:color w:val="FFFFFF"/>
                <w:w w:val="99"/>
              </w:rPr>
              <w:t>October 29, 2022</w:t>
            </w:r>
          </w:p>
        </w:tc>
        <w:tc>
          <w:tcPr>
            <w:tcW w:w="1760" w:type="dxa"/>
            <w:vAlign w:val="bottom"/>
            <w:shd w:val="clear" w:color="auto" w:fill="0A2299"/>
          </w:tcPr>
          <w:p>
            <w:pPr>
              <w:jc w:val="right"/>
              <w:ind w:right="430"/>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3"/>
                <w:szCs w:val="23"/>
                <w:b w:val="1"/>
                <w:bCs w:val="1"/>
                <w:color w:val="FFFFFF"/>
                <w:vertAlign w:val="superscript"/>
              </w:rPr>
              <w:t>(1)</w:t>
            </w:r>
          </w:p>
        </w:tc>
      </w:tr>
      <w:tr>
        <w:trPr>
          <w:trHeight w:val="28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4,364,463</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100.0 %</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4,648,570</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2,851,261</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65.3 %</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3,008,612</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64.7 %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1,513,202</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34.7 %</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1,639,958</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35.3 %</w:t>
            </w:r>
          </w:p>
        </w:tc>
      </w:tr>
      <w:tr>
        <w:trPr>
          <w:trHeight w:val="264"/>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1,039,312</w:t>
            </w:r>
          </w:p>
        </w:tc>
        <w:tc>
          <w:tcPr>
            <w:tcW w:w="1900" w:type="dxa"/>
            <w:vAlign w:val="bottom"/>
            <w:tcBorders>
              <w:bottom w:val="single" w:sz="8" w:color="DBDBDB"/>
            </w:tcBorders>
          </w:tcPr>
          <w:p>
            <w:pPr>
              <w:jc w:val="right"/>
              <w:ind w:right="9"/>
              <w:spacing w:after="0"/>
              <w:rPr>
                <w:sz w:val="20"/>
                <w:szCs w:val="20"/>
                <w:color w:val="auto"/>
              </w:rPr>
            </w:pPr>
            <w:r>
              <w:rPr>
                <w:rFonts w:ascii="Arial" w:cs="Arial" w:eastAsia="Arial" w:hAnsi="Arial"/>
                <w:sz w:val="18"/>
                <w:szCs w:val="18"/>
                <w:b w:val="1"/>
                <w:bCs w:val="1"/>
                <w:color w:val="auto"/>
              </w:rPr>
              <w:t>23.8 %</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998,209</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21.5 %</w:t>
            </w: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473,890</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10.9 %</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641,749</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13.8 %</w:t>
            </w:r>
          </w:p>
        </w:tc>
      </w:tr>
      <w:tr>
        <w:trPr>
          <w:trHeight w:val="262"/>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33,473</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0.8 %</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34,240</w:t>
            </w:r>
          </w:p>
        </w:tc>
        <w:tc>
          <w:tcPr>
            <w:tcW w:w="17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8"/>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DBDBDB"/>
          </w:tcPr>
          <w:p>
            <w:pPr>
              <w:spacing w:after="0"/>
              <w:rPr>
                <w:sz w:val="24"/>
                <w:szCs w:val="24"/>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(11,482)</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(0.3)%</w:t>
            </w:r>
          </w:p>
        </w:tc>
        <w:tc>
          <w:tcPr>
            <w:tcW w:w="140" w:type="dxa"/>
            <w:vAlign w:val="bottom"/>
            <w:tcBorders>
              <w:bottom w:val="single" w:sz="8" w:color="auto"/>
            </w:tcBorders>
            <w:shd w:val="clear" w:color="auto" w:fill="DBDBDB"/>
          </w:tcPr>
          <w:p>
            <w:pPr>
              <w:spacing w:after="0"/>
              <w:rPr>
                <w:sz w:val="24"/>
                <w:szCs w:val="2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(4,676)</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w:t>
            </w:r>
          </w:p>
        </w:tc>
      </w:tr>
      <w:tr>
        <w:trPr>
          <w:trHeight w:val="256"/>
        </w:trPr>
        <w:tc>
          <w:tcPr>
            <w:tcW w:w="40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451,899</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10.4 %</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612,185</w:t>
            </w:r>
          </w:p>
        </w:tc>
        <w:tc>
          <w:tcPr>
            <w:tcW w:w="176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71"/>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DBDBDB"/>
          </w:tcPr>
          <w:p>
            <w:pPr>
              <w:spacing w:after="0"/>
              <w:rPr>
                <w:sz w:val="23"/>
                <w:szCs w:val="23"/>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100,876</w:t>
            </w:r>
          </w:p>
        </w:tc>
        <w:tc>
          <w:tcPr>
            <w:tcW w:w="1900" w:type="dxa"/>
            <w:vAlign w:val="bottom"/>
            <w:shd w:val="clear" w:color="auto" w:fill="DBDBDB"/>
          </w:tcPr>
          <w:p>
            <w:pPr>
              <w:jc w:val="right"/>
              <w:ind w:right="9"/>
              <w:spacing w:after="0"/>
              <w:rPr>
                <w:sz w:val="20"/>
                <w:szCs w:val="20"/>
                <w:color w:val="auto"/>
              </w:rPr>
            </w:pPr>
            <w:r>
              <w:rPr>
                <w:rFonts w:ascii="Arial" w:cs="Arial" w:eastAsia="Arial" w:hAnsi="Arial"/>
                <w:sz w:val="18"/>
                <w:szCs w:val="18"/>
                <w:b w:val="1"/>
                <w:bCs w:val="1"/>
                <w:color w:val="auto"/>
              </w:rPr>
              <w:t>2.3 %</w:t>
            </w:r>
          </w:p>
        </w:tc>
        <w:tc>
          <w:tcPr>
            <w:tcW w:w="140" w:type="dxa"/>
            <w:vAlign w:val="bottom"/>
            <w:tcBorders>
              <w:bottom w:val="single" w:sz="8" w:color="auto"/>
            </w:tcBorders>
            <w:shd w:val="clear" w:color="auto" w:fill="DBDBDB"/>
          </w:tcPr>
          <w:p>
            <w:pPr>
              <w:spacing w:after="0"/>
              <w:rPr>
                <w:sz w:val="23"/>
                <w:szCs w:val="23"/>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141,837</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3.1 %</w:t>
            </w:r>
          </w:p>
        </w:tc>
      </w:tr>
      <w:tr>
        <w:trPr>
          <w:trHeight w:val="270"/>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351,023</w:t>
            </w:r>
          </w:p>
        </w:tc>
        <w:tc>
          <w:tcPr>
            <w:tcW w:w="1900" w:type="dxa"/>
            <w:vAlign w:val="bottom"/>
          </w:tcPr>
          <w:p>
            <w:pPr>
              <w:jc w:val="right"/>
              <w:ind w:right="9"/>
              <w:spacing w:after="0"/>
              <w:rPr>
                <w:sz w:val="20"/>
                <w:szCs w:val="20"/>
                <w:color w:val="auto"/>
              </w:rPr>
            </w:pPr>
            <w:r>
              <w:rPr>
                <w:rFonts w:ascii="Arial" w:cs="Arial" w:eastAsia="Arial" w:hAnsi="Arial"/>
                <w:sz w:val="18"/>
                <w:szCs w:val="18"/>
                <w:b w:val="1"/>
                <w:bCs w:val="1"/>
                <w:color w:val="auto"/>
              </w:rPr>
              <w:t>8.0 %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470,348</w:t>
            </w:r>
          </w:p>
        </w:tc>
        <w:tc>
          <w:tcPr>
            <w:tcW w:w="176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0"/>
        </w:trPr>
        <w:tc>
          <w:tcPr>
            <w:tcW w:w="404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DBDBDB"/>
            </w:tcBorders>
          </w:tcPr>
          <w:p>
            <w:pPr>
              <w:spacing w:after="0" w:line="20" w:lineRule="exact"/>
              <w:rPr>
                <w:sz w:val="1"/>
                <w:szCs w:val="1"/>
                <w:color w:val="auto"/>
              </w:rPr>
            </w:pPr>
          </w:p>
        </w:tc>
      </w:tr>
      <w:tr>
        <w:trPr>
          <w:trHeight w:val="223"/>
        </w:trPr>
        <w:tc>
          <w:tcPr>
            <w:tcW w:w="40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20" w:type="dxa"/>
            <w:vAlign w:val="bottom"/>
            <w:shd w:val="clear" w:color="auto" w:fill="DBDBDB"/>
          </w:tcPr>
          <w:p>
            <w:pPr>
              <w:spacing w:after="0"/>
              <w:rPr>
                <w:sz w:val="19"/>
                <w:szCs w:val="19"/>
                <w:color w:val="auto"/>
              </w:rPr>
            </w:pPr>
          </w:p>
        </w:tc>
        <w:tc>
          <w:tcPr>
            <w:tcW w:w="19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4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4.63</w:t>
            </w:r>
          </w:p>
        </w:tc>
        <w:tc>
          <w:tcPr>
            <w:tcW w:w="1900" w:type="dxa"/>
            <w:vAlign w:val="bottom"/>
            <w:shd w:val="clear" w:color="auto" w:fill="DBDBDB"/>
          </w:tcPr>
          <w:p>
            <w:pPr>
              <w:spacing w:after="0"/>
              <w:rPr>
                <w:sz w:val="23"/>
                <w:szCs w:val="23"/>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5.67</w:t>
            </w:r>
          </w:p>
        </w:tc>
        <w:tc>
          <w:tcPr>
            <w:tcW w:w="1760" w:type="dxa"/>
            <w:vAlign w:val="bottom"/>
            <w:shd w:val="clear" w:color="auto" w:fill="DBDBDB"/>
          </w:tcPr>
          <w:p>
            <w:pPr>
              <w:spacing w:after="0"/>
              <w:rPr>
                <w:sz w:val="23"/>
                <w:szCs w:val="23"/>
                <w:color w:val="auto"/>
              </w:rPr>
            </w:pPr>
          </w:p>
        </w:tc>
      </w:tr>
      <w:tr>
        <w:trPr>
          <w:trHeight w:val="263"/>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4.51</w:t>
            </w:r>
          </w:p>
        </w:tc>
        <w:tc>
          <w:tcPr>
            <w:tcW w:w="19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5.54</w:t>
            </w:r>
          </w:p>
        </w:tc>
        <w:tc>
          <w:tcPr>
            <w:tcW w:w="1760" w:type="dxa"/>
            <w:vAlign w:val="bottom"/>
          </w:tcPr>
          <w:p>
            <w:pPr>
              <w:spacing w:after="0"/>
              <w:rPr>
                <w:sz w:val="22"/>
                <w:szCs w:val="22"/>
                <w:color w:val="auto"/>
              </w:rPr>
            </w:pPr>
          </w:p>
        </w:tc>
      </w:tr>
      <w:tr>
        <w:trPr>
          <w:trHeight w:val="264"/>
        </w:trPr>
        <w:tc>
          <w:tcPr>
            <w:tcW w:w="404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20" w:type="dxa"/>
            <w:vAlign w:val="bottom"/>
            <w:shd w:val="clear" w:color="auto" w:fill="DBDBDB"/>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1760" w:type="dxa"/>
            <w:vAlign w:val="bottom"/>
            <w:shd w:val="clear" w:color="auto" w:fill="DBDBDB"/>
          </w:tcPr>
          <w:p>
            <w:pPr>
              <w:spacing w:after="0"/>
              <w:rPr>
                <w:sz w:val="22"/>
                <w:szCs w:val="22"/>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BDBDB"/>
          </w:tcPr>
          <w:p>
            <w:pPr>
              <w:spacing w:after="0"/>
              <w:rPr>
                <w:sz w:val="23"/>
                <w:szCs w:val="2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75,809</w:t>
            </w:r>
          </w:p>
        </w:tc>
        <w:tc>
          <w:tcPr>
            <w:tcW w:w="19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82,901</w:t>
            </w:r>
          </w:p>
        </w:tc>
        <w:tc>
          <w:tcPr>
            <w:tcW w:w="1760" w:type="dxa"/>
            <w:vAlign w:val="bottom"/>
            <w:shd w:val="clear" w:color="auto" w:fill="DBDBDB"/>
          </w:tcPr>
          <w:p>
            <w:pPr>
              <w:spacing w:after="0"/>
              <w:rPr>
                <w:sz w:val="23"/>
                <w:szCs w:val="23"/>
                <w:color w:val="auto"/>
              </w:rPr>
            </w:pPr>
          </w:p>
        </w:tc>
      </w:tr>
      <w:tr>
        <w:trPr>
          <w:trHeight w:val="255"/>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77,893</w:t>
            </w: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84,910</w:t>
            </w:r>
          </w:p>
        </w:tc>
        <w:tc>
          <w:tcPr>
            <w:tcW w:w="1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-3118485</wp:posOffset>
            </wp:positionV>
            <wp:extent cx="45688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-3435985</wp:posOffset>
            </wp:positionV>
            <wp:extent cx="45688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31"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012"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0" w:type="dxa"/>
            <w:vAlign w:val="bottom"/>
          </w:tcPr>
          <w:p>
            <w:pPr>
              <w:spacing w:after="0"/>
              <w:rPr>
                <w:sz w:val="23"/>
                <w:szCs w:val="23"/>
                <w:color w:val="auto"/>
              </w:rPr>
            </w:pPr>
          </w:p>
        </w:tc>
        <w:tc>
          <w:tcPr>
            <w:tcW w:w="140" w:type="dxa"/>
            <w:vAlign w:val="bottom"/>
            <w:shd w:val="clear" w:color="auto" w:fill="0A2299"/>
          </w:tcPr>
          <w:p>
            <w:pPr>
              <w:spacing w:after="0"/>
              <w:rPr>
                <w:sz w:val="23"/>
                <w:szCs w:val="23"/>
                <w:color w:val="auto"/>
              </w:rPr>
            </w:pPr>
          </w:p>
        </w:tc>
        <w:tc>
          <w:tcPr>
            <w:tcW w:w="1720" w:type="dxa"/>
            <w:vAlign w:val="bottom"/>
            <w:gridSpan w:val="2"/>
            <w:shd w:val="clear" w:color="auto" w:fill="0A2299"/>
          </w:tcPr>
          <w:p>
            <w:pPr>
              <w:ind w:left="20"/>
              <w:spacing w:after="0"/>
              <w:rPr>
                <w:sz w:val="20"/>
                <w:szCs w:val="20"/>
                <w:color w:val="auto"/>
              </w:rPr>
            </w:pPr>
            <w:r>
              <w:rPr>
                <w:rFonts w:ascii="Arial" w:cs="Arial" w:eastAsia="Arial" w:hAnsi="Arial"/>
                <w:sz w:val="18"/>
                <w:szCs w:val="18"/>
                <w:b w:val="1"/>
                <w:bCs w:val="1"/>
                <w:color w:val="FFFFFF"/>
              </w:rPr>
              <w:t>October 28, 2023</w:t>
            </w:r>
          </w:p>
        </w:tc>
        <w:tc>
          <w:tcPr>
            <w:tcW w:w="140" w:type="dxa"/>
            <w:vAlign w:val="bottom"/>
            <w:shd w:val="clear" w:color="auto" w:fill="0A2299"/>
          </w:tcPr>
          <w:p>
            <w:pPr>
              <w:spacing w:after="0"/>
              <w:rPr>
                <w:sz w:val="23"/>
                <w:szCs w:val="23"/>
                <w:color w:val="auto"/>
              </w:rPr>
            </w:pPr>
          </w:p>
        </w:tc>
        <w:tc>
          <w:tcPr>
            <w:tcW w:w="1740" w:type="dxa"/>
            <w:vAlign w:val="bottom"/>
            <w:gridSpan w:val="2"/>
            <w:shd w:val="clear" w:color="auto" w:fill="0A2299"/>
          </w:tcPr>
          <w:p>
            <w:pPr>
              <w:ind w:left="40"/>
              <w:spacing w:after="0"/>
              <w:rPr>
                <w:sz w:val="20"/>
                <w:szCs w:val="20"/>
                <w:color w:val="auto"/>
              </w:rPr>
            </w:pPr>
            <w:r>
              <w:rPr>
                <w:rFonts w:ascii="Arial" w:cs="Arial" w:eastAsia="Arial" w:hAnsi="Arial"/>
                <w:sz w:val="18"/>
                <w:szCs w:val="18"/>
                <w:b w:val="1"/>
                <w:bCs w:val="1"/>
                <w:color w:val="FFFFFF"/>
              </w:rPr>
              <w:t>January 28, 2023</w:t>
            </w:r>
          </w:p>
        </w:tc>
        <w:tc>
          <w:tcPr>
            <w:tcW w:w="140" w:type="dxa"/>
            <w:vAlign w:val="bottom"/>
            <w:shd w:val="clear" w:color="auto" w:fill="0A2299"/>
          </w:tcPr>
          <w:p>
            <w:pPr>
              <w:spacing w:after="0"/>
              <w:rPr>
                <w:sz w:val="23"/>
                <w:szCs w:val="23"/>
                <w:color w:val="auto"/>
              </w:rPr>
            </w:pPr>
          </w:p>
        </w:tc>
        <w:tc>
          <w:tcPr>
            <w:tcW w:w="1660" w:type="dxa"/>
            <w:vAlign w:val="bottom"/>
            <w:shd w:val="clear" w:color="auto" w:fill="0A2299"/>
          </w:tcPr>
          <w:p>
            <w:pPr>
              <w:jc w:val="right"/>
              <w:ind w:right="90"/>
              <w:spacing w:after="0"/>
              <w:rPr>
                <w:sz w:val="20"/>
                <w:szCs w:val="20"/>
                <w:color w:val="auto"/>
              </w:rPr>
            </w:pPr>
            <w:r>
              <w:rPr>
                <w:rFonts w:ascii="Arial" w:cs="Arial" w:eastAsia="Arial" w:hAnsi="Arial"/>
                <w:sz w:val="18"/>
                <w:szCs w:val="18"/>
                <w:b w:val="1"/>
                <w:bCs w:val="1"/>
                <w:color w:val="FFFFFF"/>
              </w:rPr>
              <w:t>October 29, 2022</w:t>
            </w:r>
          </w:p>
        </w:tc>
      </w:tr>
      <w:tr>
        <w:trPr>
          <w:trHeight w:val="270"/>
        </w:trPr>
        <w:tc>
          <w:tcPr>
            <w:tcW w:w="5600" w:type="dxa"/>
            <w:vAlign w:val="bottom"/>
            <w:shd w:val="clear" w:color="auto" w:fill="DBDBDB"/>
          </w:tcPr>
          <w:p>
            <w:pPr>
              <w:ind w:left="23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274,827</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337,145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318,167</w:t>
            </w:r>
          </w:p>
        </w:tc>
      </w:tr>
      <w:tr>
        <w:trPr>
          <w:trHeight w:val="224"/>
        </w:trPr>
        <w:tc>
          <w:tcPr>
            <w:tcW w:w="5600" w:type="dxa"/>
            <w:vAlign w:val="bottom"/>
          </w:tcPr>
          <w:p>
            <w:pPr>
              <w:ind w:left="220"/>
              <w:spacing w:after="0"/>
              <w:rPr>
                <w:sz w:val="20"/>
                <w:szCs w:val="20"/>
                <w:color w:val="auto"/>
              </w:rPr>
            </w:pPr>
            <w:r>
              <w:rPr>
                <w:rFonts w:ascii="Arial" w:cs="Arial" w:eastAsia="Arial" w:hAnsi="Arial"/>
                <w:sz w:val="18"/>
                <w:szCs w:val="18"/>
                <w:color w:val="auto"/>
              </w:rPr>
              <w:t>Accounts receivable - less allowance for doubtful accounts of</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5600" w:type="dxa"/>
            <w:vAlign w:val="bottom"/>
          </w:tcPr>
          <w:p>
            <w:pPr>
              <w:ind w:left="220"/>
              <w:spacing w:after="0"/>
              <w:rPr>
                <w:sz w:val="20"/>
                <w:szCs w:val="20"/>
                <w:color w:val="auto"/>
              </w:rPr>
            </w:pPr>
            <w:r>
              <w:rPr>
                <w:rFonts w:ascii="Arial" w:cs="Arial" w:eastAsia="Arial" w:hAnsi="Arial"/>
                <w:sz w:val="18"/>
                <w:szCs w:val="18"/>
                <w:color w:val="auto"/>
              </w:rPr>
              <w:t>$3,102, $2,004 and $1,449, respectively</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17,706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16,503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15,998</w:t>
            </w: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Merchandise inventories, net</w:t>
            </w: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1,492,219</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1,283,517</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1,495,464</w:t>
            </w: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110,823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47,747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44,241</w:t>
            </w: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DBDBDB"/>
          </w:tcPr>
          <w:p>
            <w:pPr>
              <w:spacing w:after="0"/>
              <w:rPr>
                <w:sz w:val="24"/>
                <w:szCs w:val="24"/>
                <w:color w:val="auto"/>
              </w:rPr>
            </w:pPr>
          </w:p>
        </w:tc>
        <w:tc>
          <w:tcPr>
            <w:tcW w:w="17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1,763</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1,763</w:t>
            </w:r>
          </w:p>
        </w:tc>
      </w:tr>
      <w:tr>
        <w:trPr>
          <w:trHeight w:val="256"/>
        </w:trPr>
        <w:tc>
          <w:tcPr>
            <w:tcW w:w="5600" w:type="dxa"/>
            <w:vAlign w:val="bottom"/>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1,895,575</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1,686,675</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1,875,633</w:t>
            </w:r>
          </w:p>
        </w:tc>
      </w:tr>
      <w:tr>
        <w:trPr>
          <w:trHeight w:val="223"/>
        </w:trPr>
        <w:tc>
          <w:tcPr>
            <w:tcW w:w="56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429,648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351,424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354,014</w:t>
            </w:r>
          </w:p>
        </w:tc>
      </w:tr>
      <w:tr>
        <w:trPr>
          <w:trHeight w:val="278"/>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RIGHT-OF-USE ASSETS</w:t>
            </w: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1,126,825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1,100,085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1,100,522</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578,071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577,716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577,571</w:t>
            </w:r>
          </w:p>
        </w:tc>
      </w:tr>
      <w:tr>
        <w:trPr>
          <w:trHeight w:val="278"/>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GOODWILL</w:t>
            </w: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861,920</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861,920</w:t>
            </w:r>
          </w:p>
        </w:tc>
      </w:tr>
      <w:tr>
        <w:trPr>
          <w:trHeight w:val="263"/>
        </w:trPr>
        <w:tc>
          <w:tcPr>
            <w:tcW w:w="560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29,231</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12,804</w:t>
            </w:r>
          </w:p>
        </w:tc>
      </w:tr>
      <w:tr>
        <w:trPr>
          <w:trHeight w:val="295"/>
        </w:trPr>
        <w:tc>
          <w:tcPr>
            <w:tcW w:w="56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4,921,270</w:t>
            </w:r>
          </w:p>
        </w:tc>
        <w:tc>
          <w:tcPr>
            <w:tcW w:w="8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4,595,439</w:t>
            </w:r>
          </w:p>
        </w:tc>
        <w:tc>
          <w:tcPr>
            <w:tcW w:w="8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4,782,464</w:t>
            </w:r>
          </w:p>
        </w:tc>
      </w:tr>
      <w:tr>
        <w:trPr>
          <w:trHeight w:val="20"/>
        </w:trPr>
        <w:tc>
          <w:tcPr>
            <w:tcW w:w="56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70"/>
        </w:trPr>
        <w:tc>
          <w:tcPr>
            <w:tcW w:w="560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r>
      <w:tr>
        <w:trPr>
          <w:trHeight w:val="262"/>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820,428</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686,472</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840,585</w:t>
            </w: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232,046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240,169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259,179</w:t>
            </w: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Current lease liabilities</w:t>
            </w: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117,141</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109,075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88,447</w:t>
            </w:r>
          </w:p>
        </w:tc>
      </w:tr>
      <w:tr>
        <w:trPr>
          <w:trHeight w:val="264"/>
        </w:trPr>
        <w:tc>
          <w:tcPr>
            <w:tcW w:w="56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70"/>
        </w:trPr>
        <w:tc>
          <w:tcPr>
            <w:tcW w:w="560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1,172,615</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1,038,716</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1,191,211</w:t>
            </w:r>
          </w:p>
        </w:tc>
      </w:t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70"/>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LONG-TERM DEBT, NET</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583,364</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584,456</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682,803</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1,095,812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1,072,192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1,093,909</w:t>
            </w:r>
          </w:p>
        </w:tc>
      </w:tr>
      <w:tr>
        <w:trPr>
          <w:trHeight w:val="278"/>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40" w:type="dxa"/>
            <w:vAlign w:val="bottom"/>
            <w:shd w:val="clear" w:color="auto" w:fill="DBDBDB"/>
          </w:tcPr>
          <w:p>
            <w:pPr>
              <w:spacing w:after="0"/>
              <w:rPr>
                <w:sz w:val="24"/>
                <w:szCs w:val="2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264,565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259,043</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242,843</w:t>
            </w:r>
          </w:p>
        </w:tc>
      </w:tr>
      <w:tr>
        <w:trPr>
          <w:trHeight w:val="264"/>
        </w:trPr>
        <w:tc>
          <w:tcPr>
            <w:tcW w:w="560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11,827</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12,779</w:t>
            </w:r>
          </w:p>
        </w:tc>
      </w:tr>
      <w:tr>
        <w:trPr>
          <w:trHeight w:val="263"/>
        </w:trPr>
        <w:tc>
          <w:tcPr>
            <w:tcW w:w="560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DBDBDB"/>
          </w:tcPr>
          <w:p>
            <w:pPr>
              <w:spacing w:after="0"/>
              <w:rPr>
                <w:sz w:val="22"/>
                <w:szCs w:val="2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3,128,183</w:t>
            </w:r>
          </w:p>
        </w:tc>
        <w:tc>
          <w:tcPr>
            <w:tcW w:w="8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2,967,133</w:t>
            </w:r>
          </w:p>
        </w:tc>
        <w:tc>
          <w:tcPr>
            <w:tcW w:w="8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3,223,545</w:t>
            </w:r>
          </w:p>
        </w:tc>
      </w:tr>
      <w:tr>
        <w:trPr>
          <w:trHeight w:val="189"/>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70"/>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70"/>
        </w:trPr>
        <w:tc>
          <w:tcPr>
            <w:tcW w:w="5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r>
      <w:tr>
        <w:trPr>
          <w:trHeight w:val="224"/>
        </w:trPr>
        <w:tc>
          <w:tcPr>
            <w:tcW w:w="5600" w:type="dxa"/>
            <w:vAlign w:val="bottom"/>
          </w:tcPr>
          <w:p>
            <w:pPr>
              <w:ind w:left="220"/>
              <w:spacing w:after="0"/>
              <w:rPr>
                <w:sz w:val="20"/>
                <w:szCs w:val="20"/>
                <w:color w:val="auto"/>
              </w:rPr>
            </w:pPr>
            <w:r>
              <w:rPr>
                <w:rFonts w:ascii="Arial" w:cs="Arial" w:eastAsia="Arial" w:hAnsi="Arial"/>
                <w:sz w:val="18"/>
                <w:szCs w:val="18"/>
                <w:color w:val="auto"/>
              </w:rPr>
              <w:t>Preferred stock, $0.01 par value, authorized 50,000,000 shares;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5600" w:type="dxa"/>
            <w:vAlign w:val="bottom"/>
          </w:tcPr>
          <w:p>
            <w:pPr>
              <w:ind w:left="220"/>
              <w:spacing w:after="0"/>
              <w:rPr>
                <w:sz w:val="20"/>
                <w:szCs w:val="20"/>
                <w:color w:val="auto"/>
              </w:rPr>
            </w:pPr>
            <w:r>
              <w:rPr>
                <w:rFonts w:ascii="Arial" w:cs="Arial" w:eastAsia="Arial" w:hAnsi="Arial"/>
                <w:sz w:val="18"/>
                <w:szCs w:val="18"/>
                <w:color w:val="auto"/>
              </w:rPr>
              <w:t>none issued and outstanding</w:t>
            </w:r>
          </w:p>
        </w:tc>
        <w:tc>
          <w:tcPr>
            <w:tcW w:w="14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Common stock, $0.01 par value, authorized 300,000,000 shares;</w:t>
            </w:r>
          </w:p>
        </w:tc>
        <w:tc>
          <w:tcPr>
            <w:tcW w:w="140" w:type="dxa"/>
            <w:vAlign w:val="bottom"/>
            <w:shd w:val="clear" w:color="auto" w:fill="DBDBDB"/>
          </w:tcPr>
          <w:p>
            <w:pPr>
              <w:spacing w:after="0"/>
              <w:rPr>
                <w:sz w:val="20"/>
                <w:szCs w:val="20"/>
                <w:color w:val="auto"/>
              </w:rPr>
            </w:pPr>
          </w:p>
        </w:tc>
        <w:tc>
          <w:tcPr>
            <w:tcW w:w="16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60" w:type="dxa"/>
            <w:vAlign w:val="bottom"/>
            <w:shd w:val="clear" w:color="auto" w:fill="DBDBDB"/>
          </w:tcPr>
          <w:p>
            <w:pPr>
              <w:spacing w:after="0"/>
              <w:rPr>
                <w:sz w:val="20"/>
                <w:szCs w:val="20"/>
                <w:color w:val="auto"/>
              </w:rPr>
            </w:pPr>
          </w:p>
        </w:tc>
      </w:tr>
      <w:tr>
        <w:trPr>
          <w:trHeight w:val="216"/>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74,143,759; 76,711,720 and 77,959,530 issued and outstanding</w:t>
            </w: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r>
      <w:tr>
        <w:trPr>
          <w:trHeight w:val="216"/>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as of October 28, 2023, January 28, 2023, and October 29, 2022,</w:t>
            </w: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r>
      <w:tr>
        <w:trPr>
          <w:trHeight w:val="262"/>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741</w:t>
            </w: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779</w:t>
            </w:r>
          </w:p>
        </w:tc>
      </w:tr>
      <w:tr>
        <w:trPr>
          <w:trHeight w:val="263"/>
        </w:trPr>
        <w:tc>
          <w:tcPr>
            <w:tcW w:w="56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239,447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216,209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203,734</w:t>
            </w:r>
          </w:p>
        </w:tc>
      </w:tr>
      <w:tr>
        <w:trPr>
          <w:trHeight w:val="278"/>
        </w:trPr>
        <w:tc>
          <w:tcPr>
            <w:tcW w:w="56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shd w:val="clear" w:color="auto" w:fill="DBDBDB"/>
          </w:tcPr>
          <w:p>
            <w:pPr>
              <w:spacing w:after="0"/>
              <w:rPr>
                <w:sz w:val="24"/>
                <w:szCs w:val="2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1,552,899</w:t>
            </w:r>
          </w:p>
        </w:tc>
        <w:tc>
          <w:tcPr>
            <w:tcW w:w="80" w:type="dxa"/>
            <w:vAlign w:val="bottom"/>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1,411,330</w:t>
            </w:r>
          </w:p>
        </w:tc>
        <w:tc>
          <w:tcPr>
            <w:tcW w:w="80" w:type="dxa"/>
            <w:vAlign w:val="bottom"/>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1,354,406</w:t>
            </w:r>
          </w:p>
        </w:tc>
      </w:tr>
      <w:tr>
        <w:trPr>
          <w:trHeight w:val="257"/>
        </w:trPr>
        <w:tc>
          <w:tcPr>
            <w:tcW w:w="5600" w:type="dxa"/>
            <w:vAlign w:val="bottom"/>
            <w:tcBorders>
              <w:bottom w:val="single" w:sz="8" w:color="DBDBDB"/>
            </w:tcBorders>
          </w:tcPr>
          <w:p>
            <w:pPr>
              <w:ind w:left="44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1,793,087</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1,628,306</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1,558,919</w:t>
            </w:r>
          </w:p>
        </w:tc>
      </w:tr>
      <w:tr>
        <w:trPr>
          <w:trHeight w:val="295"/>
        </w:trPr>
        <w:tc>
          <w:tcPr>
            <w:tcW w:w="56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4,921,270</w:t>
            </w:r>
          </w:p>
        </w:tc>
        <w:tc>
          <w:tcPr>
            <w:tcW w:w="8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4,595,439</w:t>
            </w:r>
          </w:p>
        </w:tc>
        <w:tc>
          <w:tcPr>
            <w:tcW w:w="8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4,782,464</w:t>
            </w:r>
          </w:p>
        </w:tc>
      </w:tr>
      <w:tr>
        <w:trPr>
          <w:trHeight w:val="20"/>
        </w:trPr>
        <w:tc>
          <w:tcPr>
            <w:tcW w:w="56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-7225665</wp:posOffset>
            </wp:positionV>
            <wp:extent cx="3522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ectPr>
          <w:pgSz w:w="11900" w:h="16838" w:orient="portrait"/>
          <w:cols w:equalWidth="0" w:num="1">
            <w:col w:w="11140"/>
          </w:cols>
          <w:pgMar w:left="380" w:top="769" w:right="37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40"/>
          </w:cols>
          <w:pgMar w:left="380" w:top="769" w:right="37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00" w:type="dxa"/>
            <w:vAlign w:val="bottom"/>
          </w:tcPr>
          <w:p>
            <w:pPr>
              <w:spacing w:after="0"/>
              <w:rPr>
                <w:sz w:val="23"/>
                <w:szCs w:val="23"/>
                <w:color w:val="auto"/>
              </w:rPr>
            </w:pPr>
          </w:p>
        </w:tc>
        <w:tc>
          <w:tcPr>
            <w:tcW w:w="140" w:type="dxa"/>
            <w:vAlign w:val="bottom"/>
            <w:shd w:val="clear" w:color="auto" w:fill="0A2299"/>
          </w:tcPr>
          <w:p>
            <w:pPr>
              <w:spacing w:after="0"/>
              <w:rPr>
                <w:sz w:val="23"/>
                <w:szCs w:val="23"/>
                <w:color w:val="auto"/>
              </w:rPr>
            </w:pPr>
          </w:p>
        </w:tc>
        <w:tc>
          <w:tcPr>
            <w:tcW w:w="3540" w:type="dxa"/>
            <w:vAlign w:val="bottom"/>
            <w:gridSpan w:val="4"/>
            <w:shd w:val="clear" w:color="auto" w:fill="0A2299"/>
          </w:tcPr>
          <w:p>
            <w:pPr>
              <w:jc w:val="right"/>
              <w:ind w:right="670"/>
              <w:spacing w:after="0"/>
              <w:rPr>
                <w:sz w:val="20"/>
                <w:szCs w:val="20"/>
                <w:color w:val="auto"/>
              </w:rPr>
            </w:pPr>
            <w:r>
              <w:rPr>
                <w:rFonts w:ascii="Arial" w:cs="Arial" w:eastAsia="Arial" w:hAnsi="Arial"/>
                <w:sz w:val="18"/>
                <w:szCs w:val="18"/>
                <w:b w:val="1"/>
                <w:bCs w:val="1"/>
                <w:color w:val="FFFFFF"/>
              </w:rPr>
              <w:t>Thirty-Nine Weeks Ended</w:t>
            </w:r>
          </w:p>
        </w:tc>
      </w:tr>
      <w:tr>
        <w:trPr>
          <w:trHeight w:val="287"/>
        </w:trPr>
        <w:tc>
          <w:tcPr>
            <w:tcW w:w="7500" w:type="dxa"/>
            <w:vAlign w:val="bottom"/>
          </w:tcPr>
          <w:p>
            <w:pPr>
              <w:spacing w:after="0"/>
              <w:rPr>
                <w:sz w:val="24"/>
                <w:szCs w:val="24"/>
                <w:color w:val="auto"/>
              </w:rPr>
            </w:pPr>
          </w:p>
        </w:tc>
        <w:tc>
          <w:tcPr>
            <w:tcW w:w="140" w:type="dxa"/>
            <w:vAlign w:val="bottom"/>
            <w:shd w:val="clear" w:color="auto" w:fill="0A2299"/>
          </w:tcPr>
          <w:p>
            <w:pPr>
              <w:spacing w:after="0"/>
              <w:rPr>
                <w:sz w:val="24"/>
                <w:szCs w:val="24"/>
                <w:color w:val="auto"/>
              </w:rPr>
            </w:pPr>
          </w:p>
        </w:tc>
        <w:tc>
          <w:tcPr>
            <w:tcW w:w="1740" w:type="dxa"/>
            <w:vAlign w:val="bottom"/>
            <w:gridSpan w:val="2"/>
            <w:shd w:val="clear" w:color="auto" w:fill="0A2299"/>
          </w:tcPr>
          <w:p>
            <w:pPr>
              <w:ind w:left="40"/>
              <w:spacing w:after="0"/>
              <w:rPr>
                <w:sz w:val="20"/>
                <w:szCs w:val="20"/>
                <w:color w:val="auto"/>
              </w:rPr>
            </w:pPr>
            <w:r>
              <w:rPr>
                <w:rFonts w:ascii="Arial" w:cs="Arial" w:eastAsia="Arial" w:hAnsi="Arial"/>
                <w:sz w:val="18"/>
                <w:szCs w:val="18"/>
                <w:b w:val="1"/>
                <w:bCs w:val="1"/>
                <w:color w:val="FFFFFF"/>
              </w:rPr>
              <w:t>October 28, 2023</w:t>
            </w:r>
          </w:p>
        </w:tc>
        <w:tc>
          <w:tcPr>
            <w:tcW w:w="140" w:type="dxa"/>
            <w:vAlign w:val="bottom"/>
            <w:shd w:val="clear" w:color="auto" w:fill="0A2299"/>
          </w:tcPr>
          <w:p>
            <w:pPr>
              <w:spacing w:after="0"/>
              <w:rPr>
                <w:sz w:val="24"/>
                <w:szCs w:val="24"/>
                <w:color w:val="auto"/>
              </w:rPr>
            </w:pPr>
          </w:p>
        </w:tc>
        <w:tc>
          <w:tcPr>
            <w:tcW w:w="1660" w:type="dxa"/>
            <w:vAlign w:val="bottom"/>
            <w:shd w:val="clear" w:color="auto" w:fill="0A2299"/>
          </w:tcPr>
          <w:p>
            <w:pPr>
              <w:jc w:val="right"/>
              <w:ind w:right="90"/>
              <w:spacing w:after="0"/>
              <w:rPr>
                <w:sz w:val="20"/>
                <w:szCs w:val="20"/>
                <w:color w:val="auto"/>
              </w:rPr>
            </w:pPr>
            <w:r>
              <w:rPr>
                <w:rFonts w:ascii="Arial" w:cs="Arial" w:eastAsia="Arial" w:hAnsi="Arial"/>
                <w:sz w:val="18"/>
                <w:szCs w:val="18"/>
                <w:b w:val="1"/>
                <w:bCs w:val="1"/>
                <w:color w:val="FFFFFF"/>
              </w:rPr>
              <w:t>October 29, 2022</w:t>
            </w:r>
          </w:p>
        </w:tc>
      </w:tr>
      <w:tr>
        <w:trPr>
          <w:trHeight w:val="270"/>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351,023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470,348</w:t>
            </w:r>
          </w:p>
        </w:tc>
      </w:tr>
      <w:tr>
        <w:trPr>
          <w:trHeight w:val="258"/>
        </w:trPr>
        <w:tc>
          <w:tcPr>
            <w:tcW w:w="75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DBDBDB"/>
            </w:tcBorders>
            <w:shd w:val="clear" w:color="auto" w:fill="DBDBDB"/>
          </w:tcPr>
          <w:p>
            <w:pPr>
              <w:spacing w:after="0"/>
              <w:rPr>
                <w:sz w:val="22"/>
                <w:szCs w:val="22"/>
                <w:color w:val="auto"/>
              </w:rPr>
            </w:pPr>
          </w:p>
        </w:tc>
        <w:tc>
          <w:tcPr>
            <w:tcW w:w="1660" w:type="dxa"/>
            <w:vAlign w:val="bottom"/>
            <w:tcBorders>
              <w:bottom w:val="single" w:sz="8" w:color="DBDBDB"/>
            </w:tcBorders>
            <w:shd w:val="clear" w:color="auto" w:fill="DBDBDB"/>
          </w:tcPr>
          <w:p>
            <w:pPr>
              <w:spacing w:after="0"/>
              <w:rPr>
                <w:sz w:val="22"/>
                <w:szCs w:val="22"/>
                <w:color w:val="auto"/>
              </w:rPr>
            </w:pPr>
          </w:p>
        </w:tc>
        <w:tc>
          <w:tcPr>
            <w:tcW w:w="8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DBDBDB"/>
            </w:tcBorders>
            <w:shd w:val="clear" w:color="auto" w:fill="DBDBDB"/>
          </w:tcPr>
          <w:p>
            <w:pPr>
              <w:spacing w:after="0"/>
              <w:rPr>
                <w:sz w:val="22"/>
                <w:szCs w:val="22"/>
                <w:color w:val="auto"/>
              </w:rPr>
            </w:pPr>
          </w:p>
        </w:tc>
        <w:tc>
          <w:tcPr>
            <w:tcW w:w="1660" w:type="dxa"/>
            <w:vAlign w:val="bottom"/>
            <w:tcBorders>
              <w:bottom w:val="single" w:sz="8" w:color="DBDBDB"/>
            </w:tcBorders>
            <w:shd w:val="clear" w:color="auto" w:fill="DBDBDB"/>
          </w:tcPr>
          <w:p>
            <w:pPr>
              <w:spacing w:after="0"/>
              <w:rPr>
                <w:sz w:val="22"/>
                <w:szCs w:val="22"/>
                <w:color w:val="auto"/>
              </w:rPr>
            </w:pP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79,394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78,852</w:t>
            </w:r>
          </w:p>
        </w:tc>
      </w:tr>
      <w:tr>
        <w:trPr>
          <w:trHeight w:val="278"/>
        </w:trPr>
        <w:tc>
          <w:tcPr>
            <w:tcW w:w="75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Non-cash lease expense</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4,945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635</w:t>
            </w: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26,128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15,486</w:t>
            </w:r>
          </w:p>
        </w:tc>
      </w:tr>
      <w:tr>
        <w:trPr>
          <w:trHeight w:val="278"/>
        </w:trPr>
        <w:tc>
          <w:tcPr>
            <w:tcW w:w="75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Amortization of deferred loan and other costs</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2,328</w:t>
            </w:r>
          </w:p>
        </w:tc>
      </w:tr>
      <w:tr>
        <w:trPr>
          <w:trHeight w:val="263"/>
        </w:trPr>
        <w:tc>
          <w:tcPr>
            <w:tcW w:w="75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5,522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25,631</w:t>
            </w:r>
          </w:p>
        </w:tc>
      </w:tr>
      <w:tr>
        <w:trPr>
          <w:trHeight w:val="278"/>
        </w:trPr>
        <w:tc>
          <w:tcPr>
            <w:tcW w:w="75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Gain on disposal of property and equipment</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(363)</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500" w:type="dxa"/>
            <w:vAlign w:val="bottom"/>
          </w:tcPr>
          <w:p>
            <w:pPr>
              <w:ind w:left="44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(1,203)</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3,720</w:t>
            </w:r>
          </w:p>
        </w:tc>
      </w:tr>
      <w:tr>
        <w:trPr>
          <w:trHeight w:val="263"/>
        </w:trPr>
        <w:tc>
          <w:tcPr>
            <w:tcW w:w="7500" w:type="dxa"/>
            <w:vAlign w:val="bottom"/>
          </w:tcPr>
          <w:p>
            <w:pPr>
              <w:ind w:left="660"/>
              <w:spacing w:after="0"/>
              <w:rPr>
                <w:sz w:val="20"/>
                <w:szCs w:val="20"/>
                <w:color w:val="auto"/>
              </w:rPr>
            </w:pPr>
            <w:r>
              <w:rPr>
                <w:rFonts w:ascii="Arial" w:cs="Arial" w:eastAsia="Arial" w:hAnsi="Arial"/>
                <w:sz w:val="18"/>
                <w:szCs w:val="18"/>
                <w:color w:val="auto"/>
              </w:rPr>
              <w:t>Merchandise inventories, net</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(208,702)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(323,656)</w:t>
            </w:r>
          </w:p>
        </w:tc>
      </w:tr>
      <w:tr>
        <w:trPr>
          <w:trHeight w:val="278"/>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(59,234)</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798</w:t>
            </w:r>
          </w:p>
        </w:tc>
      </w:tr>
      <w:tr>
        <w:trPr>
          <w:trHeight w:val="263"/>
        </w:trPr>
        <w:tc>
          <w:tcPr>
            <w:tcW w:w="7500" w:type="dxa"/>
            <w:vAlign w:val="bottom"/>
          </w:tcPr>
          <w:p>
            <w:pPr>
              <w:ind w:left="66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(12,471)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(8,987)</w:t>
            </w:r>
          </w:p>
        </w:tc>
      </w:tr>
      <w:tr>
        <w:trPr>
          <w:trHeight w:val="278"/>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128,301</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95,183</w:t>
            </w:r>
          </w:p>
        </w:tc>
      </w:tr>
      <w:tr>
        <w:trPr>
          <w:trHeight w:val="263"/>
        </w:trPr>
        <w:tc>
          <w:tcPr>
            <w:tcW w:w="7500" w:type="dxa"/>
            <w:vAlign w:val="bottom"/>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(5,508)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(39,196)</w:t>
            </w:r>
          </w:p>
        </w:tc>
      </w:tr>
      <w:tr>
        <w:trPr>
          <w:trHeight w:val="278"/>
        </w:trPr>
        <w:tc>
          <w:tcPr>
            <w:tcW w:w="7500" w:type="dxa"/>
            <w:vAlign w:val="bottom"/>
            <w:shd w:val="clear" w:color="auto" w:fill="DBDBDB"/>
          </w:tcPr>
          <w:p>
            <w:pPr>
              <w:ind w:left="66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(7,910)</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(12,332)</w:t>
            </w:r>
          </w:p>
        </w:tc>
      </w:tr>
      <w:tr>
        <w:trPr>
          <w:trHeight w:val="263"/>
        </w:trPr>
        <w:tc>
          <w:tcPr>
            <w:tcW w:w="7500" w:type="dxa"/>
            <w:vAlign w:val="bottom"/>
            <w:tcBorders>
              <w:bottom w:val="single" w:sz="8" w:color="DBDBDB"/>
            </w:tcBorders>
          </w:tcPr>
          <w:p>
            <w:pPr>
              <w:ind w:left="6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263"/>
        </w:trPr>
        <w:tc>
          <w:tcPr>
            <w:tcW w:w="750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301,042</w:t>
            </w:r>
          </w:p>
        </w:tc>
        <w:tc>
          <w:tcPr>
            <w:tcW w:w="8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309,169</w:t>
            </w:r>
          </w:p>
        </w:tc>
      </w:tr>
      <w:tr>
        <w:trPr>
          <w:trHeight w:val="243"/>
        </w:trPr>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(151,963)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(79,454)</w:t>
            </w:r>
          </w:p>
        </w:tc>
      </w:tr>
      <w:tr>
        <w:trPr>
          <w:trHeight w:val="278"/>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Purchases of intangible assets</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(354)</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w:t>
            </w:r>
          </w:p>
        </w:tc>
      </w:tr>
      <w:tr>
        <w:trPr>
          <w:trHeight w:val="264"/>
        </w:trPr>
        <w:tc>
          <w:tcPr>
            <w:tcW w:w="75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2,126</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500" w:type="dxa"/>
            <w:vAlign w:val="bottom"/>
            <w:shd w:val="clear" w:color="auto" w:fill="DBDBDB"/>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(150,191)</w:t>
            </w:r>
          </w:p>
        </w:tc>
        <w:tc>
          <w:tcPr>
            <w:tcW w:w="8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(79,811)</w:t>
            </w:r>
          </w:p>
        </w:tc>
      </w:tr>
      <w:tr>
        <w:trPr>
          <w:trHeight w:val="243"/>
        </w:trPr>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60" w:type="dxa"/>
            <w:vAlign w:val="bottom"/>
            <w:shd w:val="clear" w:color="auto" w:fill="DBDBDB"/>
          </w:tcPr>
          <w:p>
            <w:pPr>
              <w:spacing w:after="0"/>
              <w:rPr>
                <w:sz w:val="23"/>
                <w:szCs w:val="23"/>
                <w:color w:val="auto"/>
              </w:rPr>
            </w:pP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Repayment of Term Loan</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(2,250)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78"/>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13,444</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11,559</w:t>
            </w: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under employee stock purchase program</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2,887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2,797</w:t>
            </w:r>
          </w:p>
        </w:tc>
      </w:tr>
      <w:tr>
        <w:trPr>
          <w:trHeight w:val="278"/>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(6,635)</w:t>
            </w:r>
          </w:p>
        </w:tc>
        <w:tc>
          <w:tcPr>
            <w:tcW w:w="8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(1,078)</w:t>
            </w:r>
          </w:p>
        </w:tc>
      </w:tr>
      <w:tr>
        <w:trPr>
          <w:trHeight w:val="263"/>
        </w:trPr>
        <w:tc>
          <w:tcPr>
            <w:tcW w:w="7500" w:type="dxa"/>
            <w:vAlign w:val="bottom"/>
          </w:tcPr>
          <w:p>
            <w:pPr>
              <w:ind w:left="220"/>
              <w:spacing w:after="0"/>
              <w:rPr>
                <w:sz w:val="20"/>
                <w:szCs w:val="20"/>
                <w:color w:val="auto"/>
              </w:rPr>
            </w:pPr>
            <w:r>
              <w:rPr>
                <w:rFonts w:ascii="Arial" w:cs="Arial" w:eastAsia="Arial" w:hAnsi="Arial"/>
                <w:sz w:val="18"/>
                <w:szCs w:val="18"/>
                <w:color w:val="auto"/>
              </w:rPr>
              <w:t>Repurchase of common stock for retirement</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(200,072)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(389,436)</w:t>
            </w:r>
          </w:p>
        </w:tc>
      </w:tr>
      <w:tr>
        <w:trPr>
          <w:trHeight w:val="278"/>
        </w:trPr>
        <w:tc>
          <w:tcPr>
            <w:tcW w:w="7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auto"/>
            </w:tcBorders>
            <w:shd w:val="clear" w:color="auto" w:fill="DBDBDB"/>
          </w:tcPr>
          <w:p>
            <w:pPr>
              <w:spacing w:after="0"/>
              <w:rPr>
                <w:sz w:val="24"/>
                <w:szCs w:val="24"/>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(20,543)</w:t>
            </w:r>
          </w:p>
        </w:tc>
        <w:tc>
          <w:tcPr>
            <w:tcW w:w="80" w:type="dxa"/>
            <w:vAlign w:val="bottom"/>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(18,781)</w:t>
            </w:r>
          </w:p>
        </w:tc>
      </w:tr>
      <w:tr>
        <w:trPr>
          <w:trHeight w:val="257"/>
        </w:trPr>
        <w:tc>
          <w:tcPr>
            <w:tcW w:w="7500" w:type="dxa"/>
            <w:vAlign w:val="bottom"/>
            <w:tcBorders>
              <w:bottom w:val="single" w:sz="8" w:color="DBDBDB"/>
            </w:tcBorders>
          </w:tcPr>
          <w:p>
            <w:pPr>
              <w:ind w:left="8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(213,169)</w:t>
            </w:r>
          </w:p>
        </w:tc>
        <w:tc>
          <w:tcPr>
            <w:tcW w:w="8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(397,189)</w:t>
            </w:r>
          </w:p>
        </w:tc>
      </w:tr>
      <w:tr>
        <w:trPr>
          <w:trHeight w:val="243"/>
        </w:trPr>
        <w:tc>
          <w:tcPr>
            <w:tcW w:w="75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60" w:type="dxa"/>
            <w:vAlign w:val="bottom"/>
            <w:shd w:val="clear" w:color="auto" w:fill="DBDBDB"/>
          </w:tcPr>
          <w:p>
            <w:pPr>
              <w:spacing w:after="0"/>
              <w:rPr>
                <w:sz w:val="21"/>
                <w:szCs w:val="21"/>
                <w:color w:val="auto"/>
              </w:rPr>
            </w:pPr>
          </w:p>
        </w:tc>
      </w:tr>
      <w:tr>
        <w:trPr>
          <w:trHeight w:val="263"/>
        </w:trPr>
        <w:tc>
          <w:tcPr>
            <w:tcW w:w="75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(62,318)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(167,831)</w:t>
            </w:r>
          </w:p>
        </w:tc>
      </w:tr>
      <w:tr>
        <w:trPr>
          <w:trHeight w:val="271"/>
        </w:trPr>
        <w:tc>
          <w:tcPr>
            <w:tcW w:w="7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Borders>
              <w:bottom w:val="single" w:sz="8" w:color="auto"/>
            </w:tcBorders>
            <w:shd w:val="clear" w:color="auto" w:fill="DBDBDB"/>
          </w:tcPr>
          <w:p>
            <w:pPr>
              <w:spacing w:after="0"/>
              <w:rPr>
                <w:sz w:val="23"/>
                <w:szCs w:val="23"/>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337,145</w:t>
            </w:r>
          </w:p>
        </w:tc>
        <w:tc>
          <w:tcPr>
            <w:tcW w:w="80" w:type="dxa"/>
            <w:vAlign w:val="bottom"/>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485,998</w:t>
            </w:r>
          </w:p>
        </w:tc>
      </w:tr>
      <w:tr>
        <w:trPr>
          <w:trHeight w:val="270"/>
        </w:trPr>
        <w:tc>
          <w:tcPr>
            <w:tcW w:w="75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274,827</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318,167</w:t>
            </w: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-6557010</wp:posOffset>
            </wp:positionV>
            <wp:extent cx="23399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-6737350</wp:posOffset>
            </wp:positionV>
            <wp:extent cx="23399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180"/>
          </w:cols>
          <w:pgMar w:left="360" w:top="769"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180"/>
          </w:cols>
          <w:pgMar w:left="360" w:top="769" w:right="359" w:bottom="1440" w:gutter="0" w:footer="0" w:header="0"/>
          <w:type w:val="continuous"/>
        </w:sectPr>
      </w:pPr>
    </w:p>
    <w:bookmarkStart w:id="11" w:name="page12"/>
    <w:bookmarkEnd w:id="11"/>
    <w:p>
      <w:pPr>
        <w:jc w:val="center"/>
        <w:ind w:left="340" w:right="2640"/>
        <w:spacing w:after="0" w:line="284" w:lineRule="auto"/>
        <w:rPr>
          <w:sz w:val="20"/>
          <w:szCs w:val="20"/>
          <w:color w:val="auto"/>
        </w:rPr>
      </w:pPr>
      <w:r>
        <w:rPr>
          <w:rFonts w:ascii="Arial" w:cs="Arial" w:eastAsia="Arial" w:hAnsi="Arial"/>
          <w:sz w:val="18"/>
          <w:szCs w:val="18"/>
          <w:b w:val="1"/>
          <w:bCs w:val="1"/>
          <w:color w:val="auto"/>
        </w:rPr>
        <w:t>ACADEMY SPORTS AND OUTDOORS, INC. RECONCILIATIONS OF GAAP TO NON-GAAP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Adjusted EBIT in the following table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3360" w:type="dxa"/>
            <w:vAlign w:val="bottom"/>
            <w:gridSpan w:val="5"/>
            <w:shd w:val="clear" w:color="auto" w:fill="0A2299"/>
          </w:tcPr>
          <w:p>
            <w:pPr>
              <w:ind w:left="700"/>
              <w:spacing w:after="0"/>
              <w:rPr>
                <w:sz w:val="20"/>
                <w:szCs w:val="20"/>
                <w:color w:val="auto"/>
              </w:rPr>
            </w:pPr>
            <w:r>
              <w:rPr>
                <w:rFonts w:ascii="Arial" w:cs="Arial" w:eastAsia="Arial" w:hAnsi="Arial"/>
                <w:sz w:val="16"/>
                <w:szCs w:val="16"/>
                <w:b w:val="1"/>
                <w:bCs w:val="1"/>
                <w:color w:val="FFFFFF"/>
              </w:rPr>
              <w:t>Thirteen Weeks Ended</w:t>
            </w:r>
          </w:p>
        </w:tc>
        <w:tc>
          <w:tcPr>
            <w:tcW w:w="160" w:type="dxa"/>
            <w:vAlign w:val="bottom"/>
            <w:shd w:val="clear" w:color="auto" w:fill="0A2299"/>
          </w:tcPr>
          <w:p>
            <w:pPr>
              <w:spacing w:after="0"/>
              <w:rPr>
                <w:sz w:val="21"/>
                <w:szCs w:val="21"/>
                <w:color w:val="auto"/>
              </w:rPr>
            </w:pPr>
          </w:p>
        </w:tc>
        <w:tc>
          <w:tcPr>
            <w:tcW w:w="3260" w:type="dxa"/>
            <w:vAlign w:val="bottom"/>
            <w:gridSpan w:val="4"/>
            <w:shd w:val="clear" w:color="auto" w:fill="0A2299"/>
          </w:tcPr>
          <w:p>
            <w:pPr>
              <w:jc w:val="right"/>
              <w:ind w:right="659"/>
              <w:spacing w:after="0"/>
              <w:rPr>
                <w:sz w:val="20"/>
                <w:szCs w:val="20"/>
                <w:color w:val="auto"/>
              </w:rPr>
            </w:pPr>
            <w:r>
              <w:rPr>
                <w:rFonts w:ascii="Arial" w:cs="Arial" w:eastAsia="Arial" w:hAnsi="Arial"/>
                <w:sz w:val="16"/>
                <w:szCs w:val="16"/>
                <w:b w:val="1"/>
                <w:bCs w:val="1"/>
                <w:color w:val="FFFFFF"/>
              </w:rPr>
              <w:t>Thirty-Nine Weeks Ended</w:t>
            </w:r>
          </w:p>
        </w:tc>
      </w:tr>
      <w:tr>
        <w:trPr>
          <w:trHeight w:val="257"/>
        </w:trPr>
        <w:tc>
          <w:tcPr>
            <w:tcW w:w="4320" w:type="dxa"/>
            <w:vAlign w:val="bottom"/>
          </w:tcPr>
          <w:p>
            <w:pPr>
              <w:spacing w:after="0"/>
              <w:rPr>
                <w:sz w:val="22"/>
                <w:szCs w:val="22"/>
                <w:color w:val="auto"/>
              </w:rPr>
            </w:pPr>
          </w:p>
        </w:tc>
        <w:tc>
          <w:tcPr>
            <w:tcW w:w="140" w:type="dxa"/>
            <w:vAlign w:val="bottom"/>
            <w:shd w:val="clear" w:color="auto" w:fill="0A2299"/>
          </w:tcPr>
          <w:p>
            <w:pPr>
              <w:spacing w:after="0"/>
              <w:rPr>
                <w:sz w:val="22"/>
                <w:szCs w:val="22"/>
                <w:color w:val="auto"/>
              </w:rPr>
            </w:pPr>
          </w:p>
        </w:tc>
        <w:tc>
          <w:tcPr>
            <w:tcW w:w="160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28, 2023</w:t>
            </w:r>
          </w:p>
        </w:tc>
        <w:tc>
          <w:tcPr>
            <w:tcW w:w="160" w:type="dxa"/>
            <w:vAlign w:val="bottom"/>
            <w:shd w:val="clear" w:color="auto" w:fill="0A2299"/>
          </w:tcPr>
          <w:p>
            <w:pPr>
              <w:spacing w:after="0"/>
              <w:rPr>
                <w:sz w:val="22"/>
                <w:szCs w:val="22"/>
                <w:color w:val="auto"/>
              </w:rPr>
            </w:pPr>
          </w:p>
        </w:tc>
        <w:tc>
          <w:tcPr>
            <w:tcW w:w="160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29, 2022</w:t>
            </w:r>
          </w:p>
        </w:tc>
        <w:tc>
          <w:tcPr>
            <w:tcW w:w="160" w:type="dxa"/>
            <w:vAlign w:val="bottom"/>
            <w:shd w:val="clear" w:color="auto" w:fill="0A2299"/>
          </w:tcPr>
          <w:p>
            <w:pPr>
              <w:spacing w:after="0"/>
              <w:rPr>
                <w:sz w:val="22"/>
                <w:szCs w:val="22"/>
                <w:color w:val="auto"/>
              </w:rPr>
            </w:pPr>
          </w:p>
        </w:tc>
        <w:tc>
          <w:tcPr>
            <w:tcW w:w="160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28, 2023</w:t>
            </w:r>
          </w:p>
        </w:tc>
        <w:tc>
          <w:tcPr>
            <w:tcW w:w="140" w:type="dxa"/>
            <w:vAlign w:val="bottom"/>
            <w:shd w:val="clear" w:color="auto" w:fill="0A2299"/>
          </w:tcPr>
          <w:p>
            <w:pPr>
              <w:spacing w:after="0"/>
              <w:rPr>
                <w:sz w:val="22"/>
                <w:szCs w:val="22"/>
                <w:color w:val="auto"/>
              </w:rPr>
            </w:pPr>
          </w:p>
        </w:tc>
        <w:tc>
          <w:tcPr>
            <w:tcW w:w="1520" w:type="dxa"/>
            <w:vAlign w:val="bottom"/>
            <w:shd w:val="clear" w:color="auto" w:fill="0A2299"/>
          </w:tcPr>
          <w:p>
            <w:pPr>
              <w:jc w:val="right"/>
              <w:ind w:right="99"/>
              <w:spacing w:after="0"/>
              <w:rPr>
                <w:sz w:val="20"/>
                <w:szCs w:val="20"/>
                <w:color w:val="auto"/>
              </w:rPr>
            </w:pPr>
            <w:r>
              <w:rPr>
                <w:rFonts w:ascii="Arial" w:cs="Arial" w:eastAsia="Arial" w:hAnsi="Arial"/>
                <w:sz w:val="16"/>
                <w:szCs w:val="16"/>
                <w:b w:val="1"/>
                <w:bCs w:val="1"/>
                <w:color w:val="FFFFFF"/>
              </w:rPr>
              <w:t>October 29, 2022</w:t>
            </w:r>
          </w:p>
        </w:tc>
      </w:tr>
      <w:tr>
        <w:trPr>
          <w:trHeight w:val="25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99,978</w:t>
            </w:r>
          </w:p>
        </w:tc>
        <w:tc>
          <w:tcPr>
            <w:tcW w:w="80" w:type="dxa"/>
            <w:vAlign w:val="bottom"/>
            <w:shd w:val="clear" w:color="auto" w:fill="DBDBDB"/>
          </w:tcPr>
          <w:p>
            <w:pPr>
              <w:spacing w:after="0"/>
              <w:rPr>
                <w:sz w:val="22"/>
                <w:szCs w:val="22"/>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131,741</w:t>
            </w:r>
          </w:p>
        </w:tc>
        <w:tc>
          <w:tcPr>
            <w:tcW w:w="80" w:type="dxa"/>
            <w:vAlign w:val="bottom"/>
            <w:shd w:val="clear" w:color="auto" w:fill="DBDBDB"/>
          </w:tcPr>
          <w:p>
            <w:pPr>
              <w:spacing w:after="0"/>
              <w:rPr>
                <w:sz w:val="22"/>
                <w:szCs w:val="22"/>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351,023</w:t>
            </w: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470,348</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10,930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33,473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34,240</w:t>
            </w:r>
          </w:p>
        </w:tc>
      </w:tr>
      <w:tr>
        <w:trPr>
          <w:trHeight w:val="24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29,969</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38,156</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100,876</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141,837</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27,373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79,394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78,852</w:t>
            </w:r>
          </w:p>
        </w:tc>
      </w:tr>
      <w:tr>
        <w:trPr>
          <w:trHeight w:val="243"/>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6,245</w:t>
            </w:r>
          </w:p>
        </w:tc>
        <w:tc>
          <w:tcPr>
            <w:tcW w:w="8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5,829</w:t>
            </w:r>
          </w:p>
        </w:tc>
        <w:tc>
          <w:tcPr>
            <w:tcW w:w="8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26,128</w:t>
            </w:r>
          </w:p>
        </w:tc>
        <w:tc>
          <w:tcPr>
            <w:tcW w:w="8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15,486</w:t>
            </w:r>
          </w:p>
        </w:tc>
      </w:tr>
      <w:tr>
        <w:trPr>
          <w:trHeight w:val="236"/>
        </w:trPr>
        <w:tc>
          <w:tcPr>
            <w:tcW w:w="43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Adjusted EBITDA (b)</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174,495</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214,889</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590,894</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740,763</w:t>
            </w:r>
          </w:p>
        </w:tc>
      </w:tr>
      <w:tr>
        <w:trPr>
          <w:trHeight w:val="23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(27,373)</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(27,000)</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(79,394)</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(78,852)</w:t>
            </w:r>
          </w:p>
        </w:tc>
      </w:tr>
      <w:tr>
        <w:trPr>
          <w:trHeight w:val="240"/>
        </w:trPr>
        <w:tc>
          <w:tcPr>
            <w:tcW w:w="4320" w:type="dxa"/>
            <w:vAlign w:val="bottom"/>
          </w:tcPr>
          <w:p>
            <w:pPr>
              <w:ind w:left="240"/>
              <w:spacing w:after="0"/>
              <w:rPr>
                <w:sz w:val="20"/>
                <w:szCs w:val="20"/>
                <w:color w:val="auto"/>
              </w:rPr>
            </w:pPr>
            <w:r>
              <w:rPr>
                <w:rFonts w:ascii="Arial" w:cs="Arial" w:eastAsia="Arial" w:hAnsi="Arial"/>
                <w:sz w:val="16"/>
                <w:szCs w:val="16"/>
                <w:color w:val="auto"/>
              </w:rPr>
              <w:t>Adjusted EBIT (b)</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147,122</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187,889</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511,500</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661,911</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-1302385</wp:posOffset>
            </wp:positionV>
            <wp:extent cx="4397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9737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-1464945</wp:posOffset>
            </wp:positionV>
            <wp:extent cx="43973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11" w:lineRule="exact"/>
        <w:rPr>
          <w:sz w:val="20"/>
          <w:szCs w:val="20"/>
          <w:color w:val="auto"/>
        </w:rPr>
      </w:pPr>
    </w:p>
    <w:p>
      <w:pPr>
        <w:ind w:left="400" w:right="20" w:hanging="374"/>
        <w:spacing w:after="0" w:line="264"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computations of Adjusted EBITDA and Adjusted EBIT. Adjusted EBITDA and Adjusted EBIT for the thirteen and thirty-nine weeks ended October 29, 2022 have been revised to the current period computation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0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3360" w:type="dxa"/>
            <w:vAlign w:val="bottom"/>
            <w:gridSpan w:val="5"/>
            <w:shd w:val="clear" w:color="auto" w:fill="0A2299"/>
          </w:tcPr>
          <w:p>
            <w:pPr>
              <w:ind w:left="700"/>
              <w:spacing w:after="0"/>
              <w:rPr>
                <w:sz w:val="20"/>
                <w:szCs w:val="20"/>
                <w:color w:val="auto"/>
              </w:rPr>
            </w:pPr>
            <w:r>
              <w:rPr>
                <w:rFonts w:ascii="Arial" w:cs="Arial" w:eastAsia="Arial" w:hAnsi="Arial"/>
                <w:sz w:val="16"/>
                <w:szCs w:val="16"/>
                <w:b w:val="1"/>
                <w:bCs w:val="1"/>
                <w:color w:val="FFFFFF"/>
              </w:rPr>
              <w:t>Thirteen Weeks Ended</w:t>
            </w:r>
          </w:p>
        </w:tc>
        <w:tc>
          <w:tcPr>
            <w:tcW w:w="140" w:type="dxa"/>
            <w:vAlign w:val="bottom"/>
            <w:shd w:val="clear" w:color="auto" w:fill="0A2299"/>
          </w:tcPr>
          <w:p>
            <w:pPr>
              <w:spacing w:after="0"/>
              <w:rPr>
                <w:sz w:val="21"/>
                <w:szCs w:val="21"/>
                <w:color w:val="auto"/>
              </w:rPr>
            </w:pPr>
          </w:p>
        </w:tc>
        <w:tc>
          <w:tcPr>
            <w:tcW w:w="3280" w:type="dxa"/>
            <w:vAlign w:val="bottom"/>
            <w:gridSpan w:val="4"/>
            <w:shd w:val="clear" w:color="auto" w:fill="0A2299"/>
          </w:tcPr>
          <w:p>
            <w:pPr>
              <w:jc w:val="right"/>
              <w:ind w:right="659"/>
              <w:spacing w:after="0"/>
              <w:rPr>
                <w:sz w:val="20"/>
                <w:szCs w:val="20"/>
                <w:color w:val="auto"/>
              </w:rPr>
            </w:pPr>
            <w:r>
              <w:rPr>
                <w:rFonts w:ascii="Arial" w:cs="Arial" w:eastAsia="Arial" w:hAnsi="Arial"/>
                <w:sz w:val="16"/>
                <w:szCs w:val="16"/>
                <w:b w:val="1"/>
                <w:bCs w:val="1"/>
                <w:color w:val="FFFFFF"/>
              </w:rPr>
              <w:t>Thirty-Nine Weeks Ended</w:t>
            </w:r>
          </w:p>
        </w:tc>
      </w:tr>
      <w:tr>
        <w:trPr>
          <w:trHeight w:val="257"/>
        </w:trPr>
        <w:tc>
          <w:tcPr>
            <w:tcW w:w="4320" w:type="dxa"/>
            <w:vAlign w:val="bottom"/>
          </w:tcPr>
          <w:p>
            <w:pPr>
              <w:spacing w:after="0"/>
              <w:rPr>
                <w:sz w:val="22"/>
                <w:szCs w:val="22"/>
                <w:color w:val="auto"/>
              </w:rPr>
            </w:pPr>
          </w:p>
        </w:tc>
        <w:tc>
          <w:tcPr>
            <w:tcW w:w="140" w:type="dxa"/>
            <w:vAlign w:val="bottom"/>
            <w:shd w:val="clear" w:color="auto" w:fill="0A2299"/>
          </w:tcPr>
          <w:p>
            <w:pPr>
              <w:spacing w:after="0"/>
              <w:rPr>
                <w:sz w:val="22"/>
                <w:szCs w:val="22"/>
                <w:color w:val="auto"/>
              </w:rPr>
            </w:pPr>
          </w:p>
        </w:tc>
        <w:tc>
          <w:tcPr>
            <w:tcW w:w="160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28, 2023</w:t>
            </w:r>
          </w:p>
        </w:tc>
        <w:tc>
          <w:tcPr>
            <w:tcW w:w="140" w:type="dxa"/>
            <w:vAlign w:val="bottom"/>
            <w:shd w:val="clear" w:color="auto" w:fill="0A2299"/>
          </w:tcPr>
          <w:p>
            <w:pPr>
              <w:spacing w:after="0"/>
              <w:rPr>
                <w:sz w:val="22"/>
                <w:szCs w:val="22"/>
                <w:color w:val="auto"/>
              </w:rPr>
            </w:pPr>
          </w:p>
        </w:tc>
        <w:tc>
          <w:tcPr>
            <w:tcW w:w="162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29, 2022</w:t>
            </w:r>
          </w:p>
        </w:tc>
        <w:tc>
          <w:tcPr>
            <w:tcW w:w="140" w:type="dxa"/>
            <w:vAlign w:val="bottom"/>
            <w:shd w:val="clear" w:color="auto" w:fill="0A2299"/>
          </w:tcPr>
          <w:p>
            <w:pPr>
              <w:spacing w:after="0"/>
              <w:rPr>
                <w:sz w:val="22"/>
                <w:szCs w:val="22"/>
                <w:color w:val="auto"/>
              </w:rPr>
            </w:pPr>
          </w:p>
        </w:tc>
        <w:tc>
          <w:tcPr>
            <w:tcW w:w="160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28, 2023</w:t>
            </w:r>
          </w:p>
        </w:tc>
        <w:tc>
          <w:tcPr>
            <w:tcW w:w="160" w:type="dxa"/>
            <w:vAlign w:val="bottom"/>
            <w:shd w:val="clear" w:color="auto" w:fill="0A2299"/>
          </w:tcPr>
          <w:p>
            <w:pPr>
              <w:spacing w:after="0"/>
              <w:rPr>
                <w:sz w:val="22"/>
                <w:szCs w:val="22"/>
                <w:color w:val="auto"/>
              </w:rPr>
            </w:pPr>
          </w:p>
        </w:tc>
        <w:tc>
          <w:tcPr>
            <w:tcW w:w="1520" w:type="dxa"/>
            <w:vAlign w:val="bottom"/>
            <w:shd w:val="clear" w:color="auto" w:fill="0A2299"/>
          </w:tcPr>
          <w:p>
            <w:pPr>
              <w:jc w:val="right"/>
              <w:ind w:right="99"/>
              <w:spacing w:after="0"/>
              <w:rPr>
                <w:sz w:val="20"/>
                <w:szCs w:val="20"/>
                <w:color w:val="auto"/>
              </w:rPr>
            </w:pPr>
            <w:r>
              <w:rPr>
                <w:rFonts w:ascii="Arial" w:cs="Arial" w:eastAsia="Arial" w:hAnsi="Arial"/>
                <w:sz w:val="16"/>
                <w:szCs w:val="16"/>
                <w:b w:val="1"/>
                <w:bCs w:val="1"/>
                <w:color w:val="FFFFFF"/>
              </w:rPr>
              <w:t>October 29, 2022</w:t>
            </w:r>
          </w:p>
        </w:tc>
      </w:tr>
      <w:tr>
        <w:trPr>
          <w:trHeight w:val="25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99,978</w:t>
            </w: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131,741</w:t>
            </w: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351,023</w:t>
            </w:r>
          </w:p>
        </w:tc>
        <w:tc>
          <w:tcPr>
            <w:tcW w:w="80" w:type="dxa"/>
            <w:vAlign w:val="bottom"/>
            <w:shd w:val="clear" w:color="auto" w:fill="DBDBDB"/>
          </w:tcPr>
          <w:p>
            <w:pPr>
              <w:spacing w:after="0"/>
              <w:rPr>
                <w:sz w:val="22"/>
                <w:szCs w:val="22"/>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470,348</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6,245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26,128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15,486</w:t>
            </w:r>
          </w:p>
        </w:tc>
      </w:tr>
      <w:tr>
        <w:trPr>
          <w:trHeight w:val="243"/>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effects of these adjustments (b)</w:t>
            </w:r>
          </w:p>
        </w:tc>
        <w:tc>
          <w:tcPr>
            <w:tcW w:w="14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(1,531)</w:t>
            </w:r>
          </w:p>
        </w:tc>
        <w:tc>
          <w:tcPr>
            <w:tcW w:w="8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(5,909)</w:t>
            </w:r>
          </w:p>
        </w:tc>
        <w:tc>
          <w:tcPr>
            <w:tcW w:w="8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(3,590)</w:t>
            </w:r>
          </w:p>
        </w:tc>
      </w:tr>
      <w:tr>
        <w:trPr>
          <w:trHeight w:val="237"/>
        </w:trPr>
        <w:tc>
          <w:tcPr>
            <w:tcW w:w="4320" w:type="dxa"/>
            <w:vAlign w:val="bottom"/>
          </w:tcPr>
          <w:p>
            <w:pPr>
              <w:ind w:left="240"/>
              <w:spacing w:after="0"/>
              <w:rPr>
                <w:sz w:val="20"/>
                <w:szCs w:val="20"/>
                <w:color w:val="auto"/>
              </w:rPr>
            </w:pPr>
            <w:r>
              <w:rPr>
                <w:rFonts w:ascii="Arial" w:cs="Arial" w:eastAsia="Arial" w:hAnsi="Arial"/>
                <w:sz w:val="16"/>
                <w:szCs w:val="16"/>
                <w:color w:val="auto"/>
              </w:rPr>
              <w:t>Adjusted Net Income (c)</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104,692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136,245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371,242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482,244</w:t>
            </w:r>
          </w:p>
        </w:tc>
      </w:tr>
      <w:tr>
        <w:trPr>
          <w:trHeight w:val="152"/>
        </w:trPr>
        <w:tc>
          <w:tcPr>
            <w:tcW w:w="43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r>
      <w:tr>
        <w:trPr>
          <w:trHeight w:val="235"/>
        </w:trPr>
        <w:tc>
          <w:tcPr>
            <w:tcW w:w="432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1.34</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4.63</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5.67</w:t>
            </w: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4.51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47"/>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Earnings per Common Share:</w:t>
            </w: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520" w:type="dxa"/>
            <w:vAlign w:val="bottom"/>
            <w:shd w:val="clear" w:color="auto" w:fill="DBDBDB"/>
          </w:tcPr>
          <w:p>
            <w:pPr>
              <w:spacing w:after="0"/>
              <w:rPr>
                <w:sz w:val="21"/>
                <w:szCs w:val="21"/>
                <w:color w:val="auto"/>
              </w:rPr>
            </w:pPr>
          </w:p>
        </w:tc>
      </w:tr>
      <w:tr>
        <w:trPr>
          <w:trHeight w:val="239"/>
        </w:trPr>
        <w:tc>
          <w:tcPr>
            <w:tcW w:w="432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4.90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5.82</w:t>
            </w:r>
          </w:p>
        </w:tc>
      </w:tr>
      <w:tr>
        <w:trPr>
          <w:trHeight w:val="247"/>
        </w:trPr>
        <w:tc>
          <w:tcPr>
            <w:tcW w:w="4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1.38</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4.77</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5.68</w:t>
            </w:r>
          </w:p>
        </w:tc>
      </w:tr>
      <w:tr>
        <w:trPr>
          <w:trHeight w:val="235"/>
        </w:trPr>
        <w:tc>
          <w:tcPr>
            <w:tcW w:w="43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74,461</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79,085</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75,809</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82,901</w:t>
            </w:r>
          </w:p>
        </w:tc>
      </w:tr>
      <w:tr>
        <w:trPr>
          <w:trHeight w:val="236"/>
        </w:trPr>
        <w:tc>
          <w:tcPr>
            <w:tcW w:w="4320" w:type="dxa"/>
            <w:vAlign w:val="bottom"/>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76,057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77,893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-2112010</wp:posOffset>
            </wp:positionV>
            <wp:extent cx="4397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-2274570</wp:posOffset>
            </wp:positionV>
            <wp:extent cx="4397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05" w:lineRule="exact"/>
        <w:rPr>
          <w:sz w:val="20"/>
          <w:szCs w:val="20"/>
          <w:color w:val="auto"/>
        </w:rPr>
      </w:pPr>
    </w:p>
    <w:p>
      <w:pPr>
        <w:ind w:left="440" w:right="20" w:hanging="414"/>
        <w:spacing w:after="0" w:line="264" w:lineRule="auto"/>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40" w:right="20" w:hanging="414"/>
        <w:spacing w:after="0" w:line="264" w:lineRule="auto"/>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the thirteen and thirty-nine weeks ended October 28, 2023 and October 29, 2022, this represents the estimated tax effect (by using the projected full year tax rates for the respective years) of the total adjustments made to arrive at Adjusted Net Income.</w:t>
      </w:r>
    </w:p>
    <w:p>
      <w:pPr>
        <w:spacing w:after="0" w:line="22" w:lineRule="exact"/>
        <w:rPr>
          <w:rFonts w:ascii="Arial" w:cs="Arial" w:eastAsia="Arial" w:hAnsi="Arial"/>
          <w:sz w:val="13"/>
          <w:szCs w:val="13"/>
          <w:color w:val="auto"/>
        </w:rPr>
      </w:pPr>
    </w:p>
    <w:p>
      <w:pPr>
        <w:ind w:left="440" w:right="20" w:hanging="414"/>
        <w:spacing w:after="0" w:line="264" w:lineRule="auto"/>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computations of Adjusted Net Income. Adjusted Net Income for the thirteen and thirty-nine weeks ended October 29, 2022 has been revised to the current period computation methodology.</w:t>
      </w:r>
    </w:p>
    <w:p>
      <w:pPr>
        <w:spacing w:after="0" w:line="307"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Adjusted Net Income and Adjusted Earnings Per Common Share, Diluted, Guidance Reconciliation (amounts 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Pr>
          <w:p>
            <w:pPr>
              <w:spacing w:after="0"/>
              <w:rPr>
                <w:sz w:val="21"/>
                <w:szCs w:val="21"/>
                <w:color w:val="auto"/>
              </w:rPr>
            </w:pPr>
          </w:p>
        </w:tc>
        <w:tc>
          <w:tcPr>
            <w:tcW w:w="1860" w:type="dxa"/>
            <w:vAlign w:val="bottom"/>
            <w:shd w:val="clear" w:color="auto" w:fill="0A2299"/>
          </w:tcPr>
          <w:p>
            <w:pPr>
              <w:jc w:val="center"/>
              <w:ind w:left="379"/>
              <w:spacing w:after="0"/>
              <w:rPr>
                <w:sz w:val="20"/>
                <w:szCs w:val="20"/>
                <w:color w:val="auto"/>
              </w:rPr>
            </w:pPr>
            <w:r>
              <w:rPr>
                <w:rFonts w:ascii="Arial" w:cs="Arial" w:eastAsia="Arial" w:hAnsi="Arial"/>
                <w:sz w:val="16"/>
                <w:szCs w:val="16"/>
                <w:b w:val="1"/>
                <w:bCs w:val="1"/>
                <w:color w:val="FFFFFF"/>
              </w:rPr>
              <w:t>Low Range*</w:t>
            </w:r>
          </w:p>
        </w:tc>
        <w:tc>
          <w:tcPr>
            <w:tcW w:w="460" w:type="dxa"/>
            <w:vAlign w:val="bottom"/>
            <w:shd w:val="clear" w:color="auto" w:fill="0A2299"/>
          </w:tcPr>
          <w:p>
            <w:pPr>
              <w:spacing w:after="0"/>
              <w:rPr>
                <w:sz w:val="21"/>
                <w:szCs w:val="21"/>
                <w:color w:val="auto"/>
              </w:rPr>
            </w:pPr>
          </w:p>
        </w:tc>
        <w:tc>
          <w:tcPr>
            <w:tcW w:w="80" w:type="dxa"/>
            <w:vAlign w:val="bottom"/>
            <w:shd w:val="clear" w:color="auto" w:fill="0A2299"/>
          </w:tcPr>
          <w:p>
            <w:pPr>
              <w:spacing w:after="0"/>
              <w:rPr>
                <w:sz w:val="21"/>
                <w:szCs w:val="21"/>
                <w:color w:val="auto"/>
              </w:rPr>
            </w:pPr>
          </w:p>
        </w:tc>
        <w:tc>
          <w:tcPr>
            <w:tcW w:w="260" w:type="dxa"/>
            <w:vAlign w:val="bottom"/>
            <w:shd w:val="clear" w:color="auto" w:fill="0A2299"/>
          </w:tcPr>
          <w:p>
            <w:pPr>
              <w:spacing w:after="0"/>
              <w:rPr>
                <w:sz w:val="21"/>
                <w:szCs w:val="21"/>
                <w:color w:val="auto"/>
              </w:rPr>
            </w:pPr>
          </w:p>
        </w:tc>
        <w:tc>
          <w:tcPr>
            <w:tcW w:w="2040" w:type="dxa"/>
            <w:vAlign w:val="bottom"/>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High Range*</w:t>
            </w:r>
          </w:p>
        </w:tc>
      </w:tr>
      <w:tr>
        <w:trPr>
          <w:trHeight w:val="216"/>
        </w:trPr>
        <w:tc>
          <w:tcPr>
            <w:tcW w:w="6540" w:type="dxa"/>
            <w:vAlign w:val="bottom"/>
          </w:tcPr>
          <w:p>
            <w:pPr>
              <w:spacing w:after="0"/>
              <w:rPr>
                <w:sz w:val="18"/>
                <w:szCs w:val="18"/>
                <w:color w:val="auto"/>
              </w:rPr>
            </w:pPr>
          </w:p>
        </w:tc>
        <w:tc>
          <w:tcPr>
            <w:tcW w:w="1860" w:type="dxa"/>
            <w:vAlign w:val="bottom"/>
            <w:shd w:val="clear" w:color="auto" w:fill="0A2299"/>
          </w:tcPr>
          <w:p>
            <w:pPr>
              <w:jc w:val="center"/>
              <w:ind w:left="339"/>
              <w:spacing w:after="0"/>
              <w:rPr>
                <w:sz w:val="20"/>
                <w:szCs w:val="20"/>
                <w:color w:val="auto"/>
              </w:rPr>
            </w:pPr>
            <w:r>
              <w:rPr>
                <w:rFonts w:ascii="Arial" w:cs="Arial" w:eastAsia="Arial" w:hAnsi="Arial"/>
                <w:sz w:val="16"/>
                <w:szCs w:val="16"/>
                <w:b w:val="1"/>
                <w:bCs w:val="1"/>
                <w:color w:val="FFFFFF"/>
              </w:rPr>
              <w:t>Fiscal Year Ending</w:t>
            </w:r>
          </w:p>
        </w:tc>
        <w:tc>
          <w:tcPr>
            <w:tcW w:w="460" w:type="dxa"/>
            <w:vAlign w:val="bottom"/>
            <w:shd w:val="clear" w:color="auto" w:fill="0A2299"/>
          </w:tcPr>
          <w:p>
            <w:pPr>
              <w:spacing w:after="0"/>
              <w:rPr>
                <w:sz w:val="18"/>
                <w:szCs w:val="18"/>
                <w:color w:val="auto"/>
              </w:rPr>
            </w:pPr>
          </w:p>
        </w:tc>
        <w:tc>
          <w:tcPr>
            <w:tcW w:w="80" w:type="dxa"/>
            <w:vAlign w:val="bottom"/>
            <w:shd w:val="clear" w:color="auto" w:fill="0A2299"/>
          </w:tcPr>
          <w:p>
            <w:pPr>
              <w:spacing w:after="0"/>
              <w:rPr>
                <w:sz w:val="18"/>
                <w:szCs w:val="18"/>
                <w:color w:val="auto"/>
              </w:rPr>
            </w:pPr>
          </w:p>
        </w:tc>
        <w:tc>
          <w:tcPr>
            <w:tcW w:w="260" w:type="dxa"/>
            <w:vAlign w:val="bottom"/>
            <w:shd w:val="clear" w:color="auto" w:fill="0A2299"/>
          </w:tcPr>
          <w:p>
            <w:pPr>
              <w:spacing w:after="0"/>
              <w:rPr>
                <w:sz w:val="18"/>
                <w:szCs w:val="18"/>
                <w:color w:val="auto"/>
              </w:rPr>
            </w:pPr>
          </w:p>
        </w:tc>
        <w:tc>
          <w:tcPr>
            <w:tcW w:w="2040" w:type="dxa"/>
            <w:vAlign w:val="bottom"/>
            <w:shd w:val="clear" w:color="auto" w:fill="0A2299"/>
          </w:tcPr>
          <w:p>
            <w:pPr>
              <w:jc w:val="center"/>
              <w:ind w:right="239"/>
              <w:spacing w:after="0"/>
              <w:rPr>
                <w:sz w:val="20"/>
                <w:szCs w:val="20"/>
                <w:color w:val="auto"/>
              </w:rPr>
            </w:pPr>
            <w:r>
              <w:rPr>
                <w:rFonts w:ascii="Arial" w:cs="Arial" w:eastAsia="Arial" w:hAnsi="Arial"/>
                <w:sz w:val="16"/>
                <w:szCs w:val="16"/>
                <w:b w:val="1"/>
                <w:bCs w:val="1"/>
                <w:color w:val="FFFFFF"/>
              </w:rPr>
              <w:t>Fiscal Year Ending</w:t>
            </w:r>
          </w:p>
        </w:tc>
      </w:tr>
      <w:tr>
        <w:trPr>
          <w:trHeight w:val="224"/>
        </w:trPr>
        <w:tc>
          <w:tcPr>
            <w:tcW w:w="6540" w:type="dxa"/>
            <w:vAlign w:val="bottom"/>
          </w:tcPr>
          <w:p>
            <w:pPr>
              <w:spacing w:after="0"/>
              <w:rPr>
                <w:sz w:val="19"/>
                <w:szCs w:val="19"/>
                <w:color w:val="auto"/>
              </w:rPr>
            </w:pPr>
          </w:p>
        </w:tc>
        <w:tc>
          <w:tcPr>
            <w:tcW w:w="1860" w:type="dxa"/>
            <w:vAlign w:val="bottom"/>
            <w:tcBorders>
              <w:bottom w:val="single" w:sz="8" w:color="0A2299"/>
            </w:tcBorders>
            <w:shd w:val="clear" w:color="auto" w:fill="0A2299"/>
          </w:tcPr>
          <w:p>
            <w:pPr>
              <w:jc w:val="center"/>
              <w:ind w:left="379"/>
              <w:spacing w:after="0"/>
              <w:rPr>
                <w:sz w:val="20"/>
                <w:szCs w:val="20"/>
                <w:color w:val="auto"/>
              </w:rPr>
            </w:pPr>
            <w:r>
              <w:rPr>
                <w:rFonts w:ascii="Arial" w:cs="Arial" w:eastAsia="Arial" w:hAnsi="Arial"/>
                <w:sz w:val="16"/>
                <w:szCs w:val="16"/>
                <w:b w:val="1"/>
                <w:bCs w:val="1"/>
                <w:color w:val="FFFFFF"/>
              </w:rPr>
              <w:t>February 3, 2024</w:t>
            </w:r>
          </w:p>
        </w:tc>
        <w:tc>
          <w:tcPr>
            <w:tcW w:w="460" w:type="dxa"/>
            <w:vAlign w:val="bottom"/>
            <w:tcBorders>
              <w:bottom w:val="single" w:sz="8" w:color="0A2299"/>
            </w:tcBorders>
            <w:shd w:val="clear" w:color="auto" w:fill="0A2299"/>
          </w:tcPr>
          <w:p>
            <w:pPr>
              <w:spacing w:after="0"/>
              <w:rPr>
                <w:sz w:val="19"/>
                <w:szCs w:val="19"/>
                <w:color w:val="auto"/>
              </w:rPr>
            </w:pPr>
          </w:p>
        </w:tc>
        <w:tc>
          <w:tcPr>
            <w:tcW w:w="80" w:type="dxa"/>
            <w:vAlign w:val="bottom"/>
            <w:tcBorders>
              <w:bottom w:val="single" w:sz="8" w:color="0A2299"/>
            </w:tcBorders>
            <w:shd w:val="clear" w:color="auto" w:fill="0A2299"/>
          </w:tcPr>
          <w:p>
            <w:pPr>
              <w:spacing w:after="0"/>
              <w:rPr>
                <w:sz w:val="19"/>
                <w:szCs w:val="19"/>
                <w:color w:val="auto"/>
              </w:rPr>
            </w:pPr>
          </w:p>
        </w:tc>
        <w:tc>
          <w:tcPr>
            <w:tcW w:w="260" w:type="dxa"/>
            <w:vAlign w:val="bottom"/>
            <w:tcBorders>
              <w:bottom w:val="single" w:sz="8" w:color="0A2299"/>
            </w:tcBorders>
            <w:shd w:val="clear" w:color="auto" w:fill="0A2299"/>
          </w:tcPr>
          <w:p>
            <w:pPr>
              <w:spacing w:after="0"/>
              <w:rPr>
                <w:sz w:val="19"/>
                <w:szCs w:val="19"/>
                <w:color w:val="auto"/>
              </w:rPr>
            </w:pPr>
          </w:p>
        </w:tc>
        <w:tc>
          <w:tcPr>
            <w:tcW w:w="2040" w:type="dxa"/>
            <w:vAlign w:val="bottom"/>
            <w:tcBorders>
              <w:bottom w:val="single" w:sz="8" w:color="0A2299"/>
            </w:tcBorders>
            <w:shd w:val="clear" w:color="auto" w:fill="0A2299"/>
          </w:tcPr>
          <w:p>
            <w:pPr>
              <w:jc w:val="center"/>
              <w:ind w:right="199"/>
              <w:spacing w:after="0"/>
              <w:rPr>
                <w:sz w:val="20"/>
                <w:szCs w:val="20"/>
                <w:color w:val="auto"/>
              </w:rPr>
            </w:pPr>
            <w:r>
              <w:rPr>
                <w:rFonts w:ascii="Arial" w:cs="Arial" w:eastAsia="Arial" w:hAnsi="Arial"/>
                <w:sz w:val="16"/>
                <w:szCs w:val="16"/>
                <w:b w:val="1"/>
                <w:bCs w:val="1"/>
                <w:color w:val="FFFFFF"/>
              </w:rPr>
              <w:t>February 3, 2024</w:t>
            </w:r>
          </w:p>
        </w:tc>
      </w:tr>
      <w:tr>
        <w:trPr>
          <w:trHeight w:val="257"/>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860" w:type="dxa"/>
            <w:vAlign w:val="bottom"/>
            <w:shd w:val="clear" w:color="auto" w:fill="DBDBDB"/>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520</w:t>
            </w:r>
          </w:p>
        </w:tc>
        <w:tc>
          <w:tcPr>
            <w:tcW w:w="3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1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4"/>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1860" w:type="dxa"/>
            <w:vAlign w:val="bottom"/>
            <w:tcBorders>
              <w:bottom w:val="single" w:sz="8" w:color="auto"/>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654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1860" w:type="dxa"/>
            <w:vAlign w:val="bottom"/>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545</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0"/>
        </w:trPr>
        <w:tc>
          <w:tcPr>
            <w:tcW w:w="6540" w:type="dxa"/>
            <w:vAlign w:val="bottom"/>
            <w:tcBorders>
              <w:bottom w:val="single" w:sz="8" w:color="DBDBDB"/>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40" w:type="dxa"/>
            <w:vAlign w:val="bottom"/>
            <w:shd w:val="clear" w:color="auto" w:fill="DBDBDB"/>
          </w:tcPr>
          <w:p>
            <w:pPr>
              <w:spacing w:after="0"/>
              <w:rPr>
                <w:sz w:val="20"/>
                <w:szCs w:val="20"/>
                <w:color w:val="auto"/>
              </w:rPr>
            </w:pPr>
          </w:p>
        </w:tc>
        <w:tc>
          <w:tcPr>
            <w:tcW w:w="186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040" w:type="dxa"/>
            <w:vAlign w:val="bottom"/>
            <w:shd w:val="clear" w:color="auto" w:fill="DBDBDB"/>
          </w:tcPr>
          <w:p>
            <w:pPr>
              <w:spacing w:after="0"/>
              <w:rPr>
                <w:sz w:val="20"/>
                <w:szCs w:val="20"/>
                <w:color w:val="auto"/>
              </w:rPr>
            </w:pP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Earnings Per Common Share, Diluted</w:t>
            </w:r>
          </w:p>
        </w:tc>
        <w:tc>
          <w:tcPr>
            <w:tcW w:w="1860" w:type="dxa"/>
            <w:vAlign w:val="bottom"/>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6.70</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51"/>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1860" w:type="dxa"/>
            <w:vAlign w:val="bottom"/>
            <w:shd w:val="clear" w:color="auto" w:fill="DBDBDB"/>
          </w:tcPr>
          <w:p>
            <w:pPr>
              <w:spacing w:after="0"/>
              <w:rPr>
                <w:sz w:val="21"/>
                <w:szCs w:val="21"/>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0.43</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0.43</w:t>
            </w:r>
          </w:p>
        </w:tc>
      </w:tr>
      <w:tr>
        <w:trPr>
          <w:trHeight w:val="237"/>
        </w:trPr>
        <w:tc>
          <w:tcPr>
            <w:tcW w:w="6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1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(0.08)</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r>
      <w:tr>
        <w:trPr>
          <w:trHeight w:val="263"/>
        </w:trPr>
        <w:tc>
          <w:tcPr>
            <w:tcW w:w="65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1860" w:type="dxa"/>
            <w:vAlign w:val="bottom"/>
            <w:shd w:val="clear" w:color="auto" w:fill="DBDBDB"/>
          </w:tcPr>
          <w:p>
            <w:pPr>
              <w:jc w:val="right"/>
              <w:ind w:right="165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7.05</w:t>
            </w:r>
          </w:p>
        </w:tc>
        <w:tc>
          <w:tcPr>
            <w:tcW w:w="3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w:t>
            </w:r>
          </w:p>
        </w:tc>
      </w:tr>
      <w:tr>
        <w:trPr>
          <w:trHeight w:val="20"/>
        </w:trPr>
        <w:tc>
          <w:tcPr>
            <w:tcW w:w="6540" w:type="dxa"/>
            <w:vAlign w:val="bottom"/>
            <w:tcBorders>
              <w:top w:val="single" w:sz="8" w:color="DBDBDB"/>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-1482090</wp:posOffset>
            </wp:positionV>
            <wp:extent cx="2983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-1774190</wp:posOffset>
            </wp:positionV>
            <wp:extent cx="2983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32" w:lineRule="exact"/>
        <w:rPr>
          <w:sz w:val="20"/>
          <w:szCs w:val="20"/>
          <w:color w:val="auto"/>
        </w:rPr>
      </w:pPr>
    </w:p>
    <w:p>
      <w:pPr>
        <w:ind w:left="380" w:hanging="354"/>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53" w:lineRule="exact"/>
        <w:rPr>
          <w:sz w:val="20"/>
          <w:szCs w:val="20"/>
          <w:color w:val="auto"/>
        </w:rPr>
      </w:pPr>
    </w:p>
    <w:p>
      <w:pPr>
        <w:ind w:left="380" w:right="20" w:hanging="354"/>
        <w:spacing w:after="0" w:line="264"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Adjustments include non-cash charges related to equity-based compensation (as defined above), which may vary from period to period. The tax effect of these adjustments is determined by using the projected full year tax rate for the fiscal year.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9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Pr>
          <w:p>
            <w:pPr>
              <w:spacing w:after="0"/>
              <w:rPr>
                <w:sz w:val="21"/>
                <w:szCs w:val="21"/>
                <w:color w:val="auto"/>
              </w:rPr>
            </w:pPr>
          </w:p>
        </w:tc>
        <w:tc>
          <w:tcPr>
            <w:tcW w:w="200" w:type="dxa"/>
            <w:vAlign w:val="bottom"/>
            <w:shd w:val="clear" w:color="auto" w:fill="0A2299"/>
          </w:tcPr>
          <w:p>
            <w:pPr>
              <w:spacing w:after="0"/>
              <w:rPr>
                <w:sz w:val="21"/>
                <w:szCs w:val="21"/>
                <w:color w:val="auto"/>
              </w:rPr>
            </w:pPr>
          </w:p>
        </w:tc>
        <w:tc>
          <w:tcPr>
            <w:tcW w:w="3540" w:type="dxa"/>
            <w:vAlign w:val="bottom"/>
            <w:gridSpan w:val="4"/>
            <w:shd w:val="clear" w:color="auto" w:fill="0A2299"/>
          </w:tcPr>
          <w:p>
            <w:pPr>
              <w:ind w:left="800"/>
              <w:spacing w:after="0"/>
              <w:rPr>
                <w:sz w:val="20"/>
                <w:szCs w:val="20"/>
                <w:color w:val="auto"/>
              </w:rPr>
            </w:pPr>
            <w:r>
              <w:rPr>
                <w:rFonts w:ascii="Arial" w:cs="Arial" w:eastAsia="Arial" w:hAnsi="Arial"/>
                <w:sz w:val="16"/>
                <w:szCs w:val="16"/>
                <w:b w:val="1"/>
                <w:bCs w:val="1"/>
                <w:color w:val="FFFFFF"/>
              </w:rPr>
              <w:t>Thirteen Weeks Ended</w:t>
            </w:r>
          </w:p>
        </w:tc>
        <w:tc>
          <w:tcPr>
            <w:tcW w:w="80" w:type="dxa"/>
            <w:vAlign w:val="bottom"/>
          </w:tcPr>
          <w:p>
            <w:pPr>
              <w:spacing w:after="0"/>
              <w:rPr>
                <w:sz w:val="21"/>
                <w:szCs w:val="21"/>
                <w:color w:val="auto"/>
              </w:rPr>
            </w:pPr>
          </w:p>
        </w:tc>
        <w:tc>
          <w:tcPr>
            <w:tcW w:w="160" w:type="dxa"/>
            <w:vAlign w:val="bottom"/>
            <w:shd w:val="clear" w:color="auto" w:fill="0A2299"/>
          </w:tcPr>
          <w:p>
            <w:pPr>
              <w:spacing w:after="0"/>
              <w:rPr>
                <w:sz w:val="21"/>
                <w:szCs w:val="21"/>
                <w:color w:val="auto"/>
              </w:rPr>
            </w:pPr>
          </w:p>
        </w:tc>
        <w:tc>
          <w:tcPr>
            <w:tcW w:w="3360" w:type="dxa"/>
            <w:vAlign w:val="bottom"/>
            <w:gridSpan w:val="4"/>
            <w:shd w:val="clear" w:color="auto" w:fill="0A2299"/>
          </w:tcPr>
          <w:p>
            <w:pPr>
              <w:jc w:val="right"/>
              <w:ind w:right="699"/>
              <w:spacing w:after="0"/>
              <w:rPr>
                <w:sz w:val="20"/>
                <w:szCs w:val="20"/>
                <w:color w:val="auto"/>
              </w:rPr>
            </w:pPr>
            <w:r>
              <w:rPr>
                <w:rFonts w:ascii="Arial" w:cs="Arial" w:eastAsia="Arial" w:hAnsi="Arial"/>
                <w:sz w:val="16"/>
                <w:szCs w:val="16"/>
                <w:b w:val="1"/>
                <w:bCs w:val="1"/>
                <w:color w:val="FFFFFF"/>
              </w:rPr>
              <w:t>Thirty-Nine Weeks Ended</w:t>
            </w:r>
          </w:p>
        </w:tc>
      </w:tr>
      <w:tr>
        <w:trPr>
          <w:trHeight w:val="257"/>
        </w:trPr>
        <w:tc>
          <w:tcPr>
            <w:tcW w:w="3900" w:type="dxa"/>
            <w:vAlign w:val="bottom"/>
          </w:tcPr>
          <w:p>
            <w:pPr>
              <w:spacing w:after="0"/>
              <w:rPr>
                <w:sz w:val="22"/>
                <w:szCs w:val="22"/>
                <w:color w:val="auto"/>
              </w:rPr>
            </w:pPr>
          </w:p>
        </w:tc>
        <w:tc>
          <w:tcPr>
            <w:tcW w:w="200" w:type="dxa"/>
            <w:vAlign w:val="bottom"/>
            <w:shd w:val="clear" w:color="auto" w:fill="0A2299"/>
          </w:tcPr>
          <w:p>
            <w:pPr>
              <w:spacing w:after="0"/>
              <w:rPr>
                <w:sz w:val="22"/>
                <w:szCs w:val="22"/>
                <w:color w:val="auto"/>
              </w:rPr>
            </w:pPr>
          </w:p>
        </w:tc>
        <w:tc>
          <w:tcPr>
            <w:tcW w:w="1740" w:type="dxa"/>
            <w:vAlign w:val="bottom"/>
            <w:gridSpan w:val="2"/>
            <w:shd w:val="clear" w:color="auto" w:fill="0A2299"/>
          </w:tcPr>
          <w:p>
            <w:pPr>
              <w:ind w:left="80"/>
              <w:spacing w:after="0"/>
              <w:rPr>
                <w:sz w:val="20"/>
                <w:szCs w:val="20"/>
                <w:color w:val="auto"/>
              </w:rPr>
            </w:pPr>
            <w:r>
              <w:rPr>
                <w:rFonts w:ascii="Arial" w:cs="Arial" w:eastAsia="Arial" w:hAnsi="Arial"/>
                <w:sz w:val="16"/>
                <w:szCs w:val="16"/>
                <w:b w:val="1"/>
                <w:bCs w:val="1"/>
                <w:color w:val="FFFFFF"/>
              </w:rPr>
              <w:t>October 28, 2023</w:t>
            </w:r>
          </w:p>
        </w:tc>
        <w:tc>
          <w:tcPr>
            <w:tcW w:w="180" w:type="dxa"/>
            <w:vAlign w:val="bottom"/>
            <w:shd w:val="clear" w:color="auto" w:fill="0A2299"/>
          </w:tcPr>
          <w:p>
            <w:pPr>
              <w:spacing w:after="0"/>
              <w:rPr>
                <w:sz w:val="22"/>
                <w:szCs w:val="22"/>
                <w:color w:val="auto"/>
              </w:rPr>
            </w:pPr>
          </w:p>
        </w:tc>
        <w:tc>
          <w:tcPr>
            <w:tcW w:w="1620" w:type="dxa"/>
            <w:vAlign w:val="bottom"/>
            <w:shd w:val="clear" w:color="auto" w:fill="0A2299"/>
          </w:tcPr>
          <w:p>
            <w:pPr>
              <w:ind w:left="60"/>
              <w:spacing w:after="0"/>
              <w:rPr>
                <w:sz w:val="20"/>
                <w:szCs w:val="20"/>
                <w:color w:val="auto"/>
              </w:rPr>
            </w:pPr>
            <w:r>
              <w:rPr>
                <w:rFonts w:ascii="Arial" w:cs="Arial" w:eastAsia="Arial" w:hAnsi="Arial"/>
                <w:sz w:val="16"/>
                <w:szCs w:val="16"/>
                <w:b w:val="1"/>
                <w:bCs w:val="1"/>
                <w:color w:val="FFFFFF"/>
              </w:rPr>
              <w:t>October 29, 2022</w:t>
            </w:r>
          </w:p>
        </w:tc>
        <w:tc>
          <w:tcPr>
            <w:tcW w:w="80" w:type="dxa"/>
            <w:vAlign w:val="bottom"/>
          </w:tcPr>
          <w:p>
            <w:pPr>
              <w:spacing w:after="0"/>
              <w:rPr>
                <w:sz w:val="22"/>
                <w:szCs w:val="22"/>
                <w:color w:val="auto"/>
              </w:rPr>
            </w:pPr>
          </w:p>
        </w:tc>
        <w:tc>
          <w:tcPr>
            <w:tcW w:w="160" w:type="dxa"/>
            <w:vAlign w:val="bottom"/>
            <w:shd w:val="clear" w:color="auto" w:fill="0A2299"/>
          </w:tcPr>
          <w:p>
            <w:pPr>
              <w:spacing w:after="0"/>
              <w:rPr>
                <w:sz w:val="22"/>
                <w:szCs w:val="22"/>
                <w:color w:val="auto"/>
              </w:rPr>
            </w:pPr>
          </w:p>
        </w:tc>
        <w:tc>
          <w:tcPr>
            <w:tcW w:w="162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28, 2023</w:t>
            </w:r>
          </w:p>
        </w:tc>
        <w:tc>
          <w:tcPr>
            <w:tcW w:w="160" w:type="dxa"/>
            <w:vAlign w:val="bottom"/>
            <w:shd w:val="clear" w:color="auto" w:fill="0A2299"/>
          </w:tcPr>
          <w:p>
            <w:pPr>
              <w:spacing w:after="0"/>
              <w:rPr>
                <w:sz w:val="22"/>
                <w:szCs w:val="22"/>
                <w:color w:val="auto"/>
              </w:rPr>
            </w:pPr>
          </w:p>
        </w:tc>
        <w:tc>
          <w:tcPr>
            <w:tcW w:w="1580" w:type="dxa"/>
            <w:vAlign w:val="bottom"/>
            <w:shd w:val="clear" w:color="auto" w:fill="0A2299"/>
          </w:tcPr>
          <w:p>
            <w:pPr>
              <w:jc w:val="right"/>
              <w:ind w:right="139"/>
              <w:spacing w:after="0"/>
              <w:rPr>
                <w:sz w:val="20"/>
                <w:szCs w:val="20"/>
                <w:color w:val="auto"/>
              </w:rPr>
            </w:pPr>
            <w:r>
              <w:rPr>
                <w:rFonts w:ascii="Arial" w:cs="Arial" w:eastAsia="Arial" w:hAnsi="Arial"/>
                <w:sz w:val="16"/>
                <w:szCs w:val="16"/>
                <w:b w:val="1"/>
                <w:bCs w:val="1"/>
                <w:color w:val="FFFFFF"/>
              </w:rPr>
              <w:t>October 29, 2022</w:t>
            </w:r>
          </w:p>
        </w:tc>
      </w:tr>
      <w:tr>
        <w:trPr>
          <w:trHeight w:val="257"/>
        </w:trPr>
        <w:tc>
          <w:tcPr>
            <w:tcW w:w="3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DBDBDB"/>
          </w:tcPr>
          <w:p>
            <w:pPr>
              <w:jc w:val="center"/>
              <w:ind w:left="939"/>
              <w:spacing w:after="0"/>
              <w:rPr>
                <w:sz w:val="20"/>
                <w:szCs w:val="20"/>
                <w:color w:val="auto"/>
              </w:rPr>
            </w:pPr>
            <w:r>
              <w:rPr>
                <w:rFonts w:ascii="Arial" w:cs="Arial" w:eastAsia="Arial" w:hAnsi="Arial"/>
                <w:sz w:val="16"/>
                <w:szCs w:val="16"/>
                <w:b w:val="1"/>
                <w:bCs w:val="1"/>
                <w:color w:val="auto"/>
                <w:w w:val="98"/>
              </w:rPr>
              <w:t>57,476</w:t>
            </w: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BDBDB"/>
          </w:tcPr>
          <w:p>
            <w:pPr>
              <w:jc w:val="center"/>
              <w:ind w:left="879"/>
              <w:spacing w:after="0"/>
              <w:rPr>
                <w:sz w:val="20"/>
                <w:szCs w:val="20"/>
                <w:color w:val="auto"/>
              </w:rPr>
            </w:pPr>
            <w:r>
              <w:rPr>
                <w:rFonts w:ascii="Arial" w:cs="Arial" w:eastAsia="Arial" w:hAnsi="Arial"/>
                <w:sz w:val="16"/>
                <w:szCs w:val="16"/>
                <w:color w:val="auto"/>
              </w:rPr>
              <w:t>50,763</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DBDBDB"/>
          </w:tcPr>
          <w:p>
            <w:pPr>
              <w:jc w:val="center"/>
              <w:ind w:left="719"/>
              <w:spacing w:after="0"/>
              <w:rPr>
                <w:sz w:val="20"/>
                <w:szCs w:val="20"/>
                <w:color w:val="auto"/>
              </w:rPr>
            </w:pPr>
            <w:r>
              <w:rPr>
                <w:rFonts w:ascii="Arial" w:cs="Arial" w:eastAsia="Arial" w:hAnsi="Arial"/>
                <w:sz w:val="16"/>
                <w:szCs w:val="16"/>
                <w:b w:val="1"/>
                <w:bCs w:val="1"/>
                <w:color w:val="auto"/>
              </w:rPr>
              <w:t>301,042</w:t>
            </w:r>
          </w:p>
        </w:tc>
        <w:tc>
          <w:tcPr>
            <w:tcW w:w="80" w:type="dxa"/>
            <w:vAlign w:val="bottom"/>
            <w:shd w:val="clear" w:color="auto" w:fill="DBDBDB"/>
          </w:tcPr>
          <w:p>
            <w:pPr>
              <w:spacing w:after="0"/>
              <w:rPr>
                <w:sz w:val="22"/>
                <w:szCs w:val="22"/>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309,169</w:t>
            </w:r>
          </w:p>
        </w:tc>
      </w:tr>
      <w:tr>
        <w:trPr>
          <w:trHeight w:val="239"/>
        </w:trPr>
        <w:tc>
          <w:tcPr>
            <w:tcW w:w="3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919"/>
              <w:spacing w:after="0"/>
              <w:rPr>
                <w:sz w:val="20"/>
                <w:szCs w:val="20"/>
                <w:color w:val="auto"/>
              </w:rPr>
            </w:pPr>
            <w:r>
              <w:rPr>
                <w:rFonts w:ascii="Arial" w:cs="Arial" w:eastAsia="Arial" w:hAnsi="Arial"/>
                <w:sz w:val="16"/>
                <w:szCs w:val="16"/>
                <w:b w:val="1"/>
                <w:bCs w:val="1"/>
                <w:color w:val="auto"/>
              </w:rPr>
              <w:t>(42,345)</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rPr>
              <w:t>(31,677)</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b w:val="1"/>
                <w:bCs w:val="1"/>
                <w:color w:val="auto"/>
              </w:rPr>
              <w:t>(150,191)</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(79,811)</w:t>
            </w:r>
          </w:p>
        </w:tc>
      </w:tr>
      <w:tr>
        <w:trPr>
          <w:trHeight w:val="260"/>
        </w:trPr>
        <w:tc>
          <w:tcPr>
            <w:tcW w:w="3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DBDBDB"/>
          </w:tcPr>
          <w:p>
            <w:pPr>
              <w:jc w:val="center"/>
              <w:ind w:left="939"/>
              <w:spacing w:after="0"/>
              <w:rPr>
                <w:sz w:val="20"/>
                <w:szCs w:val="20"/>
                <w:color w:val="auto"/>
              </w:rPr>
            </w:pPr>
            <w:r>
              <w:rPr>
                <w:rFonts w:ascii="Arial" w:cs="Arial" w:eastAsia="Arial" w:hAnsi="Arial"/>
                <w:sz w:val="16"/>
                <w:szCs w:val="16"/>
                <w:b w:val="1"/>
                <w:bCs w:val="1"/>
                <w:color w:val="auto"/>
                <w:w w:val="98"/>
              </w:rPr>
              <w:t>15,131</w:t>
            </w: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BDBDB"/>
          </w:tcPr>
          <w:p>
            <w:pPr>
              <w:jc w:val="center"/>
              <w:ind w:left="879"/>
              <w:spacing w:after="0"/>
              <w:rPr>
                <w:sz w:val="20"/>
                <w:szCs w:val="20"/>
                <w:color w:val="auto"/>
              </w:rPr>
            </w:pPr>
            <w:r>
              <w:rPr>
                <w:rFonts w:ascii="Arial" w:cs="Arial" w:eastAsia="Arial" w:hAnsi="Arial"/>
                <w:sz w:val="16"/>
                <w:szCs w:val="16"/>
                <w:color w:val="auto"/>
              </w:rPr>
              <w:t>19,086</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DBDBDB"/>
          </w:tcPr>
          <w:p>
            <w:pPr>
              <w:jc w:val="center"/>
              <w:ind w:left="719"/>
              <w:spacing w:after="0"/>
              <w:rPr>
                <w:sz w:val="20"/>
                <w:szCs w:val="20"/>
                <w:color w:val="auto"/>
              </w:rPr>
            </w:pPr>
            <w:r>
              <w:rPr>
                <w:rFonts w:ascii="Arial" w:cs="Arial" w:eastAsia="Arial" w:hAnsi="Arial"/>
                <w:sz w:val="16"/>
                <w:szCs w:val="16"/>
                <w:b w:val="1"/>
                <w:bCs w:val="1"/>
                <w:color w:val="auto"/>
              </w:rPr>
              <w:t>150,851</w:t>
            </w:r>
          </w:p>
        </w:tc>
        <w:tc>
          <w:tcPr>
            <w:tcW w:w="80" w:type="dxa"/>
            <w:vAlign w:val="bottom"/>
            <w:shd w:val="clear" w:color="auto" w:fill="DBDBDB"/>
          </w:tcPr>
          <w:p>
            <w:pPr>
              <w:spacing w:after="0"/>
              <w:rPr>
                <w:sz w:val="22"/>
                <w:szCs w:val="22"/>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229,358</w:t>
            </w:r>
          </w:p>
        </w:tc>
      </w:tr>
      <w:tr>
        <w:trPr>
          <w:trHeight w:val="20"/>
        </w:trPr>
        <w:tc>
          <w:tcPr>
            <w:tcW w:w="39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-513715</wp:posOffset>
            </wp:positionV>
            <wp:extent cx="4654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-676910</wp:posOffset>
            </wp:positionV>
            <wp:extent cx="4654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 Guidance Reconciliation (amounts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40" w:type="dxa"/>
            <w:vAlign w:val="bottom"/>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1660" w:type="dxa"/>
            <w:vAlign w:val="bottom"/>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Low Range*</w:t>
            </w:r>
          </w:p>
        </w:tc>
        <w:tc>
          <w:tcPr>
            <w:tcW w:w="100" w:type="dxa"/>
            <w:vAlign w:val="bottom"/>
            <w:shd w:val="clear" w:color="auto" w:fill="0A2299"/>
          </w:tcPr>
          <w:p>
            <w:pPr>
              <w:spacing w:after="0"/>
              <w:rPr>
                <w:sz w:val="21"/>
                <w:szCs w:val="21"/>
                <w:color w:val="auto"/>
              </w:rPr>
            </w:pPr>
          </w:p>
        </w:tc>
        <w:tc>
          <w:tcPr>
            <w:tcW w:w="120" w:type="dxa"/>
            <w:vAlign w:val="bottom"/>
            <w:shd w:val="clear" w:color="auto" w:fill="0A2299"/>
          </w:tcPr>
          <w:p>
            <w:pPr>
              <w:spacing w:after="0"/>
              <w:rPr>
                <w:sz w:val="21"/>
                <w:szCs w:val="21"/>
                <w:color w:val="auto"/>
              </w:rPr>
            </w:pPr>
          </w:p>
        </w:tc>
        <w:tc>
          <w:tcPr>
            <w:tcW w:w="1680" w:type="dxa"/>
            <w:vAlign w:val="bottom"/>
            <w:shd w:val="clear" w:color="auto" w:fill="0A2299"/>
          </w:tcPr>
          <w:p>
            <w:pPr>
              <w:jc w:val="center"/>
              <w:ind w:right="39"/>
              <w:spacing w:after="0"/>
              <w:rPr>
                <w:sz w:val="20"/>
                <w:szCs w:val="20"/>
                <w:color w:val="auto"/>
              </w:rPr>
            </w:pPr>
            <w:r>
              <w:rPr>
                <w:rFonts w:ascii="Arial" w:cs="Arial" w:eastAsia="Arial" w:hAnsi="Arial"/>
                <w:sz w:val="16"/>
                <w:szCs w:val="16"/>
                <w:b w:val="1"/>
                <w:bCs w:val="1"/>
                <w:color w:val="FFFFFF"/>
              </w:rPr>
              <w:t>High Range*</w:t>
            </w:r>
          </w:p>
        </w:tc>
      </w:tr>
      <w:tr>
        <w:trPr>
          <w:trHeight w:val="216"/>
        </w:trPr>
        <w:tc>
          <w:tcPr>
            <w:tcW w:w="7540" w:type="dxa"/>
            <w:vAlign w:val="bottom"/>
          </w:tcPr>
          <w:p>
            <w:pPr>
              <w:spacing w:after="0"/>
              <w:rPr>
                <w:sz w:val="18"/>
                <w:szCs w:val="18"/>
                <w:color w:val="auto"/>
              </w:rPr>
            </w:pPr>
          </w:p>
        </w:tc>
        <w:tc>
          <w:tcPr>
            <w:tcW w:w="140" w:type="dxa"/>
            <w:vAlign w:val="bottom"/>
            <w:shd w:val="clear" w:color="auto" w:fill="0A2299"/>
          </w:tcPr>
          <w:p>
            <w:pPr>
              <w:spacing w:after="0"/>
              <w:rPr>
                <w:sz w:val="18"/>
                <w:szCs w:val="18"/>
                <w:color w:val="auto"/>
              </w:rPr>
            </w:pPr>
          </w:p>
        </w:tc>
        <w:tc>
          <w:tcPr>
            <w:tcW w:w="1660" w:type="dxa"/>
            <w:vAlign w:val="bottom"/>
            <w:shd w:val="clear" w:color="auto" w:fill="0A2299"/>
          </w:tcPr>
          <w:p>
            <w:pPr>
              <w:jc w:val="center"/>
              <w:ind w:right="99"/>
              <w:spacing w:after="0"/>
              <w:rPr>
                <w:sz w:val="20"/>
                <w:szCs w:val="20"/>
                <w:color w:val="auto"/>
              </w:rPr>
            </w:pPr>
            <w:r>
              <w:rPr>
                <w:rFonts w:ascii="Arial" w:cs="Arial" w:eastAsia="Arial" w:hAnsi="Arial"/>
                <w:sz w:val="16"/>
                <w:szCs w:val="16"/>
                <w:b w:val="1"/>
                <w:bCs w:val="1"/>
                <w:color w:val="FFFFFF"/>
              </w:rPr>
              <w:t>Fiscal Year Ending</w:t>
            </w:r>
          </w:p>
        </w:tc>
        <w:tc>
          <w:tcPr>
            <w:tcW w:w="100" w:type="dxa"/>
            <w:vAlign w:val="bottom"/>
            <w:shd w:val="clear" w:color="auto" w:fill="0A2299"/>
          </w:tcPr>
          <w:p>
            <w:pPr>
              <w:spacing w:after="0"/>
              <w:rPr>
                <w:sz w:val="18"/>
                <w:szCs w:val="18"/>
                <w:color w:val="auto"/>
              </w:rPr>
            </w:pPr>
          </w:p>
        </w:tc>
        <w:tc>
          <w:tcPr>
            <w:tcW w:w="120" w:type="dxa"/>
            <w:vAlign w:val="bottom"/>
            <w:shd w:val="clear" w:color="auto" w:fill="0A2299"/>
          </w:tcPr>
          <w:p>
            <w:pPr>
              <w:spacing w:after="0"/>
              <w:rPr>
                <w:sz w:val="18"/>
                <w:szCs w:val="18"/>
                <w:color w:val="auto"/>
              </w:rPr>
            </w:pPr>
          </w:p>
        </w:tc>
        <w:tc>
          <w:tcPr>
            <w:tcW w:w="1680" w:type="dxa"/>
            <w:vAlign w:val="bottom"/>
            <w:shd w:val="clear" w:color="auto" w:fill="0A2299"/>
          </w:tcPr>
          <w:p>
            <w:pPr>
              <w:jc w:val="center"/>
              <w:ind w:right="79"/>
              <w:spacing w:after="0"/>
              <w:rPr>
                <w:sz w:val="20"/>
                <w:szCs w:val="20"/>
                <w:color w:val="auto"/>
              </w:rPr>
            </w:pPr>
            <w:r>
              <w:rPr>
                <w:rFonts w:ascii="Arial" w:cs="Arial" w:eastAsia="Arial" w:hAnsi="Arial"/>
                <w:sz w:val="16"/>
                <w:szCs w:val="16"/>
                <w:b w:val="1"/>
                <w:bCs w:val="1"/>
                <w:color w:val="FFFFFF"/>
              </w:rPr>
              <w:t>Fiscal Year Ending</w:t>
            </w:r>
          </w:p>
        </w:tc>
      </w:tr>
      <w:tr>
        <w:trPr>
          <w:trHeight w:val="224"/>
        </w:trPr>
        <w:tc>
          <w:tcPr>
            <w:tcW w:w="7540" w:type="dxa"/>
            <w:vAlign w:val="bottom"/>
          </w:tcPr>
          <w:p>
            <w:pPr>
              <w:spacing w:after="0"/>
              <w:rPr>
                <w:sz w:val="19"/>
                <w:szCs w:val="19"/>
                <w:color w:val="auto"/>
              </w:rPr>
            </w:pPr>
          </w:p>
        </w:tc>
        <w:tc>
          <w:tcPr>
            <w:tcW w:w="140" w:type="dxa"/>
            <w:vAlign w:val="bottom"/>
            <w:tcBorders>
              <w:bottom w:val="single" w:sz="8" w:color="0A2299"/>
            </w:tcBorders>
            <w:shd w:val="clear" w:color="auto" w:fill="0A2299"/>
          </w:tcPr>
          <w:p>
            <w:pPr>
              <w:spacing w:after="0"/>
              <w:rPr>
                <w:sz w:val="19"/>
                <w:szCs w:val="19"/>
                <w:color w:val="auto"/>
              </w:rPr>
            </w:pPr>
          </w:p>
        </w:tc>
        <w:tc>
          <w:tcPr>
            <w:tcW w:w="1660" w:type="dxa"/>
            <w:vAlign w:val="bottom"/>
            <w:tcBorders>
              <w:bottom w:val="single" w:sz="8" w:color="0A2299"/>
            </w:tcBorders>
            <w:shd w:val="clear" w:color="auto" w:fill="0A2299"/>
          </w:tcPr>
          <w:p>
            <w:pPr>
              <w:jc w:val="center"/>
              <w:ind w:right="59"/>
              <w:spacing w:after="0"/>
              <w:rPr>
                <w:sz w:val="20"/>
                <w:szCs w:val="20"/>
                <w:color w:val="auto"/>
              </w:rPr>
            </w:pPr>
            <w:r>
              <w:rPr>
                <w:rFonts w:ascii="Arial" w:cs="Arial" w:eastAsia="Arial" w:hAnsi="Arial"/>
                <w:sz w:val="16"/>
                <w:szCs w:val="16"/>
                <w:b w:val="1"/>
                <w:bCs w:val="1"/>
                <w:color w:val="FFFFFF"/>
              </w:rPr>
              <w:t>February 3, 2024</w:t>
            </w:r>
          </w:p>
        </w:tc>
        <w:tc>
          <w:tcPr>
            <w:tcW w:w="100" w:type="dxa"/>
            <w:vAlign w:val="bottom"/>
            <w:tcBorders>
              <w:bottom w:val="single" w:sz="8" w:color="0A2299"/>
            </w:tcBorders>
            <w:shd w:val="clear" w:color="auto" w:fill="0A2299"/>
          </w:tcPr>
          <w:p>
            <w:pPr>
              <w:spacing w:after="0"/>
              <w:rPr>
                <w:sz w:val="19"/>
                <w:szCs w:val="19"/>
                <w:color w:val="auto"/>
              </w:rPr>
            </w:pPr>
          </w:p>
        </w:tc>
        <w:tc>
          <w:tcPr>
            <w:tcW w:w="120" w:type="dxa"/>
            <w:vAlign w:val="bottom"/>
            <w:tcBorders>
              <w:bottom w:val="single" w:sz="8" w:color="0A2299"/>
            </w:tcBorders>
            <w:shd w:val="clear" w:color="auto" w:fill="0A2299"/>
          </w:tcPr>
          <w:p>
            <w:pPr>
              <w:spacing w:after="0"/>
              <w:rPr>
                <w:sz w:val="19"/>
                <w:szCs w:val="19"/>
                <w:color w:val="auto"/>
              </w:rPr>
            </w:pPr>
          </w:p>
        </w:tc>
        <w:tc>
          <w:tcPr>
            <w:tcW w:w="1680" w:type="dxa"/>
            <w:vAlign w:val="bottom"/>
            <w:tcBorders>
              <w:bottom w:val="single" w:sz="8" w:color="0A2299"/>
            </w:tcBorders>
            <w:shd w:val="clear" w:color="auto" w:fill="0A2299"/>
          </w:tcPr>
          <w:p>
            <w:pPr>
              <w:jc w:val="center"/>
              <w:ind w:right="39"/>
              <w:spacing w:after="0"/>
              <w:rPr>
                <w:sz w:val="20"/>
                <w:szCs w:val="20"/>
                <w:color w:val="auto"/>
              </w:rPr>
            </w:pPr>
            <w:r>
              <w:rPr>
                <w:rFonts w:ascii="Arial" w:cs="Arial" w:eastAsia="Arial" w:hAnsi="Arial"/>
                <w:sz w:val="16"/>
                <w:szCs w:val="16"/>
                <w:b w:val="1"/>
                <w:bCs w:val="1"/>
                <w:color w:val="FFFFFF"/>
              </w:rPr>
              <w:t>February 3, 2024</w:t>
            </w:r>
          </w:p>
        </w:tc>
      </w:tr>
      <w:tr>
        <w:trPr>
          <w:trHeight w:val="256"/>
        </w:trPr>
        <w:tc>
          <w:tcPr>
            <w:tcW w:w="7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rPr>
              <w:t>475</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w w:val="97"/>
              </w:rPr>
              <w:t>575</w:t>
            </w:r>
          </w:p>
        </w:tc>
      </w:tr>
      <w:tr>
        <w:trPr>
          <w:trHeight w:val="237"/>
        </w:trPr>
        <w:tc>
          <w:tcPr>
            <w:tcW w:w="7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1179"/>
              <w:spacing w:after="0"/>
              <w:rPr>
                <w:sz w:val="20"/>
                <w:szCs w:val="20"/>
                <w:color w:val="auto"/>
              </w:rPr>
            </w:pPr>
            <w:r>
              <w:rPr>
                <w:rFonts w:ascii="Arial" w:cs="Arial" w:eastAsia="Arial" w:hAnsi="Arial"/>
                <w:sz w:val="16"/>
                <w:szCs w:val="16"/>
                <w:color w:val="auto"/>
              </w:rPr>
              <w:t>(225)</w:t>
            </w:r>
          </w:p>
        </w:tc>
      </w:tr>
      <w:tr>
        <w:trPr>
          <w:trHeight w:val="263"/>
        </w:trPr>
        <w:tc>
          <w:tcPr>
            <w:tcW w:w="75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Adjusted Free Cash Flow</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rPr>
              <w:t>300</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center"/>
              <w:ind w:left="1179"/>
              <w:spacing w:after="0"/>
              <w:rPr>
                <w:sz w:val="20"/>
                <w:szCs w:val="20"/>
                <w:color w:val="auto"/>
              </w:rPr>
            </w:pPr>
            <w:r>
              <w:rPr>
                <w:rFonts w:ascii="Arial" w:cs="Arial" w:eastAsia="Arial" w:hAnsi="Arial"/>
                <w:sz w:val="16"/>
                <w:szCs w:val="16"/>
                <w:color w:val="auto"/>
                <w:w w:val="97"/>
              </w:rPr>
              <w:t>350</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-513715</wp:posOffset>
            </wp:positionV>
            <wp:extent cx="2348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-805180</wp:posOffset>
            </wp:positionV>
            <wp:extent cx="2348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0" w:lineRule="exact"/>
        <w:rPr>
          <w:sz w:val="20"/>
          <w:szCs w:val="20"/>
          <w:color w:val="auto"/>
        </w:rPr>
      </w:pPr>
    </w:p>
    <w:p>
      <w:pPr>
        <w:ind w:left="380" w:hanging="354"/>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sectPr>
      <w:pgSz w:w="11900" w:h="16838" w:orient="portrait"/>
      <w:cols w:equalWidth="0" w:num="1">
        <w:col w:w="11240"/>
      </w:cols>
      <w:pgMar w:left="320" w:top="9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2023-11-30T07:12:38Z</dcterms:created>
  <dcterms:modified xsi:type="dcterms:W3CDTF">2023-11-30T07:12:38Z</dcterms:modified>
</cp:coreProperties>
</file>