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-234315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21590</wp:posOffset>
            </wp:positionV>
            <wp:extent cx="7045960" cy="58877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887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Ford Earl Carlton IV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 w:line="3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ACADEMY SPORTS AND OUTDOORS, INC. 1800 NORTH MASON ROAD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77449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Academy Sports &amp; Outdoors,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ASO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09/06/2023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EVP &amp; CFO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340" w:right="60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51.4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09/06/2023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9,838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09/06/2033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9,838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9,838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7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4,863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7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09/06/2023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4,863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4,863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9,727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7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09/06/2023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9,727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9,727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under the Company's 2020 Omnibus Incentive Plan, as amended (the "Plan").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time-based options vest in three equal installments beginning on the first anniversary of the grant date.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("RSU") represents a contingent right to receive one share of Issuer common stock, par value $0.01 per share ("Common Stock").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time-based RSUs vest in three equal installments beginning on the first anniversary of the grant date.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60" w:firstLine="3"/>
        <w:spacing w:after="0" w:line="298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On September 6, 2023, the Reporting Person was granted 9,727 performance-based restricted stock units ("PRSUs"). These PRSUs vest if certain preestablished performance metrics related to the Company's (i) adjusted pre-tax income, and (ii) return on invested capital over a 3-year period beginning on January 29, 2023 and ending on January 31, 2026, are achieved and certified by the Issuer's compensation committee (which, if any, may vary from 0% to 200% of the number shown above), subject to the Reporting Person's continued service with the Issuer through the applicable vesting date.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Gary Holland, Attorney-in-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09/08/2023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984055" TargetMode="External"/><Relationship Id="rId13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2023-09-08T15:26:40Z</dcterms:created>
  <dcterms:modified xsi:type="dcterms:W3CDTF">2023-09-08T15:26:40Z</dcterms:modified>
</cp:coreProperties>
</file>