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6011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011545"/>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Lawrence Steven Paul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98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300" w:type="dxa"/>
            <w:vAlign w:val="bottom"/>
          </w:tcPr>
          <w:p>
            <w:pPr>
              <w:spacing w:after="0"/>
              <w:rPr>
                <w:sz w:val="19"/>
                <w:szCs w:val="19"/>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72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300" w:type="dxa"/>
            <w:vAlign w:val="bottom"/>
          </w:tcPr>
          <w:p>
            <w:pPr>
              <w:ind w:left="180"/>
              <w:spacing w:after="0"/>
              <w:rPr>
                <w:sz w:val="20"/>
                <w:szCs w:val="20"/>
                <w:color w:val="auto"/>
              </w:rPr>
            </w:pPr>
            <w:r>
              <w:rPr>
                <w:rFonts w:ascii="Arial" w:cs="Arial" w:eastAsia="Arial" w:hAnsi="Arial"/>
                <w:sz w:val="13"/>
                <w:szCs w:val="13"/>
                <w:color w:val="auto"/>
              </w:rPr>
              <w:t>10% Owner</w:t>
            </w:r>
          </w:p>
        </w:tc>
      </w:tr>
      <w:tr>
        <w:trPr>
          <w:trHeight w:val="185"/>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72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180"/>
              <w:spacing w:after="0"/>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800" w:type="dxa"/>
            <w:vAlign w:val="bottom"/>
          </w:tcPr>
          <w:p>
            <w:pPr>
              <w:ind w:left="400"/>
              <w:spacing w:after="0"/>
              <w:rPr>
                <w:sz w:val="20"/>
                <w:szCs w:val="20"/>
                <w:color w:val="auto"/>
              </w:rPr>
            </w:pPr>
            <w:r>
              <w:rPr>
                <w:rFonts w:ascii="Arial" w:cs="Arial" w:eastAsia="Arial" w:hAnsi="Arial"/>
                <w:sz w:val="13"/>
                <w:szCs w:val="13"/>
                <w:color w:val="auto"/>
              </w:rPr>
              <w:t>below)</w:t>
            </w:r>
          </w:p>
        </w:tc>
        <w:tc>
          <w:tcPr>
            <w:tcW w:w="1300" w:type="dxa"/>
            <w:vAlign w:val="bottom"/>
          </w:tcPr>
          <w:p>
            <w:pPr>
              <w:ind w:left="180"/>
              <w:spacing w:after="0"/>
              <w:rPr>
                <w:sz w:val="20"/>
                <w:szCs w:val="20"/>
                <w:color w:val="auto"/>
              </w:rPr>
            </w:pPr>
            <w:r>
              <w:rPr>
                <w:rFonts w:ascii="Arial" w:cs="Arial" w:eastAsia="Arial" w:hAnsi="Arial"/>
                <w:sz w:val="13"/>
                <w:szCs w:val="13"/>
                <w:color w:val="auto"/>
              </w:rPr>
              <w:t>below)</w:t>
            </w:r>
          </w:p>
        </w:tc>
      </w:tr>
      <w:tr>
        <w:trPr>
          <w:trHeight w:val="218"/>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01/30/2025</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ind w:left="1300"/>
              <w:spacing w:after="0"/>
              <w:rPr>
                <w:sz w:val="20"/>
                <w:szCs w:val="20"/>
                <w:color w:val="auto"/>
              </w:rPr>
            </w:pPr>
            <w:r>
              <w:rPr>
                <w:rFonts w:ascii="Times New Roman" w:cs="Times New Roman" w:eastAsia="Times New Roman" w:hAnsi="Times New Roman"/>
                <w:sz w:val="17"/>
                <w:szCs w:val="17"/>
                <w:color w:val="0000FF"/>
              </w:rPr>
              <w:t>CEO</w:t>
            </w:r>
          </w:p>
        </w:tc>
        <w:tc>
          <w:tcPr>
            <w:tcW w:w="1300" w:type="dxa"/>
            <w:vAlign w:val="bottom"/>
          </w:tcPr>
          <w:p>
            <w:pPr>
              <w:spacing w:after="0"/>
              <w:rPr>
                <w:sz w:val="18"/>
                <w:szCs w:val="18"/>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70" w:lineRule="exact"/>
        <w:rPr>
          <w:sz w:val="24"/>
          <w:szCs w:val="24"/>
          <w:color w:val="auto"/>
        </w:rPr>
      </w:pPr>
    </w:p>
    <w:p>
      <w:pPr>
        <w:sectPr>
          <w:pgSz w:w="11900" w:h="16838" w:orient="portrait"/>
          <w:cols w:equalWidth="0" w:num="2">
            <w:col w:w="3740" w:space="1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jc w:val="center"/>
              <w:ind w:left="551"/>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71"/>
              <w:spacing w:after="0"/>
              <w:rPr>
                <w:sz w:val="20"/>
                <w:szCs w:val="20"/>
                <w:color w:val="auto"/>
              </w:rPr>
            </w:pPr>
            <w:r>
              <w:rPr>
                <w:rFonts w:ascii="Times New Roman" w:cs="Times New Roman" w:eastAsia="Times New Roman" w:hAnsi="Times New Roman"/>
                <w:sz w:val="17"/>
                <w:szCs w:val="17"/>
                <w:color w:val="0000FF"/>
              </w:rPr>
              <w:t>01/30/2025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center"/>
              <w:ind w:left="69"/>
              <w:spacing w:after="0"/>
              <w:rPr>
                <w:sz w:val="20"/>
                <w:szCs w:val="20"/>
                <w:color w:val="auto"/>
              </w:rPr>
            </w:pPr>
            <w:r>
              <w:rPr>
                <w:rFonts w:ascii="Times New Roman" w:cs="Times New Roman" w:eastAsia="Times New Roman" w:hAnsi="Times New Roman"/>
                <w:sz w:val="17"/>
                <w:szCs w:val="17"/>
                <w:color w:val="0000FF"/>
                <w:w w:val="99"/>
              </w:rPr>
              <w:t>1,990</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174"/>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146,636</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71"/>
              <w:spacing w:after="0"/>
              <w:rPr>
                <w:sz w:val="20"/>
                <w:szCs w:val="20"/>
                <w:color w:val="auto"/>
              </w:rPr>
            </w:pPr>
            <w:r>
              <w:rPr>
                <w:rFonts w:ascii="Times New Roman" w:cs="Times New Roman" w:eastAsia="Times New Roman" w:hAnsi="Times New Roman"/>
                <w:sz w:val="17"/>
                <w:szCs w:val="17"/>
                <w:color w:val="0000FF"/>
              </w:rPr>
              <w:t>01/30/2025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center"/>
              <w:ind w:left="69"/>
              <w:spacing w:after="0"/>
              <w:rPr>
                <w:sz w:val="20"/>
                <w:szCs w:val="20"/>
                <w:color w:val="auto"/>
              </w:rPr>
            </w:pPr>
            <w:r>
              <w:rPr>
                <w:rFonts w:ascii="Times New Roman" w:cs="Times New Roman" w:eastAsia="Times New Roman" w:hAnsi="Times New Roman"/>
                <w:sz w:val="17"/>
                <w:szCs w:val="17"/>
                <w:color w:val="0000FF"/>
              </w:rPr>
              <w:t>536</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53.97</w:t>
            </w: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146,100</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71"/>
              <w:spacing w:after="0"/>
              <w:rPr>
                <w:sz w:val="20"/>
                <w:szCs w:val="20"/>
                <w:color w:val="auto"/>
              </w:rPr>
            </w:pPr>
            <w:r>
              <w:rPr>
                <w:rFonts w:ascii="Times New Roman" w:cs="Times New Roman" w:eastAsia="Times New Roman" w:hAnsi="Times New Roman"/>
                <w:sz w:val="17"/>
                <w:szCs w:val="17"/>
                <w:color w:val="0000FF"/>
              </w:rPr>
              <w:t>01/31/2025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center"/>
              <w:ind w:left="69"/>
              <w:spacing w:after="0"/>
              <w:rPr>
                <w:sz w:val="20"/>
                <w:szCs w:val="20"/>
                <w:color w:val="auto"/>
              </w:rPr>
            </w:pPr>
            <w:r>
              <w:rPr>
                <w:rFonts w:ascii="Times New Roman" w:cs="Times New Roman" w:eastAsia="Times New Roman" w:hAnsi="Times New Roman"/>
                <w:sz w:val="17"/>
                <w:szCs w:val="17"/>
                <w:color w:val="0000FF"/>
                <w:w w:val="99"/>
              </w:rPr>
              <w:t>3,057</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174"/>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149,157</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71"/>
              <w:spacing w:after="0"/>
              <w:rPr>
                <w:sz w:val="20"/>
                <w:szCs w:val="20"/>
                <w:color w:val="auto"/>
              </w:rPr>
            </w:pPr>
            <w:r>
              <w:rPr>
                <w:rFonts w:ascii="Times New Roman" w:cs="Times New Roman" w:eastAsia="Times New Roman" w:hAnsi="Times New Roman"/>
                <w:sz w:val="17"/>
                <w:szCs w:val="17"/>
                <w:color w:val="0000FF"/>
              </w:rPr>
              <w:t>01/31/2025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center"/>
              <w:ind w:left="69"/>
              <w:spacing w:after="0"/>
              <w:rPr>
                <w:sz w:val="20"/>
                <w:szCs w:val="20"/>
                <w:color w:val="auto"/>
              </w:rPr>
            </w:pPr>
            <w:r>
              <w:rPr>
                <w:rFonts w:ascii="Times New Roman" w:cs="Times New Roman" w:eastAsia="Times New Roman" w:hAnsi="Times New Roman"/>
                <w:sz w:val="17"/>
                <w:szCs w:val="17"/>
                <w:color w:val="0000FF"/>
              </w:rPr>
              <w:t>745</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54.68</w:t>
            </w: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148,412</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1,990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01/30/2025</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1,990</w:t>
            </w:r>
          </w:p>
        </w:tc>
        <w:tc>
          <w:tcPr>
            <w:tcW w:w="760" w:type="dxa"/>
            <w:vAlign w:val="bottom"/>
            <w:gridSpan w:val="2"/>
          </w:tcPr>
          <w:p>
            <w:pPr>
              <w:jc w:val="center"/>
              <w:ind w:right="18"/>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0000FF"/>
              </w:rPr>
              <w:t>2,531</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3,057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01/31/2025</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3,057</w:t>
            </w:r>
          </w:p>
        </w:tc>
        <w:tc>
          <w:tcPr>
            <w:tcW w:w="760" w:type="dxa"/>
            <w:vAlign w:val="bottom"/>
            <w:gridSpan w:val="2"/>
          </w:tcPr>
          <w:p>
            <w:pPr>
              <w:jc w:val="center"/>
              <w:ind w:right="18"/>
              <w:spacing w:after="0"/>
              <w:rPr>
                <w:sz w:val="20"/>
                <w:szCs w:val="20"/>
                <w:color w:val="auto"/>
              </w:rPr>
            </w:pPr>
            <w:r>
              <w:rPr>
                <w:rFonts w:ascii="Times New Roman" w:cs="Times New Roman" w:eastAsia="Times New Roman" w:hAnsi="Times New Roman"/>
                <w:sz w:val="11"/>
                <w:szCs w:val="11"/>
                <w:color w:val="008000"/>
                <w:w w:val="93"/>
              </w:rPr>
              <w:t>(4)</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03/31/2031</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-2493645</wp:posOffset>
            </wp:positionV>
            <wp:extent cx="29210" cy="2498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987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ind w:left="40" w:right="30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8,501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7,961 PRSUs were deemed earned. Of this earned amount, 25% of the earned amount of this grant vested on March 1, 2023, and the remaining 75% will vest in three equal annual installments beginning on January 30, 2024, subject to the Reporting Person's continued service with the Issuer through each applicable vesting date. The remaining unearned amount of this grant (i.e., 540 PRSUs) may vest upon certification by the Issuer's compensation committee of achievement of certain Issuer stock price conditions as of January 30, 2026.</w:t>
      </w:r>
    </w:p>
    <w:p>
      <w:pPr>
        <w:spacing w:after="0" w:line="28"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2021, the Reporting Person was granted 12,226 PRSUs. These PRSUs vest if certain performance criteria and/or Issuer stock price conditions are met and certified by the Issuer's compensation committee. Following certification of achievement of the performance criteria during fiscal 2021 by the Issuer's compensation committee on March 2, 2022, 25% of this grant vested on March 2, 2022, and the remaining 75% vest in three equal annual installments beginning on January 31, 2023, subject to the Reporting Person's continued service with the Issuer through each applicable vesting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01/31/2025</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8845"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2025-01-31T15:25:50Z</dcterms:created>
  <dcterms:modified xsi:type="dcterms:W3CDTF">2025-01-31T15:25:50Z</dcterms:modified>
</cp:coreProperties>
</file>