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8"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WASHINGTON, D.C. 20549</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SCHEDULE 14A</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1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(Amendment No.  )</w:t>
      </w:r>
    </w:p>
    <w:p>
      <w:pPr>
        <w:spacing w:after="0" w:line="131" w:lineRule="exact"/>
        <w:rPr>
          <w:sz w:val="24"/>
          <w:szCs w:val="24"/>
          <w:color w:val="auto"/>
        </w:rPr>
      </w:pPr>
    </w:p>
    <w:p>
      <w:pPr>
        <w:ind w:left="12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03" w:lineRule="exact"/>
        <w:rPr>
          <w:sz w:val="24"/>
          <w:szCs w:val="24"/>
          <w:color w:val="auto"/>
        </w:rPr>
      </w:pPr>
    </w:p>
    <w:p>
      <w:pPr>
        <w:ind w:left="124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33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ind w:left="720" w:hanging="690"/>
        <w:spacing w:after="0" w:line="218" w:lineRule="auto"/>
        <w:tabs>
          <w:tab w:leader="none" w:pos="720" w:val="left"/>
        </w:tabs>
        <w:numPr>
          <w:ilvl w:val="0"/>
          <w:numId w:val="1"/>
        </w:numPr>
        <w:rPr>
          <w:rFonts w:ascii="Arial" w:cs="Arial" w:eastAsia="Arial" w:hAnsi="Arial"/>
          <w:sz w:val="32"/>
          <w:szCs w:val="32"/>
          <w:color w:val="auto"/>
          <w:vertAlign w:val="superscript"/>
        </w:rPr>
      </w:pPr>
      <w:r>
        <w:rPr>
          <w:rFonts w:ascii="Arial" w:cs="Arial" w:eastAsia="Arial" w:hAnsi="Arial"/>
          <w:sz w:val="17"/>
          <w:szCs w:val="17"/>
          <w:color w:val="auto"/>
        </w:rPr>
        <w:t>Preliminary Proxy Statement</w:t>
      </w:r>
    </w:p>
    <w:p>
      <w:pPr>
        <w:spacing w:after="0" w:line="95" w:lineRule="exact"/>
        <w:rPr>
          <w:rFonts w:ascii="Arial" w:cs="Arial" w:eastAsia="Arial" w:hAnsi="Arial"/>
          <w:sz w:val="32"/>
          <w:szCs w:val="32"/>
          <w:color w:val="auto"/>
          <w:vertAlign w:val="superscript"/>
        </w:rPr>
      </w:pPr>
    </w:p>
    <w:p>
      <w:pPr>
        <w:ind w:left="720" w:hanging="690"/>
        <w:spacing w:after="0" w:line="183" w:lineRule="auto"/>
        <w:tabs>
          <w:tab w:leader="none" w:pos="720" w:val="left"/>
        </w:tabs>
        <w:numPr>
          <w:ilvl w:val="0"/>
          <w:numId w:val="1"/>
        </w:numPr>
        <w:rPr>
          <w:rFonts w:ascii="Arial" w:cs="Arial" w:eastAsia="Arial" w:hAnsi="Arial"/>
          <w:sz w:val="23"/>
          <w:szCs w:val="23"/>
          <w:color w:val="auto"/>
          <w:vertAlign w:val="superscript"/>
        </w:rPr>
      </w:pPr>
      <w:r>
        <w:rPr>
          <w:rFonts w:ascii="Arial" w:cs="Arial" w:eastAsia="Arial" w:hAnsi="Arial"/>
          <w:sz w:val="14"/>
          <w:szCs w:val="14"/>
          <w:b w:val="1"/>
          <w:bCs w:val="1"/>
          <w:color w:val="auto"/>
        </w:rPr>
        <w:t>Confidential, for Use of the Commission Only (as permitted by Rule 14a-6(e)(2))</w:t>
      </w:r>
    </w:p>
    <w:p>
      <w:pPr>
        <w:spacing w:after="0" w:line="14" w:lineRule="exact"/>
        <w:rPr>
          <w:rFonts w:ascii="Arial" w:cs="Arial" w:eastAsia="Arial" w:hAnsi="Arial"/>
          <w:sz w:val="23"/>
          <w:szCs w:val="23"/>
          <w:color w:val="auto"/>
          <w:vertAlign w:val="superscript"/>
        </w:rPr>
      </w:pPr>
    </w:p>
    <w:p>
      <w:pPr>
        <w:ind w:left="20"/>
        <w:spacing w:after="0" w:line="196" w:lineRule="exact"/>
        <w:rPr>
          <w:rFonts w:ascii="Arial" w:cs="Arial" w:eastAsia="Arial" w:hAnsi="Arial"/>
          <w:sz w:val="23"/>
          <w:szCs w:val="23"/>
          <w:color w:val="auto"/>
          <w:vertAlign w:val="superscript"/>
        </w:rPr>
      </w:pPr>
      <w:r>
        <w:rPr>
          <w:rFonts w:ascii="MS PGothic" w:cs="MS PGothic" w:eastAsia="MS PGothic" w:hAnsi="MS PGothic"/>
          <w:sz w:val="17"/>
          <w:szCs w:val="17"/>
          <w:color w:val="auto"/>
        </w:rPr>
        <w:t>☐</w:t>
      </w:r>
      <w:r>
        <w:rPr>
          <w:rFonts w:ascii="Arial" w:cs="Arial" w:eastAsia="Arial" w:hAnsi="Arial"/>
          <w:sz w:val="15"/>
          <w:szCs w:val="15"/>
          <w:color w:val="auto"/>
        </w:rPr>
        <w:t>Definitive Proxy Statement</w:t>
      </w:r>
    </w:p>
    <w:p>
      <w:pPr>
        <w:ind w:left="720" w:hanging="690"/>
        <w:spacing w:after="0" w:line="227" w:lineRule="auto"/>
        <w:tabs>
          <w:tab w:leader="none" w:pos="72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17"/>
          <w:szCs w:val="17"/>
          <w:color w:val="auto"/>
        </w:rPr>
        <w:t>Definitive Additional Materials</w:t>
      </w:r>
    </w:p>
    <w:p>
      <w:pPr>
        <w:ind w:left="720" w:hanging="690"/>
        <w:spacing w:after="0" w:line="194" w:lineRule="auto"/>
        <w:tabs>
          <w:tab w:leader="none" w:pos="720" w:val="left"/>
        </w:tabs>
        <w:numPr>
          <w:ilvl w:val="0"/>
          <w:numId w:val="3"/>
        </w:numPr>
        <w:rPr>
          <w:rFonts w:ascii="Arial" w:cs="Arial" w:eastAsia="Arial" w:hAnsi="Arial"/>
          <w:sz w:val="32"/>
          <w:szCs w:val="32"/>
          <w:color w:val="auto"/>
          <w:vertAlign w:val="superscript"/>
        </w:rPr>
      </w:pPr>
      <w:r>
        <w:rPr>
          <w:rFonts w:ascii="Arial" w:cs="Arial" w:eastAsia="Arial" w:hAnsi="Arial"/>
          <w:sz w:val="17"/>
          <w:szCs w:val="17"/>
          <w:color w:val="auto"/>
        </w:rPr>
        <w:t>Soliciting Material Pursuant to §240.14a-12</w:t>
      </w:r>
    </w:p>
    <w:p>
      <w:pPr>
        <w:spacing w:after="0" w:line="294"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u w:val="single" w:color="auto"/>
          <w:color w:val="auto"/>
        </w:rPr>
        <w:t>ACADEMY SPORTS AND OUTDOORS, INC.</w:t>
      </w:r>
    </w:p>
    <w:p>
      <w:pPr>
        <w:spacing w:after="0" w:line="51"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5"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38" w:lineRule="exact"/>
        <w:rPr>
          <w:sz w:val="24"/>
          <w:szCs w:val="24"/>
          <w:color w:val="auto"/>
        </w:rPr>
      </w:pPr>
    </w:p>
    <w:p>
      <w:pPr>
        <w:ind w:left="720" w:hanging="694"/>
        <w:spacing w:after="0"/>
        <w:tabs>
          <w:tab w:leader="none" w:pos="72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66" w:lineRule="exact"/>
        <w:rPr>
          <w:sz w:val="24"/>
          <w:szCs w:val="24"/>
          <w:color w:val="auto"/>
        </w:rPr>
      </w:pPr>
    </w:p>
    <w:p>
      <w:pPr>
        <w:ind w:left="720" w:hanging="690"/>
        <w:spacing w:after="0"/>
        <w:tabs>
          <w:tab w:leader="none" w:pos="720" w:val="left"/>
        </w:tabs>
        <w:numPr>
          <w:ilvl w:val="0"/>
          <w:numId w:val="5"/>
        </w:numPr>
        <w:rPr>
          <w:rFonts w:ascii="Arial" w:cs="Arial" w:eastAsia="Arial" w:hAnsi="Arial"/>
          <w:sz w:val="32"/>
          <w:szCs w:val="32"/>
          <w:color w:val="auto"/>
          <w:vertAlign w:val="superscript"/>
        </w:rPr>
      </w:pPr>
      <w:r>
        <w:rPr>
          <w:rFonts w:ascii="Arial" w:cs="Arial" w:eastAsia="Arial" w:hAnsi="Arial"/>
          <w:sz w:val="17"/>
          <w:szCs w:val="17"/>
          <w:color w:val="auto"/>
        </w:rPr>
        <w:t>Fee computed on table below per Exchange Act Rules 14a-6(i)(1) and 0-11.</w:t>
      </w:r>
    </w:p>
    <w:p>
      <w:pPr>
        <w:spacing w:after="0" w:line="215" w:lineRule="exact"/>
        <w:rPr>
          <w:rFonts w:ascii="Arial" w:cs="Arial" w:eastAsia="Arial" w:hAnsi="Arial"/>
          <w:sz w:val="32"/>
          <w:szCs w:val="32"/>
          <w:color w:val="auto"/>
          <w:vertAlign w:val="superscript"/>
        </w:rPr>
      </w:pPr>
    </w:p>
    <w:p>
      <w:pPr>
        <w:ind w:left="1260" w:hanging="546"/>
        <w:spacing w:after="0"/>
        <w:tabs>
          <w:tab w:leader="none" w:pos="12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36" w:lineRule="exact"/>
        <w:rPr>
          <w:rFonts w:ascii="Arial" w:cs="Arial" w:eastAsia="Arial" w:hAnsi="Arial"/>
          <w:sz w:val="17"/>
          <w:szCs w:val="17"/>
          <w:color w:val="auto"/>
        </w:rPr>
      </w:pPr>
    </w:p>
    <w:p>
      <w:pPr>
        <w:ind w:left="1260" w:hanging="546"/>
        <w:spacing w:after="0"/>
        <w:tabs>
          <w:tab w:leader="none" w:pos="126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36"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5"/>
          <w:szCs w:val="15"/>
          <w:color w:val="auto"/>
        </w:rPr>
        <w:t>Per unit price or other underlying value of transaction computed pursuant to Exchange Act Rule 0-11 (set forth the amount on which the filing</w:t>
      </w:r>
    </w:p>
    <w:p>
      <w:pPr>
        <w:spacing w:after="0" w:line="3" w:lineRule="exact"/>
        <w:rPr>
          <w:rFonts w:ascii="Arial" w:cs="Arial" w:eastAsia="Arial" w:hAnsi="Arial"/>
          <w:sz w:val="17"/>
          <w:szCs w:val="17"/>
          <w:color w:val="auto"/>
        </w:rPr>
      </w:pPr>
    </w:p>
    <w:p>
      <w:pPr>
        <w:ind w:left="1260" w:hanging="546"/>
        <w:spacing w:after="0"/>
        <w:tabs>
          <w:tab w:leader="none" w:pos="1260" w:val="left"/>
        </w:tabs>
        <w:numPr>
          <w:ilvl w:val="1"/>
          <w:numId w:val="5"/>
        </w:numPr>
        <w:rPr>
          <w:rFonts w:ascii="Arial" w:cs="Arial" w:eastAsia="Arial" w:hAnsi="Arial"/>
          <w:sz w:val="17"/>
          <w:szCs w:val="17"/>
          <w:color w:val="auto"/>
        </w:rPr>
      </w:pPr>
      <w:r>
        <w:rPr>
          <w:rFonts w:ascii="Arial" w:cs="Arial" w:eastAsia="Arial" w:hAnsi="Arial"/>
          <w:sz w:val="17"/>
          <w:szCs w:val="17"/>
          <w:color w:val="auto"/>
        </w:rPr>
        <w:t>fee is calculated and state how it was determined):</w:t>
      </w:r>
    </w:p>
    <w:p>
      <w:pPr>
        <w:spacing w:after="0" w:line="222" w:lineRule="exact"/>
        <w:rPr>
          <w:rFonts w:ascii="Arial" w:cs="Arial" w:eastAsia="Arial" w:hAnsi="Arial"/>
          <w:sz w:val="17"/>
          <w:szCs w:val="17"/>
          <w:color w:val="auto"/>
        </w:rPr>
      </w:pPr>
    </w:p>
    <w:p>
      <w:pPr>
        <w:ind w:left="1260" w:hanging="546"/>
        <w:spacing w:after="0"/>
        <w:tabs>
          <w:tab w:leader="none" w:pos="126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36" w:lineRule="exact"/>
        <w:rPr>
          <w:rFonts w:ascii="Arial" w:cs="Arial" w:eastAsia="Arial" w:hAnsi="Arial"/>
          <w:sz w:val="17"/>
          <w:szCs w:val="17"/>
          <w:color w:val="auto"/>
        </w:rPr>
      </w:pPr>
    </w:p>
    <w:p>
      <w:pPr>
        <w:ind w:left="1260" w:hanging="546"/>
        <w:spacing w:after="0"/>
        <w:tabs>
          <w:tab w:leader="none" w:pos="12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165" w:lineRule="exact"/>
        <w:rPr>
          <w:rFonts w:ascii="Arial" w:cs="Arial" w:eastAsia="Arial" w:hAnsi="Arial"/>
          <w:sz w:val="17"/>
          <w:szCs w:val="17"/>
          <w:color w:val="auto"/>
        </w:rPr>
      </w:pPr>
    </w:p>
    <w:p>
      <w:pPr>
        <w:ind w:left="720" w:hanging="690"/>
        <w:spacing w:after="0"/>
        <w:tabs>
          <w:tab w:leader="none" w:pos="720" w:val="left"/>
        </w:tabs>
        <w:numPr>
          <w:ilvl w:val="0"/>
          <w:numId w:val="5"/>
        </w:numPr>
        <w:rPr>
          <w:rFonts w:ascii="Arial" w:cs="Arial" w:eastAsia="Arial" w:hAnsi="Arial"/>
          <w:sz w:val="32"/>
          <w:szCs w:val="32"/>
          <w:color w:val="auto"/>
          <w:vertAlign w:val="superscript"/>
        </w:rPr>
      </w:pPr>
      <w:r>
        <w:rPr>
          <w:rFonts w:ascii="Arial" w:cs="Arial" w:eastAsia="Arial" w:hAnsi="Arial"/>
          <w:sz w:val="17"/>
          <w:szCs w:val="17"/>
          <w:color w:val="auto"/>
        </w:rPr>
        <w:t>Fee paid previously with preliminary materials.</w:t>
      </w:r>
    </w:p>
    <w:p>
      <w:pPr>
        <w:spacing w:after="0" w:line="215" w:lineRule="exact"/>
        <w:rPr>
          <w:rFonts w:ascii="Arial" w:cs="Arial" w:eastAsia="Arial" w:hAnsi="Arial"/>
          <w:sz w:val="32"/>
          <w:szCs w:val="32"/>
          <w:color w:val="auto"/>
          <w:vertAlign w:val="superscript"/>
        </w:rPr>
      </w:pPr>
    </w:p>
    <w:p>
      <w:pPr>
        <w:ind w:left="720" w:right="280" w:hanging="690"/>
        <w:spacing w:after="0" w:line="253" w:lineRule="auto"/>
        <w:tabs>
          <w:tab w:leader="none" w:pos="720" w:val="left"/>
        </w:tabs>
        <w:numPr>
          <w:ilvl w:val="0"/>
          <w:numId w:val="5"/>
        </w:numPr>
        <w:rPr>
          <w:rFonts w:ascii="Arial" w:cs="Arial" w:eastAsia="Arial" w:hAnsi="Arial"/>
          <w:sz w:val="15"/>
          <w:szCs w:val="15"/>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6" w:lineRule="exact"/>
        <w:rPr>
          <w:rFonts w:ascii="Arial" w:cs="Arial" w:eastAsia="Arial" w:hAnsi="Arial"/>
          <w:sz w:val="15"/>
          <w:szCs w:val="15"/>
          <w:color w:val="auto"/>
        </w:rPr>
      </w:pPr>
    </w:p>
    <w:p>
      <w:pPr>
        <w:ind w:left="1260" w:hanging="546"/>
        <w:spacing w:after="0"/>
        <w:tabs>
          <w:tab w:leader="none" w:pos="126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36" w:lineRule="exact"/>
        <w:rPr>
          <w:rFonts w:ascii="Arial" w:cs="Arial" w:eastAsia="Arial" w:hAnsi="Arial"/>
          <w:sz w:val="17"/>
          <w:szCs w:val="17"/>
          <w:color w:val="auto"/>
        </w:rPr>
      </w:pPr>
    </w:p>
    <w:p>
      <w:pPr>
        <w:ind w:left="1260" w:hanging="546"/>
        <w:spacing w:after="0"/>
        <w:tabs>
          <w:tab w:leader="none" w:pos="126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36" w:lineRule="exact"/>
        <w:rPr>
          <w:rFonts w:ascii="Arial" w:cs="Arial" w:eastAsia="Arial" w:hAnsi="Arial"/>
          <w:sz w:val="17"/>
          <w:szCs w:val="17"/>
          <w:color w:val="auto"/>
        </w:rPr>
      </w:pPr>
    </w:p>
    <w:p>
      <w:pPr>
        <w:ind w:left="1260" w:hanging="546"/>
        <w:spacing w:after="0"/>
        <w:tabs>
          <w:tab w:leader="none" w:pos="126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36" w:lineRule="exact"/>
        <w:rPr>
          <w:rFonts w:ascii="Arial" w:cs="Arial" w:eastAsia="Arial" w:hAnsi="Arial"/>
          <w:sz w:val="17"/>
          <w:szCs w:val="17"/>
          <w:color w:val="auto"/>
        </w:rPr>
      </w:pPr>
    </w:p>
    <w:p>
      <w:pPr>
        <w:ind w:left="1260" w:hanging="546"/>
        <w:spacing w:after="0"/>
        <w:tabs>
          <w:tab w:leader="none" w:pos="126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1529080</wp:posOffset>
            </wp:positionV>
            <wp:extent cx="5349240" cy="6574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57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600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6008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2021-04-29T07:51:50Z</dcterms:created>
  <dcterms:modified xsi:type="dcterms:W3CDTF">2021-04-29T07:51:50Z</dcterms:modified>
</cp:coreProperties>
</file>