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035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3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Maini Manish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11/22/2022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147,739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11/22/2022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147,639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11/23/2022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97,640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16.7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245,279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11/23/2022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97,640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147,639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06/06/2027</w:t>
            </w: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131,523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97,640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97,640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33,883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4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exercised and sales reported in this Form 4 were effected pursuant to a Rule 10b5-1 trading plan adopted by the Reporting Person.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Common Stock acquired under the Issuer's employee stock purchase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time-based options previously granted under the Issuer's 2011 Unit Incentive Plan, or the 2011 Equity Plan, are fully vested due to a Change of Control (as defined in the 2011 Equity Plan) that resulted from the Issuer's secondary public offering that closed on May 10, 2021.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567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2022-11-23T15:53:16Z</dcterms:created>
  <dcterms:modified xsi:type="dcterms:W3CDTF">2022-11-23T15:53:16Z</dcterms:modified>
</cp:coreProperties>
</file>