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3, 2021</w:t>
      </w:r>
    </w:p>
    <w:p>
      <w:pPr>
        <w:spacing w:after="0" w:line="28" w:lineRule="exact"/>
        <w:rPr>
          <w:sz w:val="24"/>
          <w:szCs w:val="24"/>
          <w:color w:val="auto"/>
        </w:rPr>
      </w:pPr>
    </w:p>
    <w:p>
      <w:pPr>
        <w:ind w:left="77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36830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Academy Sports and Outdoors,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37465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8" w:lineRule="exact"/>
        <w:rPr>
          <w:sz w:val="24"/>
          <w:szCs w:val="24"/>
          <w:color w:val="auto"/>
        </w:rPr>
      </w:pPr>
    </w:p>
    <w:tbl>
      <w:tblPr>
        <w:tblLayout w:type="fixed"/>
        <w:tblInd w:w="640" w:type="dxa"/>
        <w:tblCellMar>
          <w:top w:w="0" w:type="dxa"/>
          <w:left w:w="0" w:type="dxa"/>
          <w:bottom w:w="0" w:type="dxa"/>
          <w:right w:w="0" w:type="dxa"/>
        </w:tblCellMar>
      </w:tblPr>
      <w:tr>
        <w:trPr>
          <w:trHeight w:val="183"/>
        </w:trPr>
        <w:tc>
          <w:tcPr>
            <w:tcW w:w="2560" w:type="dxa"/>
            <w:vAlign w:val="bottom"/>
          </w:tcPr>
          <w:p>
            <w:pPr>
              <w:jc w:val="center"/>
              <w:ind w:right="650"/>
              <w:spacing w:after="0"/>
              <w:rPr>
                <w:sz w:val="20"/>
                <w:szCs w:val="20"/>
                <w:color w:val="auto"/>
              </w:rPr>
            </w:pPr>
            <w:r>
              <w:rPr>
                <w:rFonts w:ascii="Arial" w:cs="Arial" w:eastAsia="Arial" w:hAnsi="Arial"/>
                <w:sz w:val="14"/>
                <w:szCs w:val="14"/>
                <w:b w:val="1"/>
                <w:bCs w:val="1"/>
                <w:color w:val="auto"/>
                <w:w w:val="91"/>
              </w:rPr>
              <w:t>Delaware</w:t>
            </w:r>
          </w:p>
        </w:tc>
        <w:tc>
          <w:tcPr>
            <w:tcW w:w="34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5940</w:t>
            </w:r>
          </w:p>
        </w:tc>
        <w:tc>
          <w:tcPr>
            <w:tcW w:w="2040" w:type="dxa"/>
            <w:vAlign w:val="bottom"/>
          </w:tcPr>
          <w:p>
            <w:pPr>
              <w:jc w:val="center"/>
              <w:ind w:left="890"/>
              <w:spacing w:after="0"/>
              <w:rPr>
                <w:sz w:val="20"/>
                <w:szCs w:val="20"/>
                <w:color w:val="auto"/>
              </w:rPr>
            </w:pPr>
            <w:r>
              <w:rPr>
                <w:rFonts w:ascii="Arial" w:cs="Arial" w:eastAsia="Arial" w:hAnsi="Arial"/>
                <w:sz w:val="14"/>
                <w:szCs w:val="14"/>
                <w:b w:val="1"/>
                <w:bCs w:val="1"/>
                <w:color w:val="auto"/>
                <w:w w:val="90"/>
              </w:rPr>
              <w:t>85-1800912</w:t>
            </w:r>
          </w:p>
        </w:tc>
      </w:tr>
      <w:tr>
        <w:trPr>
          <w:trHeight w:val="168"/>
        </w:trPr>
        <w:tc>
          <w:tcPr>
            <w:tcW w:w="2560" w:type="dxa"/>
            <w:vAlign w:val="bottom"/>
          </w:tcPr>
          <w:p>
            <w:pPr>
              <w:jc w:val="center"/>
              <w:ind w:right="690"/>
              <w:spacing w:after="0"/>
              <w:rPr>
                <w:sz w:val="20"/>
                <w:szCs w:val="20"/>
                <w:color w:val="auto"/>
              </w:rPr>
            </w:pPr>
            <w:r>
              <w:rPr>
                <w:rFonts w:ascii="Arial" w:cs="Arial" w:eastAsia="Arial" w:hAnsi="Arial"/>
                <w:sz w:val="14"/>
                <w:szCs w:val="14"/>
                <w:b w:val="1"/>
                <w:bCs w:val="1"/>
                <w:color w:val="auto"/>
                <w:w w:val="91"/>
              </w:rPr>
              <w:t>(State or other jurisdiction of</w:t>
            </w:r>
          </w:p>
        </w:tc>
        <w:tc>
          <w:tcPr>
            <w:tcW w:w="3460" w:type="dxa"/>
            <w:vAlign w:val="bottom"/>
          </w:tcPr>
          <w:p>
            <w:pPr>
              <w:jc w:val="center"/>
              <w:ind w:right="130"/>
              <w:spacing w:after="0"/>
              <w:rPr>
                <w:sz w:val="20"/>
                <w:szCs w:val="20"/>
                <w:color w:val="auto"/>
              </w:rPr>
            </w:pPr>
            <w:r>
              <w:rPr>
                <w:rFonts w:ascii="Arial" w:cs="Arial" w:eastAsia="Arial" w:hAnsi="Arial"/>
                <w:sz w:val="14"/>
                <w:szCs w:val="14"/>
                <w:b w:val="1"/>
                <w:bCs w:val="1"/>
                <w:color w:val="auto"/>
                <w:w w:val="94"/>
              </w:rPr>
              <w:t>(Primary Standard Industrial</w:t>
            </w:r>
          </w:p>
        </w:tc>
        <w:tc>
          <w:tcPr>
            <w:tcW w:w="2040" w:type="dxa"/>
            <w:vAlign w:val="bottom"/>
          </w:tcPr>
          <w:p>
            <w:pPr>
              <w:jc w:val="center"/>
              <w:ind w:left="850"/>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650"/>
              <w:spacing w:after="0"/>
              <w:rPr>
                <w:sz w:val="20"/>
                <w:szCs w:val="20"/>
                <w:color w:val="auto"/>
              </w:rPr>
            </w:pPr>
            <w:r>
              <w:rPr>
                <w:rFonts w:ascii="Arial" w:cs="Arial" w:eastAsia="Arial" w:hAnsi="Arial"/>
                <w:sz w:val="14"/>
                <w:szCs w:val="14"/>
                <w:b w:val="1"/>
                <w:bCs w:val="1"/>
                <w:color w:val="auto"/>
                <w:w w:val="92"/>
              </w:rPr>
              <w:t>incorporation or organization)</w:t>
            </w:r>
          </w:p>
        </w:tc>
        <w:tc>
          <w:tcPr>
            <w:tcW w:w="3460" w:type="dxa"/>
            <w:vAlign w:val="bottom"/>
          </w:tcPr>
          <w:p>
            <w:pPr>
              <w:jc w:val="center"/>
              <w:ind w:right="90"/>
              <w:spacing w:after="0"/>
              <w:rPr>
                <w:sz w:val="20"/>
                <w:szCs w:val="20"/>
                <w:color w:val="auto"/>
              </w:rPr>
            </w:pPr>
            <w:r>
              <w:rPr>
                <w:rFonts w:ascii="Arial" w:cs="Arial" w:eastAsia="Arial" w:hAnsi="Arial"/>
                <w:sz w:val="14"/>
                <w:szCs w:val="14"/>
                <w:b w:val="1"/>
                <w:bCs w:val="1"/>
                <w:color w:val="auto"/>
                <w:w w:val="90"/>
              </w:rPr>
              <w:t>Classification Code Number)</w:t>
            </w:r>
          </w:p>
        </w:tc>
        <w:tc>
          <w:tcPr>
            <w:tcW w:w="2040" w:type="dxa"/>
            <w:vAlign w:val="bottom"/>
          </w:tcPr>
          <w:p>
            <w:pPr>
              <w:jc w:val="center"/>
              <w:ind w:left="870"/>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67945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1800 North Mason Road</w:t>
      </w:r>
    </w:p>
    <w:p>
      <w:pPr>
        <w:jc w:val="center"/>
        <w:spacing w:after="0" w:line="226" w:lineRule="auto"/>
        <w:rPr>
          <w:sz w:val="20"/>
          <w:szCs w:val="20"/>
          <w:color w:val="auto"/>
        </w:rPr>
      </w:pPr>
      <w:r>
        <w:rPr>
          <w:rFonts w:ascii="Arial" w:cs="Arial" w:eastAsia="Arial" w:hAnsi="Arial"/>
          <w:sz w:val="14"/>
          <w:szCs w:val="14"/>
          <w:b w:val="1"/>
          <w:bCs w:val="1"/>
          <w:color w:val="auto"/>
        </w:rPr>
        <w:t>Katy, Texas 77449</w:t>
      </w:r>
    </w:p>
    <w:p>
      <w:pPr>
        <w:jc w:val="center"/>
        <w:spacing w:after="0" w:line="221" w:lineRule="auto"/>
        <w:rPr>
          <w:sz w:val="20"/>
          <w:szCs w:val="20"/>
          <w:color w:val="auto"/>
        </w:rPr>
      </w:pPr>
      <w:r>
        <w:rPr>
          <w:rFonts w:ascii="Arial" w:cs="Arial" w:eastAsia="Arial" w:hAnsi="Arial"/>
          <w:sz w:val="14"/>
          <w:szCs w:val="14"/>
          <w:b w:val="1"/>
          <w:bCs w:val="1"/>
          <w:color w:val="auto"/>
        </w:rPr>
        <w:t>(281) 646-5200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28575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Rene G. Casares, Esq.</w:t>
      </w:r>
    </w:p>
    <w:p>
      <w:pPr>
        <w:jc w:val="center"/>
        <w:spacing w:after="0" w:line="226" w:lineRule="auto"/>
        <w:rPr>
          <w:sz w:val="20"/>
          <w:szCs w:val="20"/>
          <w:color w:val="auto"/>
        </w:rPr>
      </w:pPr>
      <w:r>
        <w:rPr>
          <w:rFonts w:ascii="Arial" w:cs="Arial" w:eastAsia="Arial" w:hAnsi="Arial"/>
          <w:sz w:val="14"/>
          <w:szCs w:val="14"/>
          <w:b w:val="1"/>
          <w:bCs w:val="1"/>
          <w:color w:val="auto"/>
        </w:rPr>
        <w:t>Senior Vice President and General Counsel</w:t>
      </w:r>
    </w:p>
    <w:p>
      <w:pPr>
        <w:jc w:val="center"/>
        <w:spacing w:after="0" w:line="221" w:lineRule="auto"/>
        <w:rPr>
          <w:sz w:val="20"/>
          <w:szCs w:val="20"/>
          <w:color w:val="auto"/>
        </w:rPr>
      </w:pPr>
      <w:r>
        <w:rPr>
          <w:rFonts w:ascii="Arial" w:cs="Arial" w:eastAsia="Arial" w:hAnsi="Arial"/>
          <w:sz w:val="14"/>
          <w:szCs w:val="14"/>
          <w:b w:val="1"/>
          <w:bCs w:val="1"/>
          <w:color w:val="auto"/>
        </w:rPr>
        <w:t>1800 North Mason Road</w:t>
      </w:r>
    </w:p>
    <w:p>
      <w:pPr>
        <w:jc w:val="center"/>
        <w:spacing w:after="0" w:line="222" w:lineRule="auto"/>
        <w:rPr>
          <w:sz w:val="20"/>
          <w:szCs w:val="20"/>
          <w:color w:val="auto"/>
        </w:rPr>
      </w:pPr>
      <w:r>
        <w:rPr>
          <w:rFonts w:ascii="Arial" w:cs="Arial" w:eastAsia="Arial" w:hAnsi="Arial"/>
          <w:sz w:val="14"/>
          <w:szCs w:val="14"/>
          <w:b w:val="1"/>
          <w:bCs w:val="1"/>
          <w:color w:val="auto"/>
        </w:rPr>
        <w:t>Katy, Texas 77449</w:t>
      </w:r>
    </w:p>
    <w:p>
      <w:pPr>
        <w:jc w:val="center"/>
        <w:spacing w:after="0" w:line="221" w:lineRule="auto"/>
        <w:rPr>
          <w:sz w:val="20"/>
          <w:szCs w:val="20"/>
          <w:color w:val="auto"/>
        </w:rPr>
      </w:pPr>
      <w:r>
        <w:rPr>
          <w:rFonts w:ascii="Arial" w:cs="Arial" w:eastAsia="Arial" w:hAnsi="Arial"/>
          <w:sz w:val="14"/>
          <w:szCs w:val="14"/>
          <w:b w:val="1"/>
          <w:bCs w:val="1"/>
          <w:color w:val="auto"/>
        </w:rPr>
        <w:t>(281) 646-5200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37465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8" w:lineRule="exact"/>
        <w:rPr>
          <w:sz w:val="24"/>
          <w:szCs w:val="24"/>
          <w:color w:val="auto"/>
        </w:rPr>
      </w:pPr>
    </w:p>
    <w:tbl>
      <w:tblPr>
        <w:tblLayout w:type="fixed"/>
        <w:tblInd w:w="136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426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89"/>
        </w:trPr>
        <w:tc>
          <w:tcPr>
            <w:tcW w:w="2540" w:type="dxa"/>
            <w:vAlign w:val="bottom"/>
          </w:tcPr>
          <w:p>
            <w:pPr>
              <w:jc w:val="center"/>
              <w:ind w:right="450"/>
              <w:spacing w:after="0"/>
              <w:rPr>
                <w:sz w:val="20"/>
                <w:szCs w:val="20"/>
                <w:color w:val="auto"/>
              </w:rPr>
            </w:pPr>
            <w:r>
              <w:rPr>
                <w:rFonts w:ascii="Arial" w:cs="Arial" w:eastAsia="Arial" w:hAnsi="Arial"/>
                <w:sz w:val="14"/>
                <w:szCs w:val="14"/>
                <w:b w:val="1"/>
                <w:bCs w:val="1"/>
                <w:color w:val="auto"/>
                <w:w w:val="91"/>
              </w:rPr>
              <w:t>Joseph H. Kaufman, Esq.</w:t>
            </w:r>
          </w:p>
        </w:tc>
        <w:tc>
          <w:tcPr>
            <w:tcW w:w="4260" w:type="dxa"/>
            <w:vAlign w:val="bottom"/>
          </w:tcPr>
          <w:p>
            <w:pPr>
              <w:jc w:val="center"/>
              <w:ind w:left="2530"/>
              <w:spacing w:after="0"/>
              <w:rPr>
                <w:sz w:val="20"/>
                <w:szCs w:val="20"/>
                <w:color w:val="auto"/>
              </w:rPr>
            </w:pPr>
            <w:r>
              <w:rPr>
                <w:rFonts w:ascii="Arial" w:cs="Arial" w:eastAsia="Arial" w:hAnsi="Arial"/>
                <w:sz w:val="14"/>
                <w:szCs w:val="14"/>
                <w:b w:val="1"/>
                <w:bCs w:val="1"/>
                <w:color w:val="auto"/>
                <w:w w:val="91"/>
              </w:rPr>
              <w:t>Marc D. Jaffe, Esq.</w:t>
            </w:r>
          </w:p>
        </w:tc>
      </w:tr>
      <w:tr>
        <w:trPr>
          <w:trHeight w:val="148"/>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89"/>
              </w:rPr>
              <w:t>Sunny Cheong, Esq.</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1"/>
              </w:rPr>
              <w:t>Ian D. Schuman, Esq.</w:t>
            </w:r>
          </w:p>
        </w:tc>
      </w:tr>
      <w:tr>
        <w:trPr>
          <w:trHeight w:val="149"/>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4"/>
              </w:rPr>
              <w:t>Simpson Thacher &amp; Bartlett LLP</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6"/>
              </w:rPr>
              <w:t>Latham &amp; Watkins LLP</w:t>
            </w:r>
          </w:p>
        </w:tc>
      </w:tr>
      <w:tr>
        <w:trPr>
          <w:trHeight w:val="148"/>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0"/>
              </w:rPr>
              <w:t>425 Lexington Avenue</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0"/>
              </w:rPr>
              <w:t>885 Third Avenue</w:t>
            </w:r>
          </w:p>
        </w:tc>
      </w:tr>
      <w:tr>
        <w:trPr>
          <w:trHeight w:val="148"/>
        </w:trPr>
        <w:tc>
          <w:tcPr>
            <w:tcW w:w="2540" w:type="dxa"/>
            <w:vAlign w:val="bottom"/>
          </w:tcPr>
          <w:p>
            <w:pPr>
              <w:jc w:val="center"/>
              <w:ind w:right="450"/>
              <w:spacing w:after="0" w:line="149" w:lineRule="exact"/>
              <w:rPr>
                <w:sz w:val="20"/>
                <w:szCs w:val="20"/>
                <w:color w:val="auto"/>
              </w:rPr>
            </w:pPr>
            <w:r>
              <w:rPr>
                <w:rFonts w:ascii="Arial" w:cs="Arial" w:eastAsia="Arial" w:hAnsi="Arial"/>
                <w:sz w:val="14"/>
                <w:szCs w:val="14"/>
                <w:b w:val="1"/>
                <w:bCs w:val="1"/>
                <w:color w:val="auto"/>
                <w:w w:val="93"/>
              </w:rPr>
              <w:t>New York, New York 10017</w:t>
            </w:r>
          </w:p>
        </w:tc>
        <w:tc>
          <w:tcPr>
            <w:tcW w:w="4260" w:type="dxa"/>
            <w:vAlign w:val="bottom"/>
          </w:tcPr>
          <w:p>
            <w:pPr>
              <w:jc w:val="center"/>
              <w:ind w:left="2530"/>
              <w:spacing w:after="0" w:line="149" w:lineRule="exact"/>
              <w:rPr>
                <w:sz w:val="20"/>
                <w:szCs w:val="20"/>
                <w:color w:val="auto"/>
              </w:rPr>
            </w:pPr>
            <w:r>
              <w:rPr>
                <w:rFonts w:ascii="Arial" w:cs="Arial" w:eastAsia="Arial" w:hAnsi="Arial"/>
                <w:sz w:val="14"/>
                <w:szCs w:val="14"/>
                <w:b w:val="1"/>
                <w:bCs w:val="1"/>
                <w:color w:val="auto"/>
                <w:w w:val="93"/>
              </w:rPr>
              <w:t>New York, New York 10022</w:t>
            </w:r>
          </w:p>
        </w:tc>
      </w:tr>
      <w:tr>
        <w:trPr>
          <w:trHeight w:val="183"/>
        </w:trPr>
        <w:tc>
          <w:tcPr>
            <w:tcW w:w="2540" w:type="dxa"/>
            <w:vAlign w:val="bottom"/>
          </w:tcPr>
          <w:p>
            <w:pPr>
              <w:jc w:val="center"/>
              <w:ind w:right="430"/>
              <w:spacing w:after="0"/>
              <w:rPr>
                <w:sz w:val="20"/>
                <w:szCs w:val="20"/>
                <w:color w:val="auto"/>
              </w:rPr>
            </w:pPr>
            <w:r>
              <w:rPr>
                <w:rFonts w:ascii="Arial" w:cs="Arial" w:eastAsia="Arial" w:hAnsi="Arial"/>
                <w:sz w:val="14"/>
                <w:szCs w:val="14"/>
                <w:b w:val="1"/>
                <w:bCs w:val="1"/>
                <w:color w:val="auto"/>
                <w:w w:val="91"/>
              </w:rPr>
              <w:t>(212) 455-2000</w:t>
            </w:r>
          </w:p>
        </w:tc>
        <w:tc>
          <w:tcPr>
            <w:tcW w:w="4260" w:type="dxa"/>
            <w:vAlign w:val="bottom"/>
          </w:tcPr>
          <w:p>
            <w:pPr>
              <w:jc w:val="center"/>
              <w:ind w:left="2550"/>
              <w:spacing w:after="0"/>
              <w:rPr>
                <w:sz w:val="20"/>
                <w:szCs w:val="20"/>
                <w:color w:val="auto"/>
              </w:rPr>
            </w:pPr>
            <w:r>
              <w:rPr>
                <w:rFonts w:ascii="Arial" w:cs="Arial" w:eastAsia="Arial" w:hAnsi="Arial"/>
                <w:sz w:val="14"/>
                <w:szCs w:val="14"/>
                <w:b w:val="1"/>
                <w:bCs w:val="1"/>
                <w:color w:val="auto"/>
                <w:w w:val="91"/>
              </w:rPr>
              <w:t>(212) 906-1200</w:t>
            </w:r>
          </w:p>
        </w:tc>
      </w:tr>
    </w:tbl>
    <w:p>
      <w:pPr>
        <w:spacing w:after="0" w:line="73"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22" w:lineRule="exact"/>
        <w:rPr>
          <w:sz w:val="24"/>
          <w:szCs w:val="24"/>
          <w:color w:val="auto"/>
        </w:rPr>
      </w:pPr>
    </w:p>
    <w:p>
      <w:pPr>
        <w:ind w:right="140" w:firstLine="360"/>
        <w:spacing w:after="0" w:line="17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440" w:firstLine="36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ind w:right="340" w:firstLine="36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300" w:firstLine="360"/>
        <w:spacing w:after="0" w:line="23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19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0"/>
        </w:trPr>
        <w:tc>
          <w:tcPr>
            <w:tcW w:w="2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920" w:type="dxa"/>
            <w:vAlign w:val="bottom"/>
          </w:tcPr>
          <w:p>
            <w:pPr>
              <w:ind w:left="940"/>
              <w:spacing w:after="0"/>
              <w:rPr>
                <w:sz w:val="20"/>
                <w:szCs w:val="20"/>
                <w:color w:val="auto"/>
              </w:rPr>
            </w:pPr>
            <w:r>
              <w:rPr>
                <w:rFonts w:ascii="Arial" w:cs="Arial" w:eastAsia="Arial" w:hAnsi="Arial"/>
                <w:sz w:val="14"/>
                <w:szCs w:val="14"/>
                <w:color w:val="auto"/>
              </w:rPr>
              <w:t>Emerging growth company</w:t>
            </w:r>
          </w:p>
        </w:tc>
        <w:tc>
          <w:tcPr>
            <w:tcW w:w="1600" w:type="dxa"/>
            <w:vAlign w:val="bottom"/>
          </w:tcPr>
          <w:p>
            <w:pPr>
              <w:ind w:left="1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4" w:lineRule="exact"/>
        <w:rPr>
          <w:sz w:val="24"/>
          <w:szCs w:val="24"/>
          <w:color w:val="auto"/>
        </w:rPr>
      </w:pPr>
    </w:p>
    <w:p>
      <w:pPr>
        <w:ind w:right="140" w:firstLine="3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23495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20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6"/>
              </w:rPr>
              <w:t>Proposed</w:t>
            </w:r>
          </w:p>
        </w:tc>
        <w:tc>
          <w:tcPr>
            <w:tcW w:w="1380" w:type="dxa"/>
            <w:vAlign w:val="bottom"/>
            <w:tcBorders>
              <w:top w:val="single" w:sz="8" w:color="auto"/>
              <w:right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Proposed Maximum</w:t>
            </w:r>
          </w:p>
        </w:tc>
        <w:tc>
          <w:tcPr>
            <w:tcW w:w="1320" w:type="dxa"/>
            <w:vAlign w:val="bottom"/>
            <w:tcBorders>
              <w:top w:val="single" w:sz="8" w:color="auto"/>
            </w:tcBorders>
          </w:tcPr>
          <w:p>
            <w:pPr>
              <w:spacing w:after="0"/>
              <w:rPr>
                <w:sz w:val="21"/>
                <w:szCs w:val="21"/>
                <w:color w:val="auto"/>
              </w:rPr>
            </w:pPr>
          </w:p>
        </w:tc>
      </w:tr>
      <w:tr>
        <w:trPr>
          <w:trHeight w:val="146"/>
        </w:trPr>
        <w:tc>
          <w:tcPr>
            <w:tcW w:w="4200" w:type="dxa"/>
            <w:vAlign w:val="bottom"/>
            <w:tcBorders>
              <w:right w:val="single" w:sz="8" w:color="auto"/>
            </w:tcBorders>
          </w:tcPr>
          <w:p>
            <w:pPr>
              <w:jc w:val="center"/>
              <w:ind w:right="50"/>
              <w:spacing w:after="0" w:line="147" w:lineRule="exact"/>
              <w:rPr>
                <w:sz w:val="20"/>
                <w:szCs w:val="20"/>
                <w:color w:val="auto"/>
              </w:rPr>
            </w:pPr>
            <w:r>
              <w:rPr>
                <w:rFonts w:ascii="Arial" w:cs="Arial" w:eastAsia="Arial" w:hAnsi="Arial"/>
                <w:sz w:val="14"/>
                <w:szCs w:val="14"/>
                <w:b w:val="1"/>
                <w:bCs w:val="1"/>
                <w:color w:val="auto"/>
                <w:w w:val="90"/>
              </w:rPr>
              <w:t>Title of Each Class of</w:t>
            </w:r>
          </w:p>
        </w:tc>
        <w:tc>
          <w:tcPr>
            <w:tcW w:w="1420" w:type="dxa"/>
            <w:vAlign w:val="bottom"/>
            <w:tcBorders>
              <w:right w:val="single" w:sz="8" w:color="auto"/>
            </w:tcBorders>
          </w:tcPr>
          <w:p>
            <w:pPr>
              <w:jc w:val="center"/>
              <w:ind w:right="10"/>
              <w:spacing w:after="0" w:line="147" w:lineRule="exact"/>
              <w:rPr>
                <w:sz w:val="20"/>
                <w:szCs w:val="20"/>
                <w:color w:val="auto"/>
              </w:rPr>
            </w:pPr>
            <w:r>
              <w:rPr>
                <w:rFonts w:ascii="Arial" w:cs="Arial" w:eastAsia="Arial" w:hAnsi="Arial"/>
                <w:sz w:val="14"/>
                <w:szCs w:val="14"/>
                <w:b w:val="1"/>
                <w:bCs w:val="1"/>
                <w:color w:val="auto"/>
                <w:w w:val="90"/>
              </w:rPr>
              <w:t>Amount to be</w:t>
            </w:r>
          </w:p>
        </w:tc>
        <w:tc>
          <w:tcPr>
            <w:tcW w:w="14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Aggregate Offering</w:t>
            </w: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Amount of</w:t>
            </w:r>
          </w:p>
        </w:tc>
      </w:tr>
      <w:tr>
        <w:trPr>
          <w:trHeight w:val="224"/>
        </w:trPr>
        <w:tc>
          <w:tcPr>
            <w:tcW w:w="42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7"/>
              </w:rPr>
              <w:t>Securities to be Registered</w:t>
            </w:r>
          </w:p>
        </w:tc>
        <w:tc>
          <w:tcPr>
            <w:tcW w:w="142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40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23"/>
                <w:szCs w:val="23"/>
                <w:b w:val="1"/>
                <w:bCs w:val="1"/>
                <w:color w:val="auto"/>
                <w:w w:val="89"/>
                <w:vertAlign w:val="superscript"/>
              </w:rPr>
              <w:t>(2)</w:t>
            </w:r>
          </w:p>
        </w:tc>
        <w:tc>
          <w:tcPr>
            <w:tcW w:w="1380" w:type="dxa"/>
            <w:vAlign w:val="bottom"/>
            <w:tcBorders>
              <w:bottom w:val="single" w:sz="8" w:color="auto"/>
              <w:right w:val="single" w:sz="8" w:color="auto"/>
            </w:tcBorders>
          </w:tcPr>
          <w:p>
            <w:pPr>
              <w:jc w:val="center"/>
              <w:spacing w:after="0" w:line="224" w:lineRule="exact"/>
              <w:rPr>
                <w:sz w:val="20"/>
                <w:szCs w:val="20"/>
                <w:color w:val="auto"/>
              </w:rPr>
            </w:pPr>
            <w:r>
              <w:rPr>
                <w:rFonts w:ascii="Arial" w:cs="Arial" w:eastAsia="Arial" w:hAnsi="Arial"/>
                <w:sz w:val="25"/>
                <w:szCs w:val="25"/>
                <w:b w:val="1"/>
                <w:bCs w:val="1"/>
                <w:color w:val="auto"/>
                <w:w w:val="85"/>
                <w:vertAlign w:val="subscript"/>
              </w:rPr>
              <w:t>Price</w:t>
            </w:r>
            <w:r>
              <w:rPr>
                <w:rFonts w:ascii="Arial" w:cs="Arial" w:eastAsia="Arial" w:hAnsi="Arial"/>
                <w:sz w:val="11"/>
                <w:szCs w:val="11"/>
                <w:b w:val="1"/>
                <w:bCs w:val="1"/>
                <w:color w:val="auto"/>
                <w:w w:val="85"/>
              </w:rPr>
              <w:t>(1)(2)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Registration Fee</w:t>
            </w:r>
          </w:p>
        </w:tc>
      </w:tr>
      <w:tr>
        <w:trPr>
          <w:trHeight w:val="211"/>
        </w:trPr>
        <w:tc>
          <w:tcPr>
            <w:tcW w:w="4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$0.01 par value per share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16,100,000</w:t>
            </w:r>
          </w:p>
        </w:tc>
        <w:tc>
          <w:tcPr>
            <w:tcW w:w="1400" w:type="dxa"/>
            <w:vAlign w:val="bottom"/>
            <w:tcBorders>
              <w:right w:val="single" w:sz="8" w:color="auto"/>
            </w:tcBorders>
          </w:tcPr>
          <w:p>
            <w:pPr>
              <w:jc w:val="right"/>
              <w:ind w:right="450"/>
              <w:spacing w:after="0"/>
              <w:rPr>
                <w:sz w:val="20"/>
                <w:szCs w:val="20"/>
                <w:color w:val="auto"/>
              </w:rPr>
            </w:pPr>
            <w:r>
              <w:rPr>
                <w:rFonts w:ascii="Arial" w:cs="Arial" w:eastAsia="Arial" w:hAnsi="Arial"/>
                <w:sz w:val="14"/>
                <w:szCs w:val="14"/>
                <w:color w:val="auto"/>
              </w:rPr>
              <w:t>$30.47</w:t>
            </w:r>
          </w:p>
        </w:tc>
        <w:tc>
          <w:tcPr>
            <w:tcW w:w="1380" w:type="dxa"/>
            <w:vAlign w:val="bottom"/>
            <w:tcBorders>
              <w:right w:val="single" w:sz="8" w:color="auto"/>
            </w:tcBorders>
          </w:tcPr>
          <w:p>
            <w:pPr>
              <w:jc w:val="right"/>
              <w:ind w:right="254"/>
              <w:spacing w:after="0"/>
              <w:rPr>
                <w:sz w:val="20"/>
                <w:szCs w:val="20"/>
                <w:color w:val="auto"/>
              </w:rPr>
            </w:pPr>
            <w:r>
              <w:rPr>
                <w:rFonts w:ascii="Arial" w:cs="Arial" w:eastAsia="Arial" w:hAnsi="Arial"/>
                <w:sz w:val="14"/>
                <w:szCs w:val="14"/>
                <w:color w:val="auto"/>
              </w:rPr>
              <w:t>$490,486,500</w:t>
            </w:r>
          </w:p>
        </w:tc>
        <w:tc>
          <w:tcPr>
            <w:tcW w:w="1320" w:type="dxa"/>
            <w:vAlign w:val="bottom"/>
          </w:tcPr>
          <w:p>
            <w:pPr>
              <w:jc w:val="right"/>
              <w:ind w:right="330"/>
              <w:spacing w:after="0"/>
              <w:rPr>
                <w:sz w:val="20"/>
                <w:szCs w:val="20"/>
                <w:color w:val="auto"/>
              </w:rPr>
            </w:pPr>
            <w:r>
              <w:rPr>
                <w:rFonts w:ascii="Arial" w:cs="Arial" w:eastAsia="Arial" w:hAnsi="Arial"/>
                <w:sz w:val="14"/>
                <w:szCs w:val="14"/>
                <w:color w:val="auto"/>
              </w:rPr>
              <w:t>$53,513</w:t>
            </w:r>
          </w:p>
        </w:tc>
      </w:tr>
      <w:tr>
        <w:trPr>
          <w:trHeight w:val="39"/>
        </w:trPr>
        <w:tc>
          <w:tcPr>
            <w:tcW w:w="42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61"/>
        </w:trPr>
        <w:tc>
          <w:tcPr>
            <w:tcW w:w="4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26"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2,100,000 shares of common stock that the underwriters have the option to purchase. See “Underwriting (Conflicts of Interest).”</w:t>
      </w:r>
    </w:p>
    <w:p>
      <w:pPr>
        <w:spacing w:after="0" w:line="12" w:lineRule="exact"/>
        <w:rPr>
          <w:rFonts w:ascii="Arial" w:cs="Arial" w:eastAsia="Arial" w:hAnsi="Arial"/>
          <w:sz w:val="13"/>
          <w:szCs w:val="13"/>
          <w:color w:val="auto"/>
        </w:rPr>
      </w:pPr>
    </w:p>
    <w:p>
      <w:pPr>
        <w:jc w:val="both"/>
        <w:ind w:left="360" w:right="20" w:hanging="356"/>
        <w:spacing w:after="0" w:line="230"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April 30, 2021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36195</wp:posOffset>
            </wp:positionV>
            <wp:extent cx="1097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71" w:lineRule="exact"/>
        <w:rPr>
          <w:sz w:val="24"/>
          <w:szCs w:val="24"/>
          <w:color w:val="auto"/>
        </w:rPr>
      </w:pPr>
    </w:p>
    <w:p>
      <w:pPr>
        <w:ind w:right="60" w:firstLine="36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316865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128270</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179705</wp:posOffset>
            </wp:positionV>
            <wp:extent cx="61722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Subject to completion, dated May 3, 2021</w:t>
      </w:r>
    </w:p>
    <w:p>
      <w:pPr>
        <w:spacing w:after="0" w:line="36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Preliminary Prospectus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303530</wp:posOffset>
            </wp:positionV>
            <wp:extent cx="166306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Academy Sports and Outdoors, Inc.</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172085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0" w:right="559" w:firstLine="360"/>
        <w:spacing w:after="0" w:line="263" w:lineRule="auto"/>
        <w:rPr>
          <w:sz w:val="20"/>
          <w:szCs w:val="20"/>
          <w:color w:val="auto"/>
        </w:rPr>
      </w:pPr>
      <w:r>
        <w:rPr>
          <w:rFonts w:ascii="Arial" w:cs="Arial" w:eastAsia="Arial" w:hAnsi="Arial"/>
          <w:sz w:val="18"/>
          <w:szCs w:val="18"/>
          <w:color w:val="auto"/>
        </w:rPr>
        <w:t>The selling stockholders named in this prospectus are offering 14,000,000 shares of common stock of Academy Sports and Outdoors, Inc. We will not receive any proceeds from the sale of our common stock by the selling stockholders.</w:t>
      </w:r>
    </w:p>
    <w:p>
      <w:pPr>
        <w:spacing w:after="0" w:line="76" w:lineRule="exact"/>
        <w:rPr>
          <w:sz w:val="20"/>
          <w:szCs w:val="20"/>
          <w:color w:val="auto"/>
        </w:rPr>
      </w:pPr>
    </w:p>
    <w:p>
      <w:pPr>
        <w:ind w:left="400" w:right="579" w:firstLine="360"/>
        <w:spacing w:after="0" w:line="342" w:lineRule="auto"/>
        <w:rPr>
          <w:sz w:val="20"/>
          <w:szCs w:val="20"/>
          <w:color w:val="auto"/>
        </w:rPr>
      </w:pPr>
      <w:r>
        <w:rPr>
          <w:rFonts w:ascii="Arial" w:cs="Arial" w:eastAsia="Arial" w:hAnsi="Arial"/>
          <w:sz w:val="16"/>
          <w:szCs w:val="16"/>
          <w:color w:val="auto"/>
        </w:rPr>
        <w:t>Our common stock is listed on the Nasdaq Global Select Market, or Nasdaq, under the symbol “ASO.” On April 30, 2021, the closing sales price of our common stock as reported on the Nasdaq was $30.81 per share.</w:t>
      </w:r>
    </w:p>
    <w:p>
      <w:pPr>
        <w:spacing w:after="0" w:line="16" w:lineRule="exact"/>
        <w:rPr>
          <w:sz w:val="20"/>
          <w:szCs w:val="20"/>
          <w:color w:val="auto"/>
        </w:rPr>
      </w:pPr>
    </w:p>
    <w:p>
      <w:pPr>
        <w:ind w:left="400" w:right="439" w:firstLine="360"/>
        <w:spacing w:after="0" w:line="275" w:lineRule="auto"/>
        <w:rPr>
          <w:sz w:val="20"/>
          <w:szCs w:val="20"/>
          <w:color w:val="auto"/>
        </w:rPr>
      </w:pPr>
      <w:r>
        <w:rPr>
          <w:rFonts w:ascii="Arial" w:cs="Arial" w:eastAsia="Arial" w:hAnsi="Arial"/>
          <w:sz w:val="17"/>
          <w:szCs w:val="17"/>
          <w:color w:val="auto"/>
        </w:rPr>
        <w:t>To the extent that the underwriters sell more than 14,000,000 shares of our common stock, the underwriters have the option to purchase up to an additional 2,100,000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68" w:lineRule="exact"/>
        <w:rPr>
          <w:sz w:val="20"/>
          <w:szCs w:val="20"/>
          <w:color w:val="auto"/>
        </w:rPr>
      </w:pPr>
    </w:p>
    <w:p>
      <w:pPr>
        <w:ind w:left="400" w:right="439" w:firstLine="360"/>
        <w:spacing w:after="0" w:line="296"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14,000,000 shares of our common stock that are the subject of the offering, a number of shares (rounded down to the nearest whole share) having an aggregate purchase price of up to $100 million. The price per share to be paid by us will equal the price at which the underwriter will purchase the shares from the selling stockholder in the offering. The offering is not conditioned upon the completion of the share repurchase.</w:t>
      </w:r>
    </w:p>
    <w:p>
      <w:pPr>
        <w:spacing w:after="0" w:line="49" w:lineRule="exact"/>
        <w:rPr>
          <w:sz w:val="20"/>
          <w:szCs w:val="20"/>
          <w:color w:val="auto"/>
        </w:rPr>
      </w:pPr>
    </w:p>
    <w:p>
      <w:pPr>
        <w:ind w:left="400" w:right="5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“Risk Factors” beginning on page </w:t>
      </w:r>
      <w:hyperlink w:anchor="page27">
        <w:r>
          <w:rPr>
            <w:rFonts w:ascii="Arial" w:cs="Arial" w:eastAsia="Arial" w:hAnsi="Arial"/>
            <w:sz w:val="18"/>
            <w:szCs w:val="18"/>
            <w:b w:val="1"/>
            <w:bCs w:val="1"/>
            <w:u w:val="single" w:color="auto"/>
            <w:color w:val="0000EE"/>
          </w:rPr>
          <w:t>20</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54" w:lineRule="exact"/>
        <w:rPr>
          <w:sz w:val="20"/>
          <w:szCs w:val="20"/>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3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Proceeds to</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Price to Public</w:t>
            </w:r>
            <w:r>
              <w:rPr>
                <w:rFonts w:ascii="Arial" w:cs="Arial" w:eastAsia="Arial" w:hAnsi="Arial"/>
                <w:sz w:val="23"/>
                <w:szCs w:val="23"/>
                <w:b w:val="1"/>
                <w:bCs w:val="1"/>
                <w:color w:val="auto"/>
                <w:w w:val="87"/>
                <w:vertAlign w:val="superscript"/>
              </w:rPr>
              <w:t>(1)</w:t>
            </w:r>
          </w:p>
        </w:tc>
        <w:tc>
          <w:tcPr>
            <w:tcW w:w="38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Commissions</w:t>
            </w:r>
            <w:r>
              <w:rPr>
                <w:rFonts w:ascii="Arial" w:cs="Arial" w:eastAsia="Arial" w:hAnsi="Arial"/>
                <w:sz w:val="17"/>
                <w:szCs w:val="17"/>
                <w:b w:val="1"/>
                <w:bCs w:val="1"/>
                <w:color w:val="auto"/>
                <w:vertAlign w:val="superscript"/>
              </w:rPr>
              <w:t>(2)</w:t>
            </w:r>
          </w:p>
        </w:tc>
        <w:tc>
          <w:tcPr>
            <w:tcW w:w="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38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w:t>
            </w:r>
          </w:p>
        </w:tc>
        <w:tc>
          <w:tcPr>
            <w:tcW w:w="3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 Share</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5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0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8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65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3"/>
        </w:trPr>
        <w:tc>
          <w:tcPr>
            <w:tcW w:w="13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gridSpan w:val="3"/>
          </w:tcPr>
          <w:p>
            <w:pPr>
              <w:spacing w:after="0"/>
              <w:rPr>
                <w:sz w:val="24"/>
                <w:szCs w:val="24"/>
                <w:color w:val="auto"/>
              </w:rPr>
            </w:pPr>
          </w:p>
        </w:tc>
        <w:tc>
          <w:tcPr>
            <w:tcW w:w="2020" w:type="dxa"/>
            <w:vAlign w:val="bottom"/>
            <w:gridSpan w:val="3"/>
          </w:tcPr>
          <w:p>
            <w:pPr>
              <w:spacing w:after="0"/>
              <w:rPr>
                <w:sz w:val="24"/>
                <w:szCs w:val="24"/>
                <w:color w:val="auto"/>
              </w:rPr>
            </w:pP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500" w:type="dxa"/>
            <w:vAlign w:val="bottom"/>
            <w:gridSpan w:val="2"/>
          </w:tcPr>
          <w:p>
            <w:pPr>
              <w:spacing w:after="0"/>
              <w:rPr>
                <w:sz w:val="20"/>
                <w:szCs w:val="20"/>
                <w:color w:val="auto"/>
              </w:rPr>
            </w:pPr>
            <w:r>
              <w:rPr>
                <w:rFonts w:ascii="Arial" w:cs="Arial" w:eastAsia="Arial" w:hAnsi="Arial"/>
                <w:sz w:val="14"/>
                <w:szCs w:val="14"/>
                <w:color w:val="auto"/>
              </w:rPr>
              <w:t>(1)   The public offering price for the</w:t>
            </w:r>
          </w:p>
        </w:tc>
        <w:tc>
          <w:tcPr>
            <w:tcW w:w="2480" w:type="dxa"/>
            <w:vAlign w:val="bottom"/>
            <w:gridSpan w:val="3"/>
          </w:tcPr>
          <w:p>
            <w:pPr>
              <w:jc w:val="right"/>
              <w:ind w:right="264"/>
              <w:spacing w:after="0"/>
              <w:rPr>
                <w:sz w:val="20"/>
                <w:szCs w:val="20"/>
                <w:color w:val="auto"/>
              </w:rPr>
            </w:pPr>
            <w:r>
              <w:rPr>
                <w:rFonts w:ascii="Arial" w:cs="Arial" w:eastAsia="Arial" w:hAnsi="Arial"/>
                <w:sz w:val="14"/>
                <w:szCs w:val="14"/>
                <w:color w:val="auto"/>
              </w:rPr>
              <w:t>shares offered to the public was $</w:t>
            </w:r>
          </w:p>
        </w:tc>
        <w:tc>
          <w:tcPr>
            <w:tcW w:w="2020" w:type="dxa"/>
            <w:vAlign w:val="bottom"/>
            <w:gridSpan w:val="3"/>
          </w:tcPr>
          <w:p>
            <w:pPr>
              <w:jc w:val="right"/>
              <w:ind w:right="270"/>
              <w:spacing w:after="0"/>
              <w:rPr>
                <w:sz w:val="20"/>
                <w:szCs w:val="20"/>
                <w:color w:val="auto"/>
              </w:rPr>
            </w:pPr>
            <w:r>
              <w:rPr>
                <w:rFonts w:ascii="Arial" w:cs="Arial" w:eastAsia="Arial" w:hAnsi="Arial"/>
                <w:sz w:val="14"/>
                <w:szCs w:val="14"/>
                <w:color w:val="auto"/>
                <w:w w:val="98"/>
              </w:rPr>
              <w:t>per share. The price for the</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shares we intend</w:t>
            </w:r>
          </w:p>
        </w:tc>
        <w:tc>
          <w:tcPr>
            <w:tcW w:w="0" w:type="dxa"/>
            <w:vAlign w:val="bottom"/>
          </w:tcPr>
          <w:p>
            <w:pPr>
              <w:spacing w:after="0"/>
              <w:rPr>
                <w:sz w:val="1"/>
                <w:szCs w:val="1"/>
                <w:color w:val="auto"/>
              </w:rPr>
            </w:pPr>
          </w:p>
        </w:tc>
      </w:tr>
      <w:tr>
        <w:trPr>
          <w:trHeight w:val="182"/>
        </w:trPr>
        <w:tc>
          <w:tcPr>
            <w:tcW w:w="2780" w:type="dxa"/>
            <w:vAlign w:val="bottom"/>
            <w:gridSpan w:val="3"/>
          </w:tcPr>
          <w:p>
            <w:pPr>
              <w:ind w:left="360"/>
              <w:spacing w:after="0"/>
              <w:rPr>
                <w:sz w:val="20"/>
                <w:szCs w:val="20"/>
                <w:color w:val="auto"/>
              </w:rPr>
            </w:pPr>
            <w:r>
              <w:rPr>
                <w:rFonts w:ascii="Arial" w:cs="Arial" w:eastAsia="Arial" w:hAnsi="Arial"/>
                <w:sz w:val="14"/>
                <w:szCs w:val="14"/>
                <w:color w:val="auto"/>
                <w:w w:val="91"/>
              </w:rPr>
              <w:t>to repurchase from the underwriters was $</w:t>
            </w:r>
          </w:p>
        </w:tc>
        <w:tc>
          <w:tcPr>
            <w:tcW w:w="1720" w:type="dxa"/>
            <w:vAlign w:val="bottom"/>
          </w:tcPr>
          <w:p>
            <w:pPr>
              <w:ind w:left="460"/>
              <w:spacing w:after="0"/>
              <w:rPr>
                <w:sz w:val="20"/>
                <w:szCs w:val="20"/>
                <w:color w:val="auto"/>
              </w:rPr>
            </w:pPr>
            <w:r>
              <w:rPr>
                <w:rFonts w:ascii="Arial" w:cs="Arial" w:eastAsia="Arial" w:hAnsi="Arial"/>
                <w:sz w:val="14"/>
                <w:szCs w:val="14"/>
                <w:color w:val="auto"/>
              </w:rPr>
              <w:t>per share.</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00" w:type="dxa"/>
            <w:vAlign w:val="bottom"/>
            <w:gridSpan w:val="2"/>
          </w:tcPr>
          <w:p>
            <w:pPr>
              <w:spacing w:after="0"/>
              <w:rPr>
                <w:sz w:val="20"/>
                <w:szCs w:val="20"/>
                <w:color w:val="auto"/>
              </w:rPr>
            </w:pPr>
            <w:r>
              <w:rPr>
                <w:rFonts w:ascii="Arial" w:cs="Arial" w:eastAsia="Arial" w:hAnsi="Arial"/>
                <w:sz w:val="14"/>
                <w:szCs w:val="14"/>
                <w:color w:val="auto"/>
              </w:rPr>
              <w:t>(2)   The underwriting discount for the</w:t>
            </w:r>
          </w:p>
        </w:tc>
        <w:tc>
          <w:tcPr>
            <w:tcW w:w="280" w:type="dxa"/>
            <w:vAlign w:val="bottom"/>
          </w:tcPr>
          <w:p>
            <w:pPr>
              <w:spacing w:after="0"/>
              <w:rPr>
                <w:sz w:val="14"/>
                <w:szCs w:val="14"/>
                <w:color w:val="auto"/>
              </w:rPr>
            </w:pPr>
          </w:p>
        </w:tc>
        <w:tc>
          <w:tcPr>
            <w:tcW w:w="2200" w:type="dxa"/>
            <w:vAlign w:val="bottom"/>
            <w:gridSpan w:val="2"/>
          </w:tcPr>
          <w:p>
            <w:pPr>
              <w:jc w:val="right"/>
              <w:ind w:right="184"/>
              <w:spacing w:after="0"/>
              <w:rPr>
                <w:sz w:val="20"/>
                <w:szCs w:val="20"/>
                <w:color w:val="auto"/>
              </w:rPr>
            </w:pPr>
            <w:r>
              <w:rPr>
                <w:rFonts w:ascii="Arial" w:cs="Arial" w:eastAsia="Arial" w:hAnsi="Arial"/>
                <w:sz w:val="14"/>
                <w:szCs w:val="14"/>
                <w:color w:val="auto"/>
                <w:w w:val="91"/>
              </w:rPr>
              <w:t>shares offered to the public was $</w:t>
            </w:r>
          </w:p>
        </w:tc>
        <w:tc>
          <w:tcPr>
            <w:tcW w:w="3220" w:type="dxa"/>
            <w:vAlign w:val="bottom"/>
            <w:gridSpan w:val="5"/>
          </w:tcPr>
          <w:p>
            <w:pPr>
              <w:jc w:val="right"/>
              <w:ind w:right="708"/>
              <w:spacing w:after="0"/>
              <w:rPr>
                <w:sz w:val="20"/>
                <w:szCs w:val="20"/>
                <w:color w:val="auto"/>
              </w:rPr>
            </w:pPr>
            <w:r>
              <w:rPr>
                <w:rFonts w:ascii="Arial" w:cs="Arial" w:eastAsia="Arial" w:hAnsi="Arial"/>
                <w:sz w:val="14"/>
                <w:szCs w:val="14"/>
                <w:color w:val="auto"/>
              </w:rPr>
              <w:t>per share. No underwriting discount or</w:t>
            </w:r>
          </w:p>
        </w:tc>
        <w:tc>
          <w:tcPr>
            <w:tcW w:w="0" w:type="dxa"/>
            <w:vAlign w:val="bottom"/>
          </w:tcPr>
          <w:p>
            <w:pPr>
              <w:spacing w:after="0"/>
              <w:rPr>
                <w:sz w:val="1"/>
                <w:szCs w:val="1"/>
                <w:color w:val="auto"/>
              </w:rPr>
            </w:pPr>
          </w:p>
        </w:tc>
      </w:tr>
      <w:tr>
        <w:trPr>
          <w:trHeight w:val="182"/>
        </w:trPr>
        <w:tc>
          <w:tcPr>
            <w:tcW w:w="4500" w:type="dxa"/>
            <w:vAlign w:val="bottom"/>
            <w:gridSpan w:val="4"/>
          </w:tcPr>
          <w:p>
            <w:pPr>
              <w:ind w:left="360"/>
              <w:spacing w:after="0"/>
              <w:rPr>
                <w:sz w:val="20"/>
                <w:szCs w:val="20"/>
                <w:color w:val="auto"/>
              </w:rPr>
            </w:pPr>
            <w:r>
              <w:rPr>
                <w:rFonts w:ascii="Arial" w:cs="Arial" w:eastAsia="Arial" w:hAnsi="Arial"/>
                <w:sz w:val="14"/>
                <w:szCs w:val="14"/>
                <w:color w:val="auto"/>
              </w:rPr>
              <w:t>commissions will be paid to the underwriters with respect to the</w:t>
            </w:r>
          </w:p>
        </w:tc>
        <w:tc>
          <w:tcPr>
            <w:tcW w:w="2500" w:type="dxa"/>
            <w:vAlign w:val="bottom"/>
            <w:gridSpan w:val="4"/>
          </w:tcPr>
          <w:p>
            <w:pPr>
              <w:jc w:val="right"/>
              <w:ind w:right="590"/>
              <w:spacing w:after="0"/>
              <w:rPr>
                <w:sz w:val="20"/>
                <w:szCs w:val="20"/>
                <w:color w:val="auto"/>
              </w:rPr>
            </w:pPr>
            <w:r>
              <w:rPr>
                <w:rFonts w:ascii="Arial" w:cs="Arial" w:eastAsia="Arial" w:hAnsi="Arial"/>
                <w:sz w:val="14"/>
                <w:szCs w:val="14"/>
                <w:color w:val="auto"/>
                <w:w w:val="91"/>
              </w:rPr>
              <w:t>shares we intend to repurchase.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-1028700</wp:posOffset>
            </wp:positionV>
            <wp:extent cx="240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-1028700</wp:posOffset>
            </wp:positionV>
            <wp:extent cx="240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-1028700</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760" w:hanging="360"/>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35" w:lineRule="exact"/>
        <w:rPr>
          <w:sz w:val="20"/>
          <w:szCs w:val="20"/>
          <w:color w:val="auto"/>
        </w:rPr>
      </w:pPr>
    </w:p>
    <w:p>
      <w:pPr>
        <w:ind w:left="1920"/>
        <w:spacing w:after="0"/>
        <w:tabs>
          <w:tab w:leader="none" w:pos="658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6"/>
          <w:szCs w:val="16"/>
          <w:color w:val="auto"/>
        </w:rPr>
        <w:t>, 2021.</w:t>
      </w:r>
    </w:p>
    <w:p>
      <w:pPr>
        <w:spacing w:after="0" w:line="167" w:lineRule="exact"/>
        <w:rPr>
          <w:sz w:val="20"/>
          <w:szCs w:val="20"/>
          <w:color w:val="auto"/>
        </w:rPr>
      </w:pPr>
    </w:p>
    <w:p>
      <w:pPr>
        <w:ind w:left="400"/>
        <w:spacing w:after="0"/>
        <w:tabs>
          <w:tab w:leader="none" w:pos="794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6"/>
          <w:szCs w:val="26"/>
          <w:b w:val="1"/>
          <w:bCs w:val="1"/>
          <w:color w:val="auto"/>
        </w:rPr>
        <w:t>BofA</w:t>
      </w:r>
    </w:p>
    <w:p>
      <w:pPr>
        <w:spacing w:after="0" w:line="36" w:lineRule="exact"/>
        <w:rPr>
          <w:sz w:val="20"/>
          <w:szCs w:val="20"/>
          <w:color w:val="auto"/>
        </w:rPr>
      </w:pPr>
    </w:p>
    <w:p>
      <w:pPr>
        <w:jc w:val="right"/>
        <w:ind w:right="419"/>
        <w:spacing w:after="0"/>
        <w:tabs>
          <w:tab w:leader="none" w:pos="3960" w:val="left"/>
          <w:tab w:leader="none" w:pos="11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KKR</w:t>
      </w:r>
      <w:r>
        <w:rPr>
          <w:sz w:val="20"/>
          <w:szCs w:val="20"/>
          <w:color w:val="auto"/>
        </w:rPr>
        <w:tab/>
      </w:r>
      <w:r>
        <w:rPr>
          <w:rFonts w:ascii="Arial" w:cs="Arial" w:eastAsia="Arial" w:hAnsi="Arial"/>
          <w:sz w:val="25"/>
          <w:szCs w:val="25"/>
          <w:b w:val="1"/>
          <w:bCs w:val="1"/>
          <w:color w:val="auto"/>
        </w:rPr>
        <w:t>Securities</w:t>
      </w:r>
    </w:p>
    <w:p>
      <w:pPr>
        <w:sectPr>
          <w:pgSz w:w="11900" w:h="16838" w:orient="portrait"/>
          <w:cols w:equalWidth="0" w:num="1">
            <w:col w:w="9019"/>
          </w:cols>
          <w:pgMar w:left="1440" w:top="265" w:right="1440" w:bottom="943" w:gutter="0" w:footer="0" w:header="0"/>
        </w:sectPr>
      </w:pPr>
    </w:p>
    <w:p>
      <w:pPr>
        <w:spacing w:after="0" w:line="165" w:lineRule="exact"/>
        <w:rPr>
          <w:sz w:val="20"/>
          <w:szCs w:val="20"/>
          <w:color w:val="auto"/>
        </w:rPr>
      </w:pPr>
    </w:p>
    <w:p>
      <w:pPr>
        <w:ind w:left="2820"/>
        <w:spacing w:after="0"/>
        <w:tabs>
          <w:tab w:leader="none" w:pos="568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43"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8300" w:type="dxa"/>
            <w:vAlign w:val="bottom"/>
            <w:gridSpan w:val="1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Trademarks, Tradenames, Service Marks and Copyrights</w:t>
              </w:r>
            </w:hyperlink>
          </w:p>
        </w:tc>
        <w:tc>
          <w:tcPr>
            <w:tcW w:w="120" w:type="dxa"/>
            <w:vAlign w:val="bottom"/>
            <w:gridSpan w:val="2"/>
          </w:tcPr>
          <w:p>
            <w:pPr>
              <w:jc w:val="right"/>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Basis of Presentation</w:t>
              </w:r>
            </w:hyperlink>
          </w:p>
        </w:tc>
        <w:tc>
          <w:tcPr>
            <w:tcW w:w="120" w:type="dxa"/>
            <w:vAlign w:val="bottom"/>
            <w:gridSpan w:val="2"/>
            <w:shd w:val="clear" w:color="auto" w:fill="CCEEFF"/>
          </w:tcPr>
          <w:p>
            <w:pPr>
              <w:jc w:val="right"/>
              <w:ind w:right="20"/>
              <w:spacing w:after="0"/>
              <w:rPr>
                <w:rFonts w:ascii="Arial" w:cs="Arial" w:eastAsia="Arial" w:hAnsi="Arial"/>
                <w:sz w:val="17"/>
                <w:szCs w:val="17"/>
                <w:color w:val="0000EE"/>
                <w:w w:val="70"/>
              </w:rPr>
            </w:pPr>
            <w:hyperlink w:anchor="page5">
              <w:r>
                <w:rPr>
                  <w:rFonts w:ascii="Arial" w:cs="Arial" w:eastAsia="Arial" w:hAnsi="Arial"/>
                  <w:sz w:val="17"/>
                  <w:szCs w:val="17"/>
                  <w:color w:val="0000EE"/>
                  <w:w w:val="70"/>
                </w:rPr>
                <w:t>iii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Non-GAAP Financial Measures</w:t>
              </w:r>
            </w:hyperlink>
          </w:p>
        </w:tc>
        <w:tc>
          <w:tcPr>
            <w:tcW w:w="120" w:type="dxa"/>
            <w:vAlign w:val="bottom"/>
            <w:gridSpan w:val="2"/>
          </w:tcPr>
          <w:p>
            <w:pPr>
              <w:jc w:val="right"/>
              <w:ind w:right="20"/>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20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26</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28</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Dividend Policy</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29</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Selling Stockholders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30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Capital Stock</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8">
              <w:r>
                <w:rPr>
                  <w:rFonts w:ascii="Arial" w:cs="Arial" w:eastAsia="Arial" w:hAnsi="Arial"/>
                  <w:sz w:val="10"/>
                  <w:szCs w:val="10"/>
                  <w:color w:val="0000EE"/>
                  <w:w w:val="71"/>
                </w:rPr>
                <w:t>31</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Shares Eligible for Future Sale</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5">
              <w:r>
                <w:rPr>
                  <w:rFonts w:ascii="Arial" w:cs="Arial" w:eastAsia="Arial" w:hAnsi="Arial"/>
                  <w:sz w:val="10"/>
                  <w:szCs w:val="10"/>
                  <w:color w:val="0000EE"/>
                  <w:w w:val="71"/>
                </w:rPr>
                <w:t>38</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Material U.S. Federal Income and Estate Tax Consequences to Non-U.S. Holders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40</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Underwriting (Conflicts of Interest)</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0">
              <w:r>
                <w:rPr>
                  <w:rFonts w:ascii="Arial" w:cs="Arial" w:eastAsia="Arial" w:hAnsi="Arial"/>
                  <w:sz w:val="10"/>
                  <w:szCs w:val="10"/>
                  <w:color w:val="0000EE"/>
                  <w:w w:val="71"/>
                </w:rPr>
                <w:t>43</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49</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49</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49</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980" w:type="dxa"/>
            <w:vAlign w:val="bottom"/>
            <w:gridSpan w:val="10"/>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Incorporation by Reference</w:t>
              </w:r>
            </w:hyperlink>
          </w:p>
        </w:tc>
        <w:tc>
          <w:tcPr>
            <w:tcW w:w="6320" w:type="dxa"/>
            <w:vAlign w:val="bottom"/>
            <w:gridSpan w:val="9"/>
          </w:tcPr>
          <w:p>
            <w:pPr>
              <w:spacing w:after="0"/>
              <w:rPr>
                <w:sz w:val="19"/>
                <w:szCs w:val="19"/>
                <w:color w:val="auto"/>
              </w:rPr>
            </w:pPr>
          </w:p>
        </w:tc>
        <w:tc>
          <w:tcPr>
            <w:tcW w:w="120" w:type="dxa"/>
            <w:vAlign w:val="bottom"/>
            <w:gridSpan w:val="2"/>
          </w:tcPr>
          <w:p>
            <w:pPr>
              <w:jc w:val="right"/>
              <w:ind w:right="20"/>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7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including Allied Market Research and Sporting Goods Intelligence, Inc.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We own and license a number of registered and common law trademarks and pending applications for trademark registrations in the United States, primarily through our subsidiaries, including, for example: Academy Sports + Outdoors®, Magellan Outdoors®, BCG®, O’rageous® and Outdoor Gourmet®.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 ® and ™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17" w:lineRule="exact"/>
        <w:rPr>
          <w:sz w:val="20"/>
          <w:szCs w:val="20"/>
          <w:color w:val="auto"/>
        </w:rPr>
      </w:pPr>
    </w:p>
    <w:p>
      <w:pPr>
        <w:ind w:left="1000" w:right="33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47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“ABL Facility” means our senior secured asset-based revolving credit facility,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559" w:hanging="348"/>
        <w:spacing w:after="0" w:line="275"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“Adviser” means Kohlberg Kravis Roberts &amp; Co. L.P.;</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January 30, 2021, filed on April 7, 2021;</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17" w:lineRule="exact"/>
        <w:rPr>
          <w:rFonts w:ascii="Arial" w:cs="Arial" w:eastAsia="Arial" w:hAnsi="Arial"/>
          <w:sz w:val="18"/>
          <w:szCs w:val="18"/>
          <w:color w:val="auto"/>
        </w:rPr>
      </w:pPr>
    </w:p>
    <w:p>
      <w:pPr>
        <w:ind w:left="1000" w:right="419" w:hanging="348"/>
        <w:spacing w:after="0" w:line="29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w:t>
      </w:r>
    </w:p>
    <w:p>
      <w:pPr>
        <w:spacing w:after="0" w:line="58"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78" w:lineRule="exact"/>
        <w:rPr>
          <w:rFonts w:ascii="Arial" w:cs="Arial" w:eastAsia="Arial" w:hAnsi="Arial"/>
          <w:sz w:val="18"/>
          <w:szCs w:val="18"/>
          <w:color w:val="auto"/>
        </w:rPr>
      </w:pPr>
    </w:p>
    <w:p>
      <w:pPr>
        <w:ind w:left="1000" w:right="339" w:hanging="348"/>
        <w:spacing w:after="0" w:line="272"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w:t>
      </w:r>
    </w:p>
    <w:p>
      <w:pPr>
        <w:spacing w:after="0" w:line="69"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17"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“Proxy Statement” means our Proxy Statement on Schedule 14A for our 2021 Annual Meeting of Stockholders filed on April 23, 2021;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“Term Loan Facility” means our senior secured term loan facility, as described under Note 4 to our audited consolidated financial statements in our Annual Report incorporated by reference herein.</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300" w:right="799" w:firstLine="360"/>
        <w:spacing w:after="0" w:line="342" w:lineRule="auto"/>
        <w:rPr>
          <w:sz w:val="20"/>
          <w:szCs w:val="20"/>
          <w:color w:val="auto"/>
        </w:rPr>
      </w:pPr>
      <w:r>
        <w:rPr>
          <w:rFonts w:ascii="Arial" w:cs="Arial" w:eastAsia="Arial" w:hAnsi="Arial"/>
          <w:sz w:val="16"/>
          <w:szCs w:val="16"/>
          <w:color w:val="auto"/>
        </w:rPr>
        <w:t>Academy Sports and Outdoors, Inc. conducts its operations through its subsidiaries, including its indirect subsidiary, Academy, Ltd., an operating company which is doing business as “Academy Sports + Outdoors.”</w:t>
      </w:r>
    </w:p>
    <w:p>
      <w:pPr>
        <w:spacing w:after="0" w:line="16"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w:t>
      </w:r>
    </w:p>
    <w:p>
      <w:pPr>
        <w:spacing w:after="0" w:line="7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spacing w:after="0" w:line="68"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 Summary Historical Consolidated Financial and Other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0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approximately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17" w:lineRule="exact"/>
        <w:rPr>
          <w:sz w:val="20"/>
          <w:szCs w:val="20"/>
          <w:color w:val="auto"/>
        </w:rPr>
      </w:pPr>
    </w:p>
    <w:p>
      <w:pPr>
        <w:ind w:left="1020" w:hanging="350"/>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Value-based assortment that enables our customers to participate and have fun, no matter their budget.</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17"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BOPIS and shipping fulfillment capabilities.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1020" w:right="9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(“MSAs”).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117"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56" w:lineRule="exact"/>
        <w:rPr>
          <w:sz w:val="20"/>
          <w:szCs w:val="20"/>
          <w:color w:val="auto"/>
        </w:rPr>
      </w:pPr>
    </w:p>
    <w:p>
      <w:pPr>
        <w:ind w:left="320" w:right="319" w:firstLine="360"/>
        <w:spacing w:after="0" w:line="288"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2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57" w:lineRule="exact"/>
        <w:rPr>
          <w:sz w:val="20"/>
          <w:szCs w:val="20"/>
          <w:color w:val="auto"/>
        </w:rPr>
      </w:pPr>
    </w:p>
    <w:p>
      <w:pPr>
        <w:ind w:left="320" w:right="379" w:firstLine="360"/>
        <w:spacing w:after="0" w:line="271"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70"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stores deliver industry-leading unit sales and profitability, including 2020 net sales per store of</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$22.0 million, average total sales per square foot of $311, and average EBITDA per store of $2.3 million. Our</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customers love the Academy store shopping experience because they are able to easily find, learn about, feel, try 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walk out with their favorite items. Our one-stop, convenient store layout, together with our highly trained team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members offering value-added customer services, drive strong and consistent store foot traffic and transaction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volume, with our average customers visiting our stores two to three times per year and our best customers visiting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stores nine times per year. The majority of our stores are located in high-traffic shopping centers, while none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stores are located in, or anchored to, malls.</w:t>
      </w:r>
    </w:p>
    <w:p>
      <w:pPr>
        <w:spacing w:after="0" w:line="103" w:lineRule="exact"/>
        <w:rPr>
          <w:sz w:val="20"/>
          <w:szCs w:val="20"/>
          <w:color w:val="auto"/>
        </w:rPr>
      </w:pPr>
    </w:p>
    <w:p>
      <w:pPr>
        <w:ind w:left="320" w:right="299" w:firstLine="360"/>
        <w:spacing w:after="0" w:line="270"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spacing w:after="0" w:line="73" w:lineRule="exact"/>
        <w:rPr>
          <w:sz w:val="20"/>
          <w:szCs w:val="20"/>
          <w:color w:val="auto"/>
        </w:rPr>
      </w:pPr>
    </w:p>
    <w:p>
      <w:pPr>
        <w:ind w:left="320" w:right="379" w:firstLine="360"/>
        <w:spacing w:after="0" w:line="255"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finished 2020 with approximately $5.7 billion in sales, $308.8 million of net income and $607.0 million in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Although comparable sales were negative for 2017, 2018 and 2019, we have seen six</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consecutive quarters of positive comparable sales and Adjusted EBITDA growth. We earned net income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$308.8 million, $120.0 million and $21.4 million during 2020, 2019 and 2018, respectively. See “—Summary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Historical Consolidated Financial and Other Data” for definitions of Adjusted EBITDA and Adjusted Free Cash</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Flow and reconciliations of Adjusted EBITDA to net income and Adjusted Free Cash Flow to net cash provided by</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activities.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93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jc w:val="both"/>
        <w:ind w:left="320" w:right="599" w:firstLine="36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6" w:lineRule="exact"/>
        <w:rPr>
          <w:sz w:val="20"/>
          <w:szCs w:val="20"/>
          <w:color w:val="auto"/>
        </w:rPr>
      </w:pPr>
    </w:p>
    <w:p>
      <w:pPr>
        <w:ind w:left="1020" w:right="319" w:hanging="350"/>
        <w:spacing w:after="0" w:line="27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70" w:lineRule="exact"/>
        <w:rPr>
          <w:rFonts w:ascii="Arial" w:cs="Arial" w:eastAsia="Arial" w:hAnsi="Arial"/>
          <w:sz w:val="17"/>
          <w:szCs w:val="17"/>
          <w:color w:val="auto"/>
        </w:rPr>
      </w:pPr>
    </w:p>
    <w:p>
      <w:pPr>
        <w:ind w:left="1020" w:right="299" w:hanging="350"/>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in our omnichannel capabilities from 2017</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2019, we launched several new omnichannel initiatives in 2019, including our BOPIS program, ship-to-store program and new website design, content and functionality. While still early in our omnichannel strategy, we have built a profitable omnichannel business that is poised for continued growth and improvement of capabilities.</w:t>
      </w:r>
    </w:p>
    <w:p>
      <w:pPr>
        <w:spacing w:after="0" w:line="79" w:lineRule="exact"/>
        <w:rPr>
          <w:rFonts w:ascii="Arial" w:cs="Arial" w:eastAsia="Arial" w:hAnsi="Arial"/>
          <w:sz w:val="18"/>
          <w:szCs w:val="18"/>
          <w:color w:val="auto"/>
        </w:rPr>
      </w:pPr>
    </w:p>
    <w:p>
      <w:pPr>
        <w:ind w:left="1020" w:right="519" w:hanging="350"/>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offerings. This initiative resulted in an improved customer shopping experience and increased sales.</w:t>
      </w:r>
    </w:p>
    <w:p>
      <w:pPr>
        <w:spacing w:after="0" w:line="75" w:lineRule="exact"/>
        <w:rPr>
          <w:rFonts w:ascii="Arial" w:cs="Arial" w:eastAsia="Arial" w:hAnsi="Arial"/>
          <w:sz w:val="18"/>
          <w:szCs w:val="18"/>
          <w:color w:val="auto"/>
        </w:rPr>
      </w:pPr>
    </w:p>
    <w:p>
      <w:pPr>
        <w:ind w:left="1020" w:right="379" w:hanging="350"/>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categories, such as team sports, fishing and 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Arial" w:cs="Arial" w:eastAsia="Arial" w:hAnsi="Arial"/>
          <w:sz w:val="18"/>
          <w:szCs w:val="18"/>
          <w:color w:val="auto"/>
        </w:rPr>
      </w:pPr>
    </w:p>
    <w:p>
      <w:pPr>
        <w:ind w:left="1020" w:right="339" w:hanging="350"/>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 and reduce tasks to give them more time to engage in customer service, thereby increasing our productivity and sales conversion.</w:t>
      </w:r>
    </w:p>
    <w:p>
      <w:pPr>
        <w:spacing w:after="0" w:line="75" w:lineRule="exact"/>
        <w:rPr>
          <w:rFonts w:ascii="Arial" w:cs="Arial" w:eastAsia="Arial" w:hAnsi="Arial"/>
          <w:sz w:val="18"/>
          <w:szCs w:val="18"/>
          <w:color w:val="auto"/>
        </w:rPr>
      </w:pPr>
    </w:p>
    <w:p>
      <w:pPr>
        <w:jc w:val="both"/>
        <w:ind w:left="1020" w:right="339" w:hanging="350"/>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Digital marketing program </w:t>
      </w:r>
      <w:r>
        <w:rPr>
          <w:rFonts w:ascii="Arial" w:cs="Arial" w:eastAsia="Arial" w:hAnsi="Arial"/>
          <w:sz w:val="17"/>
          <w:szCs w:val="17"/>
          <w:color w:val="auto"/>
        </w:rPr>
        <w:t>– During the last two years, we shifted our primary marketing focus from print</w:t>
      </w:r>
      <w:r>
        <w:rPr>
          <w:rFonts w:ascii="Arial" w:cs="Arial" w:eastAsia="Arial" w:hAnsi="Arial"/>
          <w:sz w:val="17"/>
          <w:szCs w:val="17"/>
          <w:i w:val="1"/>
          <w:iCs w:val="1"/>
          <w:color w:val="auto"/>
        </w:rPr>
        <w:t xml:space="preserve"> </w:t>
      </w:r>
      <w:r>
        <w:rPr>
          <w:rFonts w:ascii="Arial" w:cs="Arial" w:eastAsia="Arial" w:hAnsi="Arial"/>
          <w:sz w:val="17"/>
          <w:szCs w:val="17"/>
          <w:color w:val="auto"/>
        </w:rPr>
        <w:t>to digital marketing. Our improved website also supports our stores with digital marketing and our BOPIS program. Each of these initiatives has given us a closer connection with our customers.</w:t>
      </w:r>
    </w:p>
    <w:p>
      <w:pPr>
        <w:spacing w:after="0" w:line="57" w:lineRule="exact"/>
        <w:rPr>
          <w:rFonts w:ascii="Arial" w:cs="Arial" w:eastAsia="Arial" w:hAnsi="Arial"/>
          <w:sz w:val="17"/>
          <w:szCs w:val="17"/>
          <w:color w:val="auto"/>
        </w:rPr>
      </w:pPr>
    </w:p>
    <w:p>
      <w:pPr>
        <w:ind w:left="1020" w:right="579" w:hanging="350"/>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approximately 4.5% of 2020 net sales. Academy Credit Card represents a significant opportunity to build customer loyalty, as our Academy Credit Card customers both spend more per trip and visit our stores more often.</w:t>
      </w:r>
    </w:p>
    <w:p>
      <w:pPr>
        <w:spacing w:after="0" w:line="78" w:lineRule="exact"/>
        <w:rPr>
          <w:rFonts w:ascii="Arial" w:cs="Arial" w:eastAsia="Arial" w:hAnsi="Arial"/>
          <w:sz w:val="18"/>
          <w:szCs w:val="18"/>
          <w:color w:val="auto"/>
        </w:rPr>
      </w:pPr>
    </w:p>
    <w:p>
      <w:pPr>
        <w:ind w:left="1020" w:right="419" w:hanging="350"/>
        <w:spacing w:after="0" w:line="27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68" w:lineRule="exact"/>
        <w:rPr>
          <w:rFonts w:ascii="Arial" w:cs="Arial" w:eastAsia="Arial" w:hAnsi="Arial"/>
          <w:sz w:val="17"/>
          <w:szCs w:val="17"/>
          <w:color w:val="auto"/>
        </w:rPr>
      </w:pPr>
    </w:p>
    <w:p>
      <w:pPr>
        <w:ind w:left="1020" w:right="319" w:hanging="350"/>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Develop small box format </w:t>
      </w:r>
      <w:r>
        <w:rPr>
          <w:rFonts w:ascii="Arial" w:cs="Arial" w:eastAsia="Arial" w:hAnsi="Arial"/>
          <w:sz w:val="16"/>
          <w:szCs w:val="16"/>
          <w:color w:val="auto"/>
        </w:rPr>
        <w:t>– We opened our first small format store (approximately 40,000 square feet) in</w:t>
      </w:r>
      <w:r>
        <w:rPr>
          <w:rFonts w:ascii="Arial" w:cs="Arial" w:eastAsia="Arial" w:hAnsi="Arial"/>
          <w:sz w:val="16"/>
          <w:szCs w:val="16"/>
          <w:i w:val="1"/>
          <w:iCs w:val="1"/>
          <w:color w:val="auto"/>
        </w:rPr>
        <w:t xml:space="preserve"> </w:t>
      </w:r>
      <w:r>
        <w:rPr>
          <w:rFonts w:ascii="Arial" w:cs="Arial" w:eastAsia="Arial" w:hAnsi="Arial"/>
          <w:sz w:val="16"/>
          <w:szCs w:val="16"/>
          <w:color w:val="auto"/>
        </w:rPr>
        <w:t>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56" w:lineRule="exact"/>
        <w:rPr>
          <w:sz w:val="20"/>
          <w:szCs w:val="20"/>
          <w:color w:val="auto"/>
        </w:rPr>
      </w:pPr>
    </w:p>
    <w:p>
      <w:pPr>
        <w:ind w:left="320" w:right="299" w:firstLine="360"/>
        <w:spacing w:after="0" w:line="275"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 to facilitate social distancing. We expect that this will continue throughout the duration of the pandemic and will</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76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299"/>
        <w:spacing w:after="0" w:line="269" w:lineRule="auto"/>
        <w:rPr>
          <w:sz w:val="20"/>
          <w:szCs w:val="20"/>
          <w:color w:val="auto"/>
        </w:rPr>
      </w:pPr>
      <w:r>
        <w:rPr>
          <w:rFonts w:ascii="Arial" w:cs="Arial" w:eastAsia="Arial" w:hAnsi="Arial"/>
          <w:sz w:val="17"/>
          <w:szCs w:val="17"/>
          <w:color w:val="auto"/>
        </w:rPr>
        <w:t>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33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20" w:right="379" w:firstLine="360"/>
        <w:spacing w:after="0" w:line="275" w:lineRule="auto"/>
        <w:rPr>
          <w:sz w:val="20"/>
          <w:szCs w:val="20"/>
          <w:color w:val="auto"/>
        </w:rPr>
      </w:pPr>
      <w:r>
        <w:rPr>
          <w:rFonts w:ascii="Arial" w:cs="Arial" w:eastAsia="Arial" w:hAnsi="Arial"/>
          <w:sz w:val="17"/>
          <w:szCs w:val="17"/>
          <w:color w:val="auto"/>
        </w:rPr>
        <w:t>We compete in a $110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retail sporting goods and outdoor recreation retail industry comprises six principal categories of retailers:</w:t>
      </w:r>
    </w:p>
    <w:p>
      <w:pPr>
        <w:spacing w:after="0" w:line="140"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Mass general merchants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Large format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Traditional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Specialty outdoor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Specialty footwear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Catalogue &amp; Internet retailers</w:t>
      </w:r>
    </w:p>
    <w:p>
      <w:pPr>
        <w:spacing w:after="0" w:line="117" w:lineRule="exact"/>
        <w:rPr>
          <w:sz w:val="20"/>
          <w:szCs w:val="20"/>
          <w:color w:val="auto"/>
        </w:rPr>
      </w:pPr>
    </w:p>
    <w:p>
      <w:pPr>
        <w:ind w:left="320" w:right="379" w:firstLine="36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62" w:lineRule="exact"/>
        <w:rPr>
          <w:sz w:val="20"/>
          <w:szCs w:val="20"/>
          <w:color w:val="auto"/>
        </w:rPr>
      </w:pPr>
    </w:p>
    <w:p>
      <w:pPr>
        <w:ind w:left="320" w:right="319" w:firstLine="360"/>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74"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99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the second largest full-line sporting goods and outdoor recreation retailer in the United States, with</w:t>
      </w:r>
    </w:p>
    <w:p>
      <w:pPr>
        <w:spacing w:after="0" w:line="35" w:lineRule="exact"/>
        <w:rPr>
          <w:sz w:val="20"/>
          <w:szCs w:val="20"/>
          <w:color w:val="auto"/>
        </w:rPr>
      </w:pPr>
    </w:p>
    <w:p>
      <w:pPr>
        <w:ind w:left="320" w:right="359"/>
        <w:spacing w:after="0" w:line="253" w:lineRule="auto"/>
        <w:rPr>
          <w:sz w:val="20"/>
          <w:szCs w:val="20"/>
          <w:color w:val="auto"/>
        </w:rPr>
      </w:pPr>
      <w:r>
        <w:rPr>
          <w:rFonts w:ascii="Arial" w:cs="Arial" w:eastAsia="Arial" w:hAnsi="Arial"/>
          <w:sz w:val="18"/>
          <w:szCs w:val="18"/>
          <w:color w:val="auto"/>
        </w:rPr>
        <w:t>2020 net sales of $5.7 billion. We believe our stores are well positioned geographically, with a strong and growing presence in six of the top 10 fastest-growing MSAs, including Dallas, Houston, Atlanta, Austin, Charlotte and San Antonio.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83" w:lineRule="exact"/>
        <w:rPr>
          <w:sz w:val="20"/>
          <w:szCs w:val="20"/>
          <w:color w:val="auto"/>
        </w:rPr>
      </w:pPr>
    </w:p>
    <w:p>
      <w:pPr>
        <w:ind w:left="320" w:right="319" w:firstLine="360"/>
        <w:spacing w:after="0" w:line="257" w:lineRule="auto"/>
        <w:rPr>
          <w:sz w:val="20"/>
          <w:szCs w:val="20"/>
          <w:color w:val="auto"/>
        </w:rPr>
      </w:pPr>
      <w:r>
        <w:rPr>
          <w:rFonts w:ascii="Arial" w:cs="Arial" w:eastAsia="Arial" w:hAnsi="Arial"/>
          <w:sz w:val="18"/>
          <w:szCs w:val="18"/>
          <w:color w:val="auto"/>
        </w:rPr>
        <w:t>The size of the sporting goods and outdoor recreation industry was estimated at $110 billion in the United States in 2020, based on SGI Market Facts—Athletic Footwear &amp; Apparel 2020 and SGI Market Facts—Sports Equipment 2020 by Sporting Goods Intelligence, Inc., and it is growing. According to Allied Market Research, sales growth from 2019 through 2027 in categories we participate, such as outdoor, team sports, apparel and footwear, is expected to grow approximately 6% per annum.</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20" w:right="279" w:firstLine="360"/>
        <w:spacing w:after="0" w:line="285"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20" w:right="359" w:firstLine="360"/>
        <w:spacing w:after="0" w:line="293" w:lineRule="auto"/>
        <w:rPr>
          <w:sz w:val="20"/>
          <w:szCs w:val="20"/>
          <w:color w:val="auto"/>
        </w:rPr>
      </w:pPr>
      <w:r>
        <w:rPr>
          <w:rFonts w:ascii="Arial" w:cs="Arial" w:eastAsia="Arial" w:hAnsi="Arial"/>
          <w:sz w:val="16"/>
          <w:szCs w:val="16"/>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56" w:lineRule="exact"/>
        <w:rPr>
          <w:sz w:val="20"/>
          <w:szCs w:val="20"/>
          <w:color w:val="auto"/>
        </w:rPr>
      </w:pPr>
    </w:p>
    <w:p>
      <w:pPr>
        <w:ind w:left="320" w:right="319" w:firstLine="360"/>
        <w:spacing w:after="0" w:line="271"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0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830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19" w:firstLine="360"/>
        <w:spacing w:after="0" w:line="269" w:lineRule="auto"/>
        <w:rPr>
          <w:sz w:val="20"/>
          <w:szCs w:val="20"/>
          <w:color w:val="auto"/>
        </w:rPr>
      </w:pPr>
      <w:r>
        <w:rPr>
          <w:rFonts w:ascii="Arial" w:cs="Arial" w:eastAsia="Arial" w:hAnsi="Arial"/>
          <w:sz w:val="17"/>
          <w:szCs w:val="17"/>
          <w:color w:val="auto"/>
        </w:rPr>
        <w:t>Our owned brand portfolio consists of 19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20" w:right="319" w:firstLine="360"/>
        <w:spacing w:after="0" w:line="286"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66" w:lineRule="exact"/>
        <w:rPr>
          <w:sz w:val="20"/>
          <w:szCs w:val="20"/>
          <w:color w:val="auto"/>
        </w:rPr>
      </w:pPr>
    </w:p>
    <w:p>
      <w:pPr>
        <w:ind w:left="320" w:right="339" w:firstLine="360"/>
        <w:spacing w:after="0" w:line="286"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320" w:right="499" w:firstLine="360"/>
        <w:spacing w:after="0" w:line="30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approximately 30 million unique customers and we completed approximately 80 million transactions, resulting in strong household penetration in our core markets.</w:t>
      </w:r>
    </w:p>
    <w:p>
      <w:pPr>
        <w:spacing w:after="0" w:line="49" w:lineRule="exact"/>
        <w:rPr>
          <w:sz w:val="20"/>
          <w:szCs w:val="20"/>
          <w:color w:val="auto"/>
        </w:rPr>
      </w:pPr>
    </w:p>
    <w:p>
      <w:pPr>
        <w:ind w:left="320" w:right="399" w:firstLine="360"/>
        <w:spacing w:after="0" w:line="273" w:lineRule="auto"/>
        <w:rPr>
          <w:sz w:val="20"/>
          <w:szCs w:val="20"/>
          <w:color w:val="auto"/>
        </w:rPr>
      </w:pPr>
      <w:r>
        <w:rPr>
          <w:rFonts w:ascii="Arial" w:cs="Arial" w:eastAsia="Arial" w:hAnsi="Arial"/>
          <w:sz w:val="17"/>
          <w:szCs w:val="17"/>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76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19" w:firstLine="360"/>
        <w:spacing w:after="0" w:line="254" w:lineRule="auto"/>
        <w:rPr>
          <w:sz w:val="20"/>
          <w:szCs w:val="20"/>
          <w:color w:val="auto"/>
        </w:rPr>
      </w:pPr>
      <w:r>
        <w:rPr>
          <w:rFonts w:ascii="Arial" w:cs="Arial" w:eastAsia="Arial" w:hAnsi="Arial"/>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87" w:lineRule="exact"/>
        <w:rPr>
          <w:sz w:val="20"/>
          <w:szCs w:val="20"/>
          <w:color w:val="auto"/>
        </w:rPr>
      </w:pPr>
    </w:p>
    <w:p>
      <w:pPr>
        <w:ind w:left="320" w:right="459" w:firstLine="360"/>
        <w:spacing w:after="0" w:line="271"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20" w:right="299" w:firstLine="360"/>
        <w:spacing w:after="0" w:line="269" w:lineRule="auto"/>
        <w:rPr>
          <w:sz w:val="20"/>
          <w:szCs w:val="20"/>
          <w:color w:val="auto"/>
        </w:rPr>
      </w:pPr>
      <w:r>
        <w:rPr>
          <w:rFonts w:ascii="Arial" w:cs="Arial" w:eastAsia="Arial" w:hAnsi="Arial"/>
          <w:sz w:val="17"/>
          <w:szCs w:val="17"/>
          <w:color w:val="auto"/>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20" w:right="279" w:firstLine="360"/>
        <w:spacing w:after="0" w:line="272" w:lineRule="auto"/>
        <w:rPr>
          <w:sz w:val="20"/>
          <w:szCs w:val="20"/>
          <w:color w:val="auto"/>
        </w:rPr>
      </w:pPr>
      <w:r>
        <w:rPr>
          <w:rFonts w:ascii="Arial" w:cs="Arial" w:eastAsia="Arial" w:hAnsi="Arial"/>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69" w:lineRule="exact"/>
        <w:rPr>
          <w:sz w:val="20"/>
          <w:szCs w:val="20"/>
          <w:color w:val="auto"/>
        </w:rPr>
      </w:pPr>
    </w:p>
    <w:p>
      <w:pPr>
        <w:ind w:left="320" w:right="439" w:firstLine="360"/>
        <w:spacing w:after="0" w:line="255" w:lineRule="auto"/>
        <w:rPr>
          <w:sz w:val="20"/>
          <w:szCs w:val="20"/>
          <w:color w:val="auto"/>
        </w:rPr>
      </w:pPr>
      <w:r>
        <w:rPr>
          <w:rFonts w:ascii="Arial" w:cs="Arial" w:eastAsia="Arial" w:hAnsi="Arial"/>
          <w:sz w:val="18"/>
          <w:szCs w:val="18"/>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84"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focused on the following four growth drivers: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320" w:right="379" w:firstLine="360"/>
        <w:spacing w:after="0" w:line="286" w:lineRule="auto"/>
        <w:rPr>
          <w:sz w:val="20"/>
          <w:szCs w:val="20"/>
          <w:color w:val="auto"/>
        </w:rPr>
      </w:pPr>
      <w:r>
        <w:rPr>
          <w:rFonts w:ascii="Arial" w:cs="Arial" w:eastAsia="Arial" w:hAnsi="Arial"/>
          <w:sz w:val="17"/>
          <w:szCs w:val="17"/>
          <w:color w:val="auto"/>
        </w:rPr>
        <w:t>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459"/>
        <w:spacing w:after="0" w:line="273" w:lineRule="auto"/>
        <w:rPr>
          <w:sz w:val="20"/>
          <w:szCs w:val="20"/>
          <w:color w:val="auto"/>
        </w:rPr>
      </w:pPr>
      <w:r>
        <w:rPr>
          <w:rFonts w:ascii="Arial" w:cs="Arial" w:eastAsia="Arial" w:hAnsi="Arial"/>
          <w:sz w:val="17"/>
          <w:szCs w:val="17"/>
          <w:color w:val="auto"/>
        </w:rPr>
        <w:t>fourth quarter of 2020. Our goal is to increase our omnichannel penetration quickly and significantly. To meet this goal, since 2011, we have invested $230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70"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spacing w:after="0" w:line="77" w:lineRule="exact"/>
        <w:rPr>
          <w:sz w:val="20"/>
          <w:szCs w:val="20"/>
          <w:color w:val="auto"/>
        </w:rPr>
      </w:pPr>
    </w:p>
    <w:p>
      <w:pPr>
        <w:ind w:left="320" w:right="299" w:firstLine="360"/>
        <w:spacing w:after="0" w:line="290" w:lineRule="auto"/>
        <w:rPr>
          <w:sz w:val="20"/>
          <w:szCs w:val="20"/>
          <w:color w:val="auto"/>
        </w:rPr>
      </w:pPr>
      <w:r>
        <w:rPr>
          <w:rFonts w:ascii="Arial" w:cs="Arial" w:eastAsia="Arial" w:hAnsi="Arial"/>
          <w:sz w:val="16"/>
          <w:szCs w:val="16"/>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20" w:right="339" w:firstLine="360"/>
        <w:spacing w:after="0" w:line="279"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approximately 40 million unique customers, and we continue to grow this through increased penetration of e-commerce sales and through the success of our Academy Credit Card program.</w:t>
      </w:r>
    </w:p>
    <w:p>
      <w:pPr>
        <w:spacing w:after="0" w:line="63" w:lineRule="exact"/>
        <w:rPr>
          <w:sz w:val="20"/>
          <w:szCs w:val="20"/>
          <w:color w:val="auto"/>
        </w:rPr>
      </w:pPr>
    </w:p>
    <w:p>
      <w:pPr>
        <w:ind w:left="320" w:right="599" w:firstLine="360"/>
        <w:spacing w:after="0" w:line="271" w:lineRule="auto"/>
        <w:rPr>
          <w:sz w:val="20"/>
          <w:szCs w:val="20"/>
          <w:color w:val="auto"/>
        </w:rPr>
      </w:pPr>
      <w:r>
        <w:rPr>
          <w:rFonts w:ascii="Arial" w:cs="Arial" w:eastAsia="Arial" w:hAnsi="Arial"/>
          <w:sz w:val="17"/>
          <w:szCs w:val="17"/>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approximately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70"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58" w:lineRule="exact"/>
        <w:rPr>
          <w:sz w:val="20"/>
          <w:szCs w:val="20"/>
          <w:color w:val="auto"/>
        </w:rPr>
      </w:pPr>
    </w:p>
    <w:p>
      <w:pPr>
        <w:ind w:left="320" w:right="499" w:firstLine="36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90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78905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79" w:lineRule="exact"/>
        <w:rPr>
          <w:sz w:val="20"/>
          <w:szCs w:val="20"/>
          <w:color w:val="auto"/>
        </w:rPr>
      </w:pPr>
    </w:p>
    <w:p>
      <w:pPr>
        <w:ind w:left="320" w:right="339" w:firstLine="360"/>
        <w:spacing w:after="0" w:line="271"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70"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79" w:lineRule="exact"/>
        <w:rPr>
          <w:sz w:val="20"/>
          <w:szCs w:val="20"/>
          <w:color w:val="auto"/>
        </w:rPr>
      </w:pPr>
    </w:p>
    <w:p>
      <w:pPr>
        <w:ind w:left="320" w:right="319" w:firstLine="360"/>
        <w:spacing w:after="0" w:line="290"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w:t>
      </w:r>
    </w:p>
    <w:p>
      <w:pPr>
        <w:spacing w:after="0" w:line="57" w:lineRule="exact"/>
        <w:rPr>
          <w:sz w:val="20"/>
          <w:szCs w:val="20"/>
          <w:color w:val="auto"/>
        </w:rPr>
      </w:pPr>
    </w:p>
    <w:p>
      <w:pPr>
        <w:ind w:left="320" w:right="459" w:firstLine="360"/>
        <w:spacing w:after="0" w:line="311" w:lineRule="auto"/>
        <w:rPr>
          <w:sz w:val="20"/>
          <w:szCs w:val="20"/>
          <w:color w:val="auto"/>
        </w:rPr>
      </w:pPr>
      <w:r>
        <w:rPr>
          <w:rFonts w:ascii="Arial" w:cs="Arial" w:eastAsia="Arial" w:hAnsi="Arial"/>
          <w:sz w:val="16"/>
          <w:szCs w:val="16"/>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20" w:right="319" w:firstLine="360"/>
        <w:spacing w:after="0" w:line="273" w:lineRule="auto"/>
        <w:rPr>
          <w:sz w:val="20"/>
          <w:szCs w:val="20"/>
          <w:color w:val="auto"/>
        </w:rPr>
      </w:pPr>
      <w:r>
        <w:rPr>
          <w:rFonts w:ascii="Arial" w:cs="Arial" w:eastAsia="Arial" w:hAnsi="Arial"/>
          <w:sz w:val="17"/>
          <w:szCs w:val="17"/>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22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20" w:right="499" w:firstLine="360"/>
        <w:spacing w:after="0" w:line="259"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57"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Preliminary, Unaudited Estimates for the First Quarter of 2021</w:t>
      </w:r>
    </w:p>
    <w:p>
      <w:pPr>
        <w:spacing w:after="0" w:line="117" w:lineRule="exact"/>
        <w:rPr>
          <w:sz w:val="20"/>
          <w:szCs w:val="20"/>
          <w:color w:val="auto"/>
        </w:rPr>
      </w:pPr>
    </w:p>
    <w:p>
      <w:pPr>
        <w:ind w:left="320" w:right="299" w:firstLine="360"/>
        <w:spacing w:after="0" w:line="311" w:lineRule="auto"/>
        <w:rPr>
          <w:sz w:val="20"/>
          <w:szCs w:val="20"/>
          <w:color w:val="auto"/>
        </w:rPr>
      </w:pPr>
      <w:r>
        <w:rPr>
          <w:rFonts w:ascii="Arial" w:cs="Arial" w:eastAsia="Arial" w:hAnsi="Arial"/>
          <w:sz w:val="16"/>
          <w:szCs w:val="16"/>
          <w:color w:val="auto"/>
        </w:rPr>
        <w:t>We estimate that our comparable sales increased approximately 38.9% during the thirteen-week period ended May 1, 2021 (the “first quarter of 2021”). This comparable sales increase was driven primarily by double digit sales growth in all merchandise categories and markets, an increase in average unit retails, an increase in total transactions</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76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79762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39"/>
        <w:spacing w:after="0" w:line="259" w:lineRule="auto"/>
        <w:rPr>
          <w:sz w:val="20"/>
          <w:szCs w:val="20"/>
          <w:color w:val="auto"/>
        </w:rPr>
      </w:pPr>
      <w:r>
        <w:rPr>
          <w:rFonts w:ascii="Arial" w:cs="Arial" w:eastAsia="Arial" w:hAnsi="Arial"/>
          <w:sz w:val="18"/>
          <w:szCs w:val="18"/>
          <w:color w:val="auto"/>
        </w:rPr>
        <w:t>and the positive impact of government issued stimulus checks. Other business trends during the quarter include our sales mix shifting to a more normalized level compared to the first quarter of 2020, continuing to operate in a less promotional environment and fewer clearance sales resulting in continued strong margin performance. As of May 1, 2021, we operated 259 retail locations in 16 states.</w:t>
      </w:r>
    </w:p>
    <w:p>
      <w:pPr>
        <w:spacing w:after="0" w:line="79" w:lineRule="exact"/>
        <w:rPr>
          <w:sz w:val="20"/>
          <w:szCs w:val="20"/>
          <w:color w:val="auto"/>
        </w:rPr>
      </w:pPr>
    </w:p>
    <w:p>
      <w:pPr>
        <w:ind w:left="320" w:right="439" w:firstLine="360"/>
        <w:spacing w:after="0" w:line="286" w:lineRule="auto"/>
        <w:rPr>
          <w:sz w:val="20"/>
          <w:szCs w:val="20"/>
          <w:color w:val="auto"/>
        </w:rPr>
      </w:pPr>
      <w:r>
        <w:rPr>
          <w:rFonts w:ascii="Arial" w:cs="Arial" w:eastAsia="Arial" w:hAnsi="Arial"/>
          <w:sz w:val="16"/>
          <w:szCs w:val="16"/>
          <w:color w:val="auto"/>
        </w:rPr>
        <w:t>This preliminary financial information is for the first quarter of 2021. The unaudited, estimated results for the first quarter of 2021 are preliminary, based upon our estimates and currently available information, and are 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first quarter of 2021 or any future period. Our actual results may be materially different from our estimates, which should not be regarded as a representation by us, our management, the selling stockholders or the underwriters as to our actual results for the first quarter of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Cessation of Controlled Company Status</w:t>
      </w:r>
    </w:p>
    <w:p>
      <w:pPr>
        <w:spacing w:after="0" w:line="117"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74" w:lineRule="exact"/>
        <w:rPr>
          <w:sz w:val="20"/>
          <w:szCs w:val="20"/>
          <w:color w:val="auto"/>
        </w:rPr>
      </w:pPr>
    </w:p>
    <w:p>
      <w:pPr>
        <w:ind w:left="320" w:right="559" w:firstLine="360"/>
        <w:spacing w:after="0" w:line="259" w:lineRule="auto"/>
        <w:rPr>
          <w:sz w:val="20"/>
          <w:szCs w:val="20"/>
          <w:color w:val="auto"/>
        </w:rPr>
      </w:pPr>
      <w:r>
        <w:rPr>
          <w:rFonts w:ascii="Arial" w:cs="Arial" w:eastAsia="Arial" w:hAnsi="Arial"/>
          <w:sz w:val="18"/>
          <w:szCs w:val="18"/>
          <w:color w:val="auto"/>
        </w:rPr>
        <w:t>In addition, following the completion of this offering and in connection with the loss of controlled company status noted above, we expect certain changes to the composition of our board of directors to occur, including the resignation of one or more directors and the appointment of one or more independent directors to fill in the vacancies created by such resignations.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out of the aggregate 14,000,000 shares of our common stock that are the subject of the offering, a number of shares (rounded down to the nearest whole share) having an aggregate purchase price of up to $100 million. The price per share to be paid by us will equal the price at which the underwriters will purchase the shares from the selling stockholders in the offering. We refer to this transaction as the “concurrent share repurchase.”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84" w:lineRule="exact"/>
        <w:rPr>
          <w:sz w:val="20"/>
          <w:szCs w:val="20"/>
          <w:color w:val="auto"/>
        </w:rPr>
      </w:pPr>
    </w:p>
    <w:p>
      <w:pPr>
        <w:jc w:val="both"/>
        <w:ind w:left="320" w:right="379" w:firstLine="360"/>
        <w:spacing w:after="0" w:line="263" w:lineRule="auto"/>
        <w:rPr>
          <w:sz w:val="20"/>
          <w:szCs w:val="20"/>
          <w:color w:val="auto"/>
        </w:rPr>
      </w:pPr>
      <w:r>
        <w:rPr>
          <w:rFonts w:ascii="Arial" w:cs="Arial" w:eastAsia="Arial" w:hAnsi="Arial"/>
          <w:sz w:val="18"/>
          <w:szCs w:val="18"/>
          <w:color w:val="auto"/>
        </w:rPr>
        <w:t>The concurrent share repurchase was approved by our board of directors and its audit committee. We intend to fund the concurrent share repurchase with cash on hand. Any shares of our common stock that we repurchase in the concurrent share repurchase will be retired.</w:t>
      </w:r>
    </w:p>
    <w:p>
      <w:pPr>
        <w:spacing w:after="0" w:line="76" w:lineRule="exact"/>
        <w:rPr>
          <w:sz w:val="20"/>
          <w:szCs w:val="20"/>
          <w:color w:val="auto"/>
        </w:rPr>
      </w:pPr>
    </w:p>
    <w:p>
      <w:pPr>
        <w:ind w:left="320" w:right="439"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regarding, the concurrent share repurchase are included in this prospectus for informational purposes only. Nothing in this prospectus should be construed as an offer to sell, or the solicitation of an offer to buy, any of our common stock subject to the concurrent share repurchase.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579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65792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4" w:lineRule="exact"/>
        <w:rPr>
          <w:sz w:val="20"/>
          <w:szCs w:val="20"/>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20" w:right="359" w:hanging="350"/>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20" w:right="3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20" w:right="35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disruptions in our supply chain and losses of merchandise purchasing incentives;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20" w:right="43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qualification for exemptions from certain corporate governance requirements during the one-year transition period after our loss of “controlled company” status within the meaning of Nasdaq listing rules upon completion of the April 2021 Sale; and</w:t>
      </w:r>
    </w:p>
    <w:p>
      <w:pPr>
        <w:spacing w:after="0" w:line="75" w:lineRule="exact"/>
        <w:rPr>
          <w:rFonts w:ascii="Arial" w:cs="Arial" w:eastAsia="Arial" w:hAnsi="Arial"/>
          <w:sz w:val="18"/>
          <w:szCs w:val="18"/>
          <w:color w:val="auto"/>
        </w:rPr>
      </w:pPr>
    </w:p>
    <w:p>
      <w:pPr>
        <w:ind w:left="1020" w:right="4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KKR Stockholders having the ability to exert substantial influence over us and their interests conflicting with ours or yours in the future.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20" w:right="1279" w:firstLine="360"/>
        <w:spacing w:after="0" w:line="277" w:lineRule="auto"/>
        <w:rPr>
          <w:sz w:val="20"/>
          <w:szCs w:val="20"/>
          <w:color w:val="auto"/>
        </w:rPr>
      </w:pPr>
      <w:r>
        <w:rPr>
          <w:rFonts w:ascii="Arial" w:cs="Arial" w:eastAsia="Arial" w:hAnsi="Arial"/>
          <w:sz w:val="18"/>
          <w:szCs w:val="18"/>
          <w:color w:val="auto"/>
        </w:rPr>
        <w:t>Our common stock began trading on Nasdaq under the symbol “ASO” on October 2, 2020 and we consummated the IPO on October 6, 2020.</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principal offices are located at 1800 North Mason Road, Katy, Texas 77449. Our telephone number is</w:t>
      </w:r>
    </w:p>
    <w:p>
      <w:pPr>
        <w:spacing w:after="0" w:line="23" w:lineRule="exact"/>
        <w:rPr>
          <w:sz w:val="20"/>
          <w:szCs w:val="20"/>
          <w:color w:val="auto"/>
        </w:rPr>
      </w:pPr>
    </w:p>
    <w:p>
      <w:pPr>
        <w:jc w:val="both"/>
        <w:ind w:left="320" w:right="439" w:hanging="10"/>
        <w:spacing w:after="0" w:line="255"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 can be accessed through, our website is not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61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019"/>
          </w:cols>
          <w:pgMar w:left="1440" w:top="265" w:right="1440" w:bottom="1440" w:gutter="0" w:footer="0" w:header="0"/>
          <w:type w:val="continuous"/>
        </w:sectPr>
      </w:pPr>
    </w:p>
    <w:p>
      <w:pPr>
        <w:spacing w:after="0" w:line="14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Common stock offered by the selling stockholders</w:t>
      </w:r>
    </w:p>
    <w:p>
      <w:pPr>
        <w:spacing w:after="0" w:line="179" w:lineRule="exact"/>
        <w:rPr>
          <w:sz w:val="20"/>
          <w:szCs w:val="20"/>
          <w:color w:val="auto"/>
        </w:rPr>
      </w:pPr>
    </w:p>
    <w:p>
      <w:pPr>
        <w:ind w:left="480" w:right="80" w:hanging="179"/>
        <w:spacing w:after="0" w:line="282" w:lineRule="auto"/>
        <w:rPr>
          <w:sz w:val="20"/>
          <w:szCs w:val="20"/>
          <w:color w:val="auto"/>
        </w:rPr>
      </w:pPr>
      <w:r>
        <w:rPr>
          <w:rFonts w:ascii="Arial" w:cs="Arial" w:eastAsia="Arial" w:hAnsi="Arial"/>
          <w:sz w:val="18"/>
          <w:szCs w:val="18"/>
          <w:b w:val="1"/>
          <w:bCs w:val="1"/>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14,000,000 shares.</w:t>
      </w:r>
    </w:p>
    <w:p>
      <w:pPr>
        <w:spacing w:after="0" w:line="333" w:lineRule="exact"/>
        <w:rPr>
          <w:sz w:val="20"/>
          <w:szCs w:val="20"/>
          <w:color w:val="auto"/>
        </w:rPr>
      </w:pPr>
    </w:p>
    <w:p>
      <w:pPr>
        <w:ind w:right="319"/>
        <w:spacing w:after="0" w:line="275" w:lineRule="auto"/>
        <w:rPr>
          <w:sz w:val="20"/>
          <w:szCs w:val="20"/>
          <w:color w:val="auto"/>
        </w:rPr>
      </w:pPr>
      <w:r>
        <w:rPr>
          <w:rFonts w:ascii="Arial" w:cs="Arial" w:eastAsia="Arial" w:hAnsi="Arial"/>
          <w:sz w:val="17"/>
          <w:szCs w:val="17"/>
          <w:color w:val="auto"/>
        </w:rPr>
        <w:t>The selling stockholders have granted the underwriters a 30-day option from the date of this prospectus to purchase up to 2,100,000 additional shares of our common stock at the public offering price, less underwriting discounts and commissions.</w:t>
      </w:r>
    </w:p>
    <w:p>
      <w:pPr>
        <w:spacing w:after="0" w:line="105" w:lineRule="exact"/>
        <w:rPr>
          <w:sz w:val="20"/>
          <w:szCs w:val="20"/>
          <w:color w:val="auto"/>
        </w:rPr>
      </w:pPr>
    </w:p>
    <w:p>
      <w:pPr>
        <w:sectPr>
          <w:pgSz w:w="11900" w:h="16838" w:orient="portrait"/>
          <w:cols w:equalWidth="0" w:num="2">
            <w:col w:w="4120" w:space="5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8"/>
          <w:szCs w:val="18"/>
          <w:b w:val="1"/>
          <w:bCs w:val="1"/>
          <w:color w:val="auto"/>
        </w:rPr>
        <w:t>Common stock outstanding</w:t>
      </w:r>
    </w:p>
    <w:p>
      <w:pPr>
        <w:spacing w:after="0" w:line="158" w:lineRule="exact"/>
        <w:rPr>
          <w:sz w:val="20"/>
          <w:szCs w:val="20"/>
          <w:color w:val="auto"/>
        </w:rPr>
      </w:pPr>
    </w:p>
    <w:p>
      <w:pPr>
        <w:ind w:left="480" w:hanging="179"/>
        <w:spacing w:after="0" w:line="312" w:lineRule="auto"/>
        <w:rPr>
          <w:sz w:val="20"/>
          <w:szCs w:val="20"/>
          <w:color w:val="auto"/>
        </w:rPr>
      </w:pPr>
      <w:r>
        <w:rPr>
          <w:rFonts w:ascii="Arial" w:cs="Arial" w:eastAsia="Arial" w:hAnsi="Arial"/>
          <w:sz w:val="17"/>
          <w:szCs w:val="17"/>
          <w:b w:val="1"/>
          <w:bCs w:val="1"/>
          <w:color w:val="auto"/>
        </w:rPr>
        <w:t>Common stock outstanding after the offering and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93,800,559 shares (as of April 12, 2021).</w:t>
      </w:r>
    </w:p>
    <w:p>
      <w:pPr>
        <w:spacing w:after="0" w:line="333" w:lineRule="exact"/>
        <w:rPr>
          <w:sz w:val="20"/>
          <w:szCs w:val="20"/>
          <w:color w:val="auto"/>
        </w:rPr>
      </w:pPr>
    </w:p>
    <w:p>
      <w:pPr>
        <w:ind w:right="379"/>
        <w:spacing w:after="0" w:line="257" w:lineRule="auto"/>
        <w:rPr>
          <w:sz w:val="20"/>
          <w:szCs w:val="20"/>
          <w:color w:val="auto"/>
        </w:rPr>
      </w:pPr>
      <w:r>
        <w:rPr>
          <w:rFonts w:ascii="Arial" w:cs="Arial" w:eastAsia="Arial" w:hAnsi="Arial"/>
          <w:sz w:val="18"/>
          <w:szCs w:val="18"/>
          <w:color w:val="auto"/>
        </w:rPr>
        <w:t>90,554,860 shares (assuming that the price per share to be paid by us in connection with the concurrent share repurchase is $30.81, which is the closing sales price of our common stock as reported on the Nasdaq on April 30, 2021).</w:t>
      </w:r>
    </w:p>
    <w:p>
      <w:pPr>
        <w:spacing w:after="0" w:line="107" w:lineRule="exact"/>
        <w:rPr>
          <w:sz w:val="20"/>
          <w:szCs w:val="20"/>
          <w:color w:val="auto"/>
        </w:rPr>
      </w:pPr>
    </w:p>
    <w:p>
      <w:pPr>
        <w:ind w:right="319"/>
        <w:spacing w:after="0" w:line="290" w:lineRule="auto"/>
        <w:rPr>
          <w:sz w:val="20"/>
          <w:szCs w:val="20"/>
          <w:color w:val="auto"/>
        </w:rPr>
      </w:pPr>
      <w:r>
        <w:rPr>
          <w:rFonts w:ascii="Arial" w:cs="Arial" w:eastAsia="Arial" w:hAnsi="Arial"/>
          <w:sz w:val="16"/>
          <w:szCs w:val="16"/>
          <w:color w:val="auto"/>
        </w:rPr>
        <w:t>We will not receive any proceeds from the sale of shares being sold in this offering including from any exercise by the underwriters of their option to purchase additional shares. The selling stockholders will receive all of the net proceeds and bear all commissions and discounts, if any, from the sale of our common stock pursuant to this prospectus. See “Use of Proceeds” and “Principal and Selling Stockholders.”</w:t>
      </w:r>
    </w:p>
    <w:p>
      <w:pPr>
        <w:spacing w:after="0" w:line="57" w:lineRule="exact"/>
        <w:rPr>
          <w:sz w:val="20"/>
          <w:szCs w:val="20"/>
          <w:color w:val="auto"/>
        </w:rPr>
      </w:pPr>
    </w:p>
    <w:p>
      <w:pPr>
        <w:ind w:right="339"/>
        <w:spacing w:after="0" w:line="287" w:lineRule="auto"/>
        <w:rPr>
          <w:sz w:val="20"/>
          <w:szCs w:val="20"/>
          <w:color w:val="auto"/>
        </w:rPr>
      </w:pPr>
      <w:r>
        <w:rPr>
          <w:rFonts w:ascii="Arial" w:cs="Arial" w:eastAsia="Arial" w:hAnsi="Arial"/>
          <w:sz w:val="16"/>
          <w:szCs w:val="16"/>
          <w:color w:val="auto"/>
        </w:rPr>
        <w:t>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w:t>
      </w:r>
    </w:p>
    <w:p>
      <w:pPr>
        <w:spacing w:after="0" w:line="100" w:lineRule="exact"/>
        <w:rPr>
          <w:sz w:val="20"/>
          <w:szCs w:val="20"/>
          <w:color w:val="auto"/>
        </w:rPr>
      </w:pPr>
    </w:p>
    <w:p>
      <w:pPr>
        <w:ind w:right="299"/>
        <w:spacing w:after="0" w:line="287"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14,000,000 shares of our common stock that are the subject of the offering, a number of shares (rounded down to the nearest whole share) having an aggregate purchase price of up to $100 million. The price per share to be paid by us will equal the price at which the underwriters will purchase the shares from the selling stockholders in the offering. The offering is not conditioned upon the completion of the share repurchase. See “—Concurrent Share Repurchase.”</w:t>
      </w:r>
    </w:p>
    <w:p>
      <w:pPr>
        <w:spacing w:after="0" w:line="100" w:lineRule="exact"/>
        <w:rPr>
          <w:sz w:val="20"/>
          <w:szCs w:val="20"/>
          <w:color w:val="auto"/>
        </w:rPr>
      </w:pPr>
    </w:p>
    <w:p>
      <w:pPr>
        <w:sectPr>
          <w:pgSz w:w="11900" w:h="16838" w:orient="portrait"/>
          <w:cols w:equalWidth="0" w:num="2">
            <w:col w:w="4100" w:space="54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Conflicts of Interest</w:t>
      </w:r>
      <w:r>
        <w:rPr>
          <w:sz w:val="20"/>
          <w:szCs w:val="20"/>
          <w:color w:val="auto"/>
        </w:rPr>
        <w:tab/>
      </w:r>
      <w:r>
        <w:rPr>
          <w:rFonts w:ascii="Arial" w:cs="Arial" w:eastAsia="Arial" w:hAnsi="Arial"/>
          <w:sz w:val="16"/>
          <w:szCs w:val="16"/>
          <w:color w:val="auto"/>
        </w:rPr>
        <w:t>The KKR Stockholders beneficially own in excess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10% of our issued and outstanding common stock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will be selling stockholders in this offering and, as such,</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will receive in excess of 5% of the net proceeds of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offering. Because KKR Capital Markets LLC,</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470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3405" cy="74707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 affiliate of the KKR Stockholders, is an underwriter</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 this offering, KKR Capital Markets LLC is deemed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have a “conflict of interest” under Rule 5121, or Rule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5121, of the Financial Industry Regulatory Authority,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Inc., or FINRA. Accordingly, this offering is being made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 compliance with the requirements of Rule 5121.</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Pursuant to that rule, the appointment of a “qualified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independent underwriter” is not required in connection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with this offering, because a bona fide public market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exists in the shares, as that term is defined in Rule 5121.</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“Principal and Selling Stockholders” and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“Underwriting (Conflicts of Interest).”</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Dividend policy</w:t>
      </w:r>
      <w:r>
        <w:rPr>
          <w:sz w:val="20"/>
          <w:szCs w:val="20"/>
          <w:color w:val="auto"/>
        </w:rPr>
        <w:tab/>
      </w:r>
      <w:r>
        <w:rPr>
          <w:rFonts w:ascii="Arial" w:cs="Arial" w:eastAsia="Arial" w:hAnsi="Arial"/>
          <w:sz w:val="16"/>
          <w:szCs w:val="16"/>
          <w:color w:val="auto"/>
        </w:rPr>
        <w:t>We have no current plans to pay dividends on our</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common stock. Any decision to declare and pay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dividends in the future will be made at the sole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discretion of our board of directors and will depend 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among other things, our results of operations, cash</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requirements, financial condition, legal, tax, regulatory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contractual restrictions, including restrictions in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agreements governing our indebtedness, and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factors that our board of directors may deem relevant.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“Dividend Policy.”</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right="300" w:hanging="179"/>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95" w:lineRule="exact"/>
        <w:rPr>
          <w:sz w:val="20"/>
          <w:szCs w:val="20"/>
          <w:color w:val="auto"/>
        </w:rPr>
      </w:pPr>
    </w:p>
    <w:p>
      <w:pPr>
        <w:ind w:right="299"/>
        <w:spacing w:after="0" w:line="279"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“Material U.S. Federal Income and Estate Tax Consequences to Non-U.S. Holders.”</w:t>
      </w:r>
    </w:p>
    <w:p>
      <w:pPr>
        <w:spacing w:after="0" w:line="1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8"/>
          <w:szCs w:val="18"/>
          <w:color w:val="auto"/>
        </w:rPr>
        <w:t>“ASO.”</w:t>
      </w:r>
    </w:p>
    <w:p>
      <w:pPr>
        <w:spacing w:after="0" w:line="148"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completion of this offering will result in a Change of Control (as defined under the New Academy Holding Company, LLC 2011 Unit Incentive Plan, or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a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76" w:lineRule="exact"/>
        <w:rPr>
          <w:sz w:val="20"/>
          <w:szCs w:val="20"/>
          <w:color w:val="auto"/>
        </w:rPr>
      </w:pPr>
    </w:p>
    <w:p>
      <w:pPr>
        <w:ind w:left="320" w:right="299" w:firstLine="360"/>
        <w:spacing w:after="0" w:line="308" w:lineRule="auto"/>
        <w:rPr>
          <w:sz w:val="20"/>
          <w:szCs w:val="20"/>
          <w:color w:val="auto"/>
        </w:rPr>
      </w:pPr>
      <w:r>
        <w:rPr>
          <w:rFonts w:ascii="Arial" w:cs="Arial" w:eastAsia="Arial" w:hAnsi="Arial"/>
          <w:sz w:val="17"/>
          <w:szCs w:val="17"/>
          <w:color w:val="auto"/>
        </w:rPr>
        <w:t>Unless we indicate otherwise or the context otherwise requires, this prospectus reflects and assumes no exercise of the underwriters’ option to purchase 2,100,000 additional shares of our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987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3405" cy="29870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79" w:firstLine="360"/>
        <w:spacing w:after="0" w:line="275" w:lineRule="auto"/>
        <w:rPr>
          <w:sz w:val="20"/>
          <w:szCs w:val="20"/>
          <w:color w:val="auto"/>
        </w:rPr>
      </w:pPr>
      <w:r>
        <w:rPr>
          <w:rFonts w:ascii="Arial" w:cs="Arial" w:eastAsia="Arial" w:hAnsi="Arial"/>
          <w:sz w:val="17"/>
          <w:szCs w:val="17"/>
          <w:color w:val="auto"/>
        </w:rPr>
        <w:t>The number of shares of common stock to be outstanding after giving effect to this offering and the concurrent share repurchase is based on 93,800,559 shares of our common stock outstanding as of April 12, 2021 and (i) reflects the retirement of 3,245,699 shares of our common stock in the concurrent share repurchase (assuming that the price per share to be paid by us is $30.81, which is the closing sales price of our common stock as reported on the Nasdaq on April 30, 2021) and (ii) excludes as of such date:</w:t>
      </w:r>
    </w:p>
    <w:p>
      <w:pPr>
        <w:spacing w:after="0" w:line="68" w:lineRule="exact"/>
        <w:rPr>
          <w:sz w:val="20"/>
          <w:szCs w:val="20"/>
          <w:color w:val="auto"/>
        </w:rPr>
      </w:pPr>
    </w:p>
    <w:p>
      <w:pPr>
        <w:ind w:left="1020" w:right="339" w:hanging="350"/>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6,139,680 shares of common stock issuable upon exercise of outstanding options, all of which would be vested with a weighted-average exercise price of $14.08 per share, and 1,251,529 shares of common stock issuable upon settlement of outstanding restricted stock units, all of which would be vested, in each case, granted under the 2011 Equity Plan;</w:t>
      </w:r>
    </w:p>
    <w:p>
      <w:pPr>
        <w:spacing w:after="0" w:line="78" w:lineRule="exact"/>
        <w:rPr>
          <w:rFonts w:ascii="Arial" w:cs="Arial" w:eastAsia="Arial" w:hAnsi="Arial"/>
          <w:sz w:val="18"/>
          <w:szCs w:val="18"/>
          <w:color w:val="auto"/>
        </w:rPr>
      </w:pPr>
    </w:p>
    <w:p>
      <w:pPr>
        <w:ind w:left="1020" w:right="319" w:hanging="350"/>
        <w:spacing w:after="0" w:line="27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1,058,374 shares of common stock issuable upon exercise of outstanding options, 5,989 of which would be vested, with a weighted-average exercise price of $26.99 and 1,052,385 of which would not be vested, with a weighted-average exercise price of $24.85 per share, and 381,091 shares of common stock issuable upon settlement of outstanding restricted stock units, none of which would be vested, in each case, granted under our 2020 Omnibus Incentive Plan, or the 2020 Equity Plan;</w:t>
      </w:r>
    </w:p>
    <w:p>
      <w:pPr>
        <w:spacing w:after="0" w:line="68" w:lineRule="exact"/>
        <w:rPr>
          <w:rFonts w:ascii="Arial" w:cs="Arial" w:eastAsia="Arial" w:hAnsi="Arial"/>
          <w:sz w:val="17"/>
          <w:szCs w:val="17"/>
          <w:color w:val="auto"/>
        </w:rPr>
      </w:pPr>
    </w:p>
    <w:p>
      <w:pPr>
        <w:ind w:left="1020" w:hanging="350"/>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3,706,456 shares of common stock reserved for future issuance or grant, under the 2020 Equity Plan; and</w:t>
      </w:r>
    </w:p>
    <w:p>
      <w:pPr>
        <w:spacing w:after="0" w:line="140" w:lineRule="exact"/>
        <w:rPr>
          <w:rFonts w:ascii="Arial" w:cs="Arial" w:eastAsia="Arial" w:hAnsi="Arial"/>
          <w:sz w:val="16"/>
          <w:szCs w:val="16"/>
          <w:color w:val="auto"/>
        </w:rPr>
      </w:pPr>
    </w:p>
    <w:p>
      <w:pPr>
        <w:ind w:left="1020" w:right="379" w:hanging="350"/>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2,000,000 shares of common stock reserved for future issuance under our 2020 Employee Stock Purchase Plan, or the ESPP.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013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3405" cy="9013825"/>
                    </a:xfrm>
                    <a:prstGeom prst="rect">
                      <a:avLst/>
                    </a:prstGeom>
                    <a:noFill/>
                  </pic:spPr>
                </pic:pic>
              </a:graphicData>
            </a:graphic>
          </wp:anchor>
        </w:drawing>
      </w:r>
    </w:p>
    <w:p>
      <w:pPr>
        <w:sectPr>
          <w:pgSz w:w="11900" w:h="16838" w:orient="portrait"/>
          <w:cols w:equalWidth="0" w:num="1">
            <w:col w:w="9019"/>
          </w:cols>
          <w:pgMar w:left="1440" w:top="265" w:right="1440" w:bottom="1128"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320" w:right="399" w:firstLine="360"/>
        <w:spacing w:after="0" w:line="254" w:lineRule="auto"/>
        <w:rPr>
          <w:sz w:val="20"/>
          <w:szCs w:val="20"/>
          <w:color w:val="auto"/>
        </w:rPr>
      </w:pPr>
      <w:r>
        <w:rPr>
          <w:rFonts w:ascii="Arial" w:cs="Arial" w:eastAsia="Arial" w:hAnsi="Arial"/>
          <w:sz w:val="18"/>
          <w:szCs w:val="18"/>
          <w:color w:val="auto"/>
        </w:rPr>
        <w:t>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results of operations for any period are not necessarily indicative of our future financial condition or results of operations.</w:t>
      </w:r>
    </w:p>
    <w:p>
      <w:pPr>
        <w:spacing w:after="0" w:line="87" w:lineRule="exact"/>
        <w:rPr>
          <w:sz w:val="20"/>
          <w:szCs w:val="20"/>
          <w:color w:val="auto"/>
        </w:rPr>
      </w:pPr>
    </w:p>
    <w:p>
      <w:pPr>
        <w:ind w:left="320" w:right="479" w:firstLine="360"/>
        <w:spacing w:after="0" w:line="279" w:lineRule="auto"/>
        <w:rPr>
          <w:sz w:val="20"/>
          <w:szCs w:val="20"/>
          <w:color w:val="auto"/>
        </w:rPr>
      </w:pPr>
      <w:r>
        <w:rPr>
          <w:rFonts w:ascii="Arial" w:cs="Arial" w:eastAsia="Arial" w:hAnsi="Arial"/>
          <w:sz w:val="17"/>
          <w:szCs w:val="17"/>
          <w:color w:val="auto"/>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6"/>
          </w:tcPr>
          <w:p>
            <w:pPr>
              <w:jc w:val="center"/>
              <w:ind w:right="37"/>
              <w:spacing w:after="0"/>
              <w:rPr>
                <w:sz w:val="20"/>
                <w:szCs w:val="20"/>
                <w:color w:val="auto"/>
              </w:rPr>
            </w:pPr>
            <w:r>
              <w:rPr>
                <w:rFonts w:ascii="Arial" w:cs="Arial" w:eastAsia="Arial" w:hAnsi="Arial"/>
                <w:sz w:val="14"/>
                <w:szCs w:val="14"/>
                <w:b w:val="1"/>
                <w:bCs w:val="1"/>
                <w:color w:val="auto"/>
                <w:w w:val="91"/>
              </w:rPr>
              <w:t>Fiscal Year Ended</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52 weeks</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$5,689,233</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$4,829,897</w:t>
            </w:r>
          </w:p>
        </w:tc>
        <w:tc>
          <w:tcPr>
            <w:tcW w:w="12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$4,783,893</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3,955,188</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3,398,743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3,415,941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1,734,045</w:t>
            </w:r>
          </w:p>
        </w:tc>
        <w:tc>
          <w:tcPr>
            <w:tcW w:w="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1,431,154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1,367,952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1,313,647</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1,251,733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1,239,002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420,398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179,421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29"/>
                <w:szCs w:val="29"/>
                <w:color w:val="auto"/>
                <w:vertAlign w:val="superscript"/>
              </w:rPr>
              <w:t>(1)</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339,120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122,860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308,764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6"/>
          </w:tcPr>
          <w:p>
            <w:pPr>
              <w:jc w:val="center"/>
              <w:ind w:right="37"/>
              <w:spacing w:after="0"/>
              <w:rPr>
                <w:sz w:val="20"/>
                <w:szCs w:val="20"/>
                <w:color w:val="auto"/>
              </w:rPr>
            </w:pPr>
            <w:r>
              <w:rPr>
                <w:rFonts w:ascii="Arial" w:cs="Arial" w:eastAsia="Arial" w:hAnsi="Arial"/>
                <w:sz w:val="14"/>
                <w:szCs w:val="14"/>
                <w:b w:val="1"/>
                <w:bCs w:val="1"/>
                <w:color w:val="auto"/>
                <w:w w:val="91"/>
              </w:rPr>
              <w:t>Fiscal Year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10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52 weeks</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2"/>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(end of period):</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377,604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149,385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75,691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inventories,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990,034</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1,134,156</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247,927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538,795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582,789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4,384,482</w:t>
            </w:r>
          </w:p>
        </w:tc>
        <w:tc>
          <w:tcPr>
            <w:tcW w:w="6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3,238,957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Total debt, net of deferred loan costs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785,489</w:t>
            </w:r>
          </w:p>
        </w:tc>
        <w:tc>
          <w:tcPr>
            <w:tcW w:w="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1,462,658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1,625,060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1,111,983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857,039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$1,011,597</w:t>
            </w: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263,669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198,481</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(66,783)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(99,027)</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(750,234)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(123,192)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(54,808)</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128"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128" w:gutter="0" w:footer="0" w:header="0"/>
          <w:type w:val="continuous"/>
        </w:sectPr>
      </w:pPr>
    </w:p>
    <w:bookmarkStart w:id="23" w:name="page24"/>
    <w:bookmarkEnd w:id="2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Fiscal Year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February 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53"/>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52 weeks</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5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Store Data (unaudited):</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increase (decrease)</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color w:val="auto"/>
              </w:rPr>
              <w:t>Number of stores at end of period</w:t>
            </w:r>
          </w:p>
        </w:tc>
        <w:tc>
          <w:tcPr>
            <w:tcW w:w="128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253</w:t>
            </w:r>
          </w:p>
        </w:tc>
      </w:tr>
      <w:tr>
        <w:trPr>
          <w:trHeight w:val="54"/>
        </w:trPr>
        <w:tc>
          <w:tcPr>
            <w:tcW w:w="4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square feet at end of period (in millions)</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Net sales per square foot</w:t>
            </w:r>
            <w:r>
              <w:rPr>
                <w:rFonts w:ascii="Arial" w:cs="Arial" w:eastAsia="Arial" w:hAnsi="Arial"/>
                <w:sz w:val="29"/>
                <w:szCs w:val="29"/>
                <w:color w:val="auto"/>
                <w:vertAlign w:val="superscript"/>
              </w:rPr>
              <w:t>(3)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267</w:t>
            </w:r>
          </w:p>
        </w:tc>
      </w:tr>
      <w:tr>
        <w:trPr>
          <w:trHeight w:val="324"/>
        </w:trPr>
        <w:tc>
          <w:tcPr>
            <w:tcW w:w="4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 (unaudited):</w:t>
            </w: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4"/>
        </w:trPr>
        <w:tc>
          <w:tcPr>
            <w:tcW w:w="440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$607,023</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$322,814</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$300,259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(4)</w:t>
            </w:r>
          </w:p>
        </w:tc>
        <w:tc>
          <w:tcPr>
            <w:tcW w:w="1980" w:type="dxa"/>
            <w:vAlign w:val="bottom"/>
            <w:gridSpan w:val="2"/>
          </w:tcPr>
          <w:p>
            <w:pPr>
              <w:jc w:val="right"/>
              <w:ind w:right="170"/>
              <w:spacing w:after="0"/>
              <w:rPr>
                <w:sz w:val="20"/>
                <w:szCs w:val="20"/>
                <w:color w:val="auto"/>
              </w:rPr>
            </w:pPr>
            <w:r>
              <w:rPr>
                <w:rFonts w:ascii="Arial" w:cs="Arial" w:eastAsia="Arial" w:hAnsi="Arial"/>
                <w:sz w:val="18"/>
                <w:szCs w:val="18"/>
                <w:color w:val="auto"/>
              </w:rPr>
              <w:t>384,536</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101,469</w:t>
            </w:r>
          </w:p>
        </w:tc>
        <w:tc>
          <w:tcPr>
            <w:tcW w:w="240" w:type="dxa"/>
            <w:vAlign w:val="bottom"/>
          </w:tcPr>
          <w:p>
            <w:pPr>
              <w:spacing w:after="0"/>
              <w:rPr>
                <w:sz w:val="24"/>
                <w:szCs w:val="24"/>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55,405</w:t>
            </w: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978,453</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196,886</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99,454</w:t>
            </w:r>
          </w:p>
        </w:tc>
      </w:tr>
    </w:tbl>
    <w:p>
      <w:pPr>
        <w:spacing w:after="0" w:line="346" w:lineRule="exact"/>
        <w:rPr>
          <w:sz w:val="20"/>
          <w:szCs w:val="20"/>
          <w:color w:val="auto"/>
        </w:rPr>
      </w:pPr>
    </w:p>
    <w:p>
      <w:pPr>
        <w:ind w:left="660" w:right="379" w:hanging="350"/>
        <w:spacing w:after="0" w:line="247"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w:t>
      </w:r>
    </w:p>
    <w:p>
      <w:pPr>
        <w:spacing w:after="0" w:line="16" w:lineRule="exact"/>
        <w:rPr>
          <w:rFonts w:ascii="Arial" w:cs="Arial" w:eastAsia="Arial" w:hAnsi="Arial"/>
          <w:sz w:val="13"/>
          <w:szCs w:val="13"/>
          <w:color w:val="auto"/>
        </w:rPr>
      </w:pPr>
    </w:p>
    <w:p>
      <w:pPr>
        <w:ind w:left="660" w:right="499" w:hanging="350"/>
        <w:spacing w:after="0" w:line="248"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w:t>
      </w:r>
    </w:p>
    <w:p>
      <w:pPr>
        <w:ind w:left="660"/>
        <w:spacing w:after="0"/>
        <w:rPr>
          <w:rFonts w:ascii="Arial" w:cs="Arial" w:eastAsia="Arial" w:hAnsi="Arial"/>
          <w:sz w:val="13"/>
          <w:szCs w:val="13"/>
          <w:color w:val="auto"/>
        </w:rPr>
      </w:pPr>
      <w:r>
        <w:rPr>
          <w:rFonts w:ascii="Arial" w:cs="Arial" w:eastAsia="Arial" w:hAnsi="Arial"/>
          <w:sz w:val="14"/>
          <w:szCs w:val="14"/>
          <w:color w:val="auto"/>
        </w:rPr>
        <w:t>$1.2 billion between current lease liabilities and long-term lease liabilities included on the balance sheet as of February 3, 2019.</w:t>
      </w:r>
    </w:p>
    <w:p>
      <w:pPr>
        <w:spacing w:after="0" w:line="29" w:lineRule="exact"/>
        <w:rPr>
          <w:rFonts w:ascii="Arial" w:cs="Arial" w:eastAsia="Arial" w:hAnsi="Arial"/>
          <w:sz w:val="13"/>
          <w:szCs w:val="13"/>
          <w:color w:val="auto"/>
        </w:rPr>
      </w:pPr>
    </w:p>
    <w:p>
      <w:pPr>
        <w:ind w:left="660" w:right="599" w:hanging="350"/>
        <w:spacing w:after="0" w:line="25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11" w:lineRule="exact"/>
        <w:rPr>
          <w:rFonts w:ascii="Arial" w:cs="Arial" w:eastAsia="Arial" w:hAnsi="Arial"/>
          <w:sz w:val="14"/>
          <w:szCs w:val="14"/>
          <w:color w:val="auto"/>
        </w:rPr>
      </w:pPr>
    </w:p>
    <w:p>
      <w:pPr>
        <w:ind w:left="660" w:right="319" w:hanging="350"/>
        <w:spacing w:after="0" w:line="22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27" w:lineRule="exact"/>
        <w:rPr>
          <w:rFonts w:ascii="Arial" w:cs="Arial" w:eastAsia="Arial" w:hAnsi="Arial"/>
          <w:sz w:val="14"/>
          <w:szCs w:val="14"/>
          <w:color w:val="auto"/>
        </w:rPr>
      </w:pPr>
    </w:p>
    <w:p>
      <w:pPr>
        <w:ind w:left="660" w:right="279"/>
        <w:spacing w:after="0" w:line="244" w:lineRule="auto"/>
        <w:rPr>
          <w:rFonts w:ascii="Arial" w:cs="Arial" w:eastAsia="Arial" w:hAnsi="Arial"/>
          <w:sz w:val="14"/>
          <w:szCs w:val="14"/>
          <w:color w:val="auto"/>
        </w:rPr>
      </w:pPr>
      <w:r>
        <w:rPr>
          <w:rFonts w:ascii="Arial" w:cs="Arial" w:eastAsia="Arial" w:hAnsi="Arial"/>
          <w:sz w:val="13"/>
          <w:szCs w:val="13"/>
          <w:color w:val="auto"/>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9" w:lineRule="exact"/>
        <w:rPr>
          <w:rFonts w:ascii="Arial" w:cs="Arial" w:eastAsia="Arial" w:hAnsi="Arial"/>
          <w:sz w:val="14"/>
          <w:szCs w:val="14"/>
          <w:color w:val="auto"/>
        </w:rPr>
      </w:pPr>
    </w:p>
    <w:p>
      <w:pPr>
        <w:ind w:left="660" w:right="319"/>
        <w:spacing w:after="0" w:line="243" w:lineRule="auto"/>
        <w:rPr>
          <w:rFonts w:ascii="Arial" w:cs="Arial" w:eastAsia="Arial" w:hAnsi="Arial"/>
          <w:sz w:val="14"/>
          <w:szCs w:val="14"/>
          <w:color w:val="auto"/>
        </w:rPr>
      </w:pPr>
      <w:r>
        <w:rPr>
          <w:rFonts w:ascii="Arial" w:cs="Arial" w:eastAsia="Arial" w:hAnsi="Arial"/>
          <w:sz w:val="13"/>
          <w:szCs w:val="13"/>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5721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3405" cy="5721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60" w:right="1420"/>
        <w:spacing w:after="0" w:line="281" w:lineRule="auto"/>
        <w:rPr>
          <w:sz w:val="20"/>
          <w:szCs w:val="20"/>
          <w:color w:val="auto"/>
        </w:rPr>
      </w:pPr>
      <w:r>
        <w:rPr>
          <w:rFonts w:ascii="Arial" w:cs="Arial" w:eastAsia="Arial" w:hAnsi="Arial"/>
          <w:sz w:val="13"/>
          <w:szCs w:val="13"/>
          <w:color w:val="auto"/>
        </w:rPr>
        <w:t>Our Adjusted EBITDA, Adjusted Net Income and Adjusted Free Cash Flow measures have limitations as analytical tools, and you should not consider them in isolation, or as a substitute for analysis of our results as reported under GAAP. Some of these limitations are:</w:t>
      </w:r>
    </w:p>
    <w:p>
      <w:pPr>
        <w:spacing w:after="0" w:line="1" w:lineRule="exact"/>
        <w:rPr>
          <w:sz w:val="20"/>
          <w:szCs w:val="20"/>
          <w:color w:val="auto"/>
        </w:rPr>
      </w:pP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costs or cash outlays for capital expenditures or contractual commitments;</w:t>
      </w:r>
    </w:p>
    <w:p>
      <w:pPr>
        <w:spacing w:after="0" w:line="41" w:lineRule="exact"/>
        <w:rPr>
          <w:rFonts w:ascii="Arial" w:cs="Arial" w:eastAsia="Arial" w:hAnsi="Arial"/>
          <w:sz w:val="14"/>
          <w:szCs w:val="14"/>
          <w:color w:val="auto"/>
        </w:rPr>
      </w:pP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changes in, or cash requirements for, our working capital needs;</w:t>
      </w:r>
    </w:p>
    <w:p>
      <w:pPr>
        <w:spacing w:after="0" w:line="41" w:lineRule="exact"/>
        <w:rPr>
          <w:rFonts w:ascii="Arial" w:cs="Arial" w:eastAsia="Arial" w:hAnsi="Arial"/>
          <w:sz w:val="14"/>
          <w:szCs w:val="14"/>
          <w:color w:val="auto"/>
        </w:rPr>
      </w:pPr>
    </w:p>
    <w:p>
      <w:pPr>
        <w:ind w:left="2020" w:right="1300" w:hanging="350"/>
        <w:spacing w:after="0" w:line="305" w:lineRule="auto"/>
        <w:tabs>
          <w:tab w:leader="none" w:pos="2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2020" w:hanging="350"/>
        <w:spacing w:after="0"/>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does not reflect period to period changes in taxes, income tax expense or the cash necessary to pay income taxes;</w:t>
      </w:r>
    </w:p>
    <w:p>
      <w:pPr>
        <w:spacing w:after="0" w:line="41" w:lineRule="exact"/>
        <w:rPr>
          <w:rFonts w:ascii="Arial" w:cs="Arial" w:eastAsia="Arial" w:hAnsi="Arial"/>
          <w:sz w:val="14"/>
          <w:szCs w:val="14"/>
          <w:color w:val="auto"/>
        </w:rPr>
      </w:pPr>
    </w:p>
    <w:p>
      <w:pPr>
        <w:ind w:left="2020" w:right="1400" w:hanging="350"/>
        <w:spacing w:after="0" w:line="253"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the impact of earnings or charges resulting from matters we consider not to be indicative of our ongoing operations;</w:t>
      </w:r>
    </w:p>
    <w:p>
      <w:pPr>
        <w:spacing w:after="0" w:line="11" w:lineRule="exact"/>
        <w:rPr>
          <w:rFonts w:ascii="Arial" w:cs="Arial" w:eastAsia="Arial" w:hAnsi="Arial"/>
          <w:sz w:val="14"/>
          <w:szCs w:val="14"/>
          <w:color w:val="auto"/>
        </w:rPr>
      </w:pPr>
    </w:p>
    <w:p>
      <w:pPr>
        <w:ind w:left="2020" w:right="1400" w:hanging="350"/>
        <w:spacing w:after="0" w:line="238"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0" w:lineRule="exact"/>
        <w:rPr>
          <w:rFonts w:ascii="Arial" w:cs="Arial" w:eastAsia="Arial" w:hAnsi="Arial"/>
          <w:sz w:val="14"/>
          <w:szCs w:val="14"/>
          <w:color w:val="auto"/>
        </w:rPr>
      </w:pPr>
    </w:p>
    <w:p>
      <w:pPr>
        <w:ind w:left="2020" w:right="1760" w:hanging="350"/>
        <w:spacing w:after="0" w:line="253" w:lineRule="auto"/>
        <w:tabs>
          <w:tab w:leader="none" w:pos="2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companies in our industry may calculate these measures differently than we do, limiting their usefulness as comparative measures.</w:t>
      </w:r>
    </w:p>
    <w:p>
      <w:pPr>
        <w:spacing w:after="0" w:line="70" w:lineRule="exact"/>
        <w:rPr>
          <w:sz w:val="20"/>
          <w:szCs w:val="20"/>
          <w:color w:val="auto"/>
        </w:rPr>
      </w:pPr>
    </w:p>
    <w:p>
      <w:pPr>
        <w:ind w:left="1320" w:right="1420"/>
        <w:spacing w:after="0" w:line="342" w:lineRule="auto"/>
        <w:rPr>
          <w:sz w:val="20"/>
          <w:szCs w:val="20"/>
          <w:color w:val="auto"/>
        </w:rPr>
      </w:pPr>
      <w:r>
        <w:rPr>
          <w:rFonts w:ascii="Arial" w:cs="Arial" w:eastAsia="Arial" w:hAnsi="Arial"/>
          <w:sz w:val="16"/>
          <w:szCs w:val="16"/>
          <w:color w:val="auto"/>
        </w:rPr>
        <w:t>Because of these limitations, Adjusted EBITDA, Adjusted Net Income and Adjusted Free Cash Flow should not be considered as measures of discretionary cash available to invest in business growth or to reduce indebtedness.</w:t>
      </w:r>
    </w:p>
    <w:p>
      <w:pPr>
        <w:spacing w:after="0" w:line="16" w:lineRule="exact"/>
        <w:rPr>
          <w:sz w:val="20"/>
          <w:szCs w:val="20"/>
          <w:color w:val="auto"/>
        </w:rPr>
      </w:pPr>
    </w:p>
    <w:p>
      <w:pPr>
        <w:ind w:left="1320" w:right="1400" w:firstLine="360"/>
        <w:spacing w:after="0" w:line="277" w:lineRule="auto"/>
        <w:rPr>
          <w:sz w:val="20"/>
          <w:szCs w:val="20"/>
          <w:color w:val="auto"/>
        </w:rPr>
      </w:pPr>
      <w:r>
        <w:rPr>
          <w:rFonts w:ascii="Arial" w:cs="Arial" w:eastAsia="Arial" w:hAnsi="Arial"/>
          <w:sz w:val="18"/>
          <w:szCs w:val="18"/>
          <w:color w:val="auto"/>
        </w:rPr>
        <w:t>The following tables provide reconciliations of net income to Adjusted EBITDA and Adjusted Net Income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February 1,</w:t>
            </w: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90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$308,764</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$ 21,442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86,514</w:t>
            </w:r>
          </w:p>
        </w:tc>
        <w:tc>
          <w:tcPr>
            <w:tcW w:w="40" w:type="dxa"/>
            <w:vAlign w:val="bottom"/>
          </w:tcPr>
          <w:p>
            <w:pPr>
              <w:spacing w:after="0"/>
              <w:rPr>
                <w:sz w:val="21"/>
                <w:szCs w:val="21"/>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101,307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108,652</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105,481</w:t>
            </w:r>
          </w:p>
        </w:tc>
        <w:tc>
          <w:tcPr>
            <w:tcW w:w="40" w:type="dxa"/>
            <w:vAlign w:val="bottom"/>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117,254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134,190</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14,793</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(3,582)</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(42,265)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8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17,632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98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607,023</w:t>
            </w:r>
          </w:p>
        </w:tc>
        <w:tc>
          <w:tcPr>
            <w:tcW w:w="40" w:type="dxa"/>
            <w:vAlign w:val="bottom"/>
            <w:shd w:val="clear" w:color="auto" w:fill="CCEEFF"/>
          </w:tcPr>
          <w:p>
            <w:pPr>
              <w:spacing w:after="0"/>
              <w:rPr>
                <w:sz w:val="24"/>
                <w:szCs w:val="24"/>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322,814</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300,259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7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7080" w:type="dxa"/>
            <w:vAlign w:val="bottom"/>
            <w:gridSpan w:val="3"/>
          </w:tcPr>
          <w:p>
            <w:pPr>
              <w:jc w:val="right"/>
              <w:ind w:right="1392"/>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6896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3405" cy="689610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7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February 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data)</w:t>
            </w: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$308,764</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3,601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31,617</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7,881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9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6,571</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780" w:type="dxa"/>
            <w:vAlign w:val="bottom"/>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780" w:type="dxa"/>
            <w:vAlign w:val="bottom"/>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4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4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Tax effects of these adjustments</w:t>
            </w:r>
            <w:r>
              <w:rPr>
                <w:rFonts w:ascii="Arial" w:cs="Arial" w:eastAsia="Arial" w:hAnsi="Arial"/>
                <w:sz w:val="26"/>
                <w:szCs w:val="26"/>
                <w:color w:val="auto"/>
                <w:vertAlign w:val="superscript"/>
              </w:rPr>
              <w:t>(h)</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384,536</w:t>
            </w:r>
          </w:p>
        </w:tc>
        <w:tc>
          <w:tcPr>
            <w:tcW w:w="4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101,469</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5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41" w:lineRule="exact"/>
        <w:rPr>
          <w:rFonts w:ascii="Arial" w:cs="Arial" w:eastAsia="Arial" w:hAnsi="Arial"/>
          <w:sz w:val="14"/>
          <w:szCs w:val="14"/>
          <w:color w:val="auto"/>
        </w:rPr>
      </w:pPr>
    </w:p>
    <w:p>
      <w:pPr>
        <w:ind w:left="1660" w:right="1340" w:hanging="350"/>
        <w:spacing w:after="0" w:line="253"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our contractual payments under our Monitoring Agreement. See Note 13 to our audited consolidated financial statements in our Annual Report incorporated by reference herein.</w:t>
      </w:r>
    </w:p>
    <w:p>
      <w:pPr>
        <w:spacing w:after="0" w:line="11" w:lineRule="exact"/>
        <w:rPr>
          <w:rFonts w:ascii="Arial" w:cs="Arial" w:eastAsia="Arial" w:hAnsi="Arial"/>
          <w:sz w:val="14"/>
          <w:szCs w:val="14"/>
          <w:color w:val="auto"/>
        </w:rPr>
      </w:pPr>
    </w:p>
    <w:p>
      <w:pPr>
        <w:ind w:left="1660" w:right="1420" w:hanging="350"/>
        <w:spacing w:after="0" w:line="253"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1" w:lineRule="exact"/>
        <w:rPr>
          <w:rFonts w:ascii="Arial" w:cs="Arial" w:eastAsia="Arial" w:hAnsi="Arial"/>
          <w:sz w:val="14"/>
          <w:szCs w:val="14"/>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41" w:lineRule="exact"/>
        <w:rPr>
          <w:rFonts w:ascii="Arial" w:cs="Arial" w:eastAsia="Arial" w:hAnsi="Arial"/>
          <w:sz w:val="14"/>
          <w:szCs w:val="14"/>
          <w:color w:val="auto"/>
        </w:rPr>
      </w:pPr>
    </w:p>
    <w:p>
      <w:pPr>
        <w:ind w:left="1660" w:right="1440" w:hanging="350"/>
        <w:spacing w:after="0" w:line="255" w:lineRule="auto"/>
        <w:tabs>
          <w:tab w:leader="none" w:pos="1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2" w:lineRule="exact"/>
        <w:rPr>
          <w:rFonts w:ascii="Arial" w:cs="Arial" w:eastAsia="Arial" w:hAnsi="Arial"/>
          <w:sz w:val="13"/>
          <w:szCs w:val="13"/>
          <w:color w:val="auto"/>
        </w:rPr>
      </w:pPr>
    </w:p>
    <w:p>
      <w:pPr>
        <w:ind w:left="1660" w:right="1920" w:hanging="350"/>
        <w:spacing w:after="0" w:line="253"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inventory write-down adjustments in connection with our new merchandising strategy adopted as part of our strategic transformation, including exiting certain categories of products.</w:t>
      </w:r>
    </w:p>
    <w:p>
      <w:pPr>
        <w:spacing w:after="0" w:line="11" w:lineRule="exact"/>
        <w:rPr>
          <w:rFonts w:ascii="Arial" w:cs="Arial" w:eastAsia="Arial" w:hAnsi="Arial"/>
          <w:sz w:val="14"/>
          <w:szCs w:val="14"/>
          <w:color w:val="auto"/>
        </w:rPr>
      </w:pPr>
    </w:p>
    <w:p>
      <w:pPr>
        <w:ind w:left="1660" w:right="1420" w:hanging="350"/>
        <w:spacing w:after="0" w:line="231" w:lineRule="auto"/>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1" w:lineRule="exact"/>
        <w:rPr>
          <w:rFonts w:ascii="Arial" w:cs="Arial" w:eastAsia="Arial" w:hAnsi="Arial"/>
          <w:sz w:val="14"/>
          <w:szCs w:val="14"/>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made to arrive at Adjusted Net Income at our historical tax rate.</w:t>
      </w:r>
    </w:p>
    <w:p>
      <w:pPr>
        <w:spacing w:after="0" w:line="100" w:lineRule="exact"/>
        <w:rPr>
          <w:sz w:val="20"/>
          <w:szCs w:val="20"/>
          <w:color w:val="auto"/>
        </w:rPr>
      </w:pPr>
    </w:p>
    <w:p>
      <w:pPr>
        <w:ind w:left="1320" w:right="1300" w:firstLine="360"/>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January 30,</w:t>
            </w: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20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$1,011,597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$263,669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$198,481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(66,783)</w:t>
            </w:r>
          </w:p>
        </w:tc>
        <w:tc>
          <w:tcPr>
            <w:tcW w:w="1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(99,027)</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Free Cash Flow</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978,453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196,886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$ 99,454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top w:val="single" w:sz="8" w:color="CCEEFF"/>
              <w:bottom w:val="single" w:sz="8" w:color="auto"/>
            </w:tcBorders>
          </w:tcPr>
          <w:p>
            <w:pPr>
              <w:spacing w:after="0"/>
              <w:rPr>
                <w:sz w:val="18"/>
                <w:szCs w:val="18"/>
                <w:color w:val="auto"/>
              </w:rPr>
            </w:pPr>
          </w:p>
        </w:tc>
        <w:tc>
          <w:tcPr>
            <w:tcW w:w="2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b w:val="1"/>
          <w:bCs w:val="1"/>
          <w:i w:val="1"/>
          <w:iCs w:val="1"/>
          <w:color w:val="auto"/>
        </w:rPr>
        <w:t>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4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w:t>
      </w:r>
    </w:p>
    <w:p>
      <w:pPr>
        <w:spacing w:after="0" w:line="63" w:lineRule="exact"/>
        <w:rPr>
          <w:sz w:val="20"/>
          <w:szCs w:val="20"/>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listing rules of Nasdaq;</w:t>
      </w:r>
    </w:p>
    <w:p>
      <w:pPr>
        <w:spacing w:after="0" w:line="62" w:lineRule="exact"/>
        <w:rPr>
          <w:rFonts w:ascii="Arial" w:cs="Arial" w:eastAsia="Arial" w:hAnsi="Arial"/>
          <w:sz w:val="18"/>
          <w:szCs w:val="18"/>
          <w:color w:val="auto"/>
        </w:rPr>
      </w:pPr>
    </w:p>
    <w:p>
      <w:pPr>
        <w:ind w:left="1000" w:right="1339" w:hanging="348"/>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by a nominating/governance committee comprised solely of independent directors; and</w:t>
      </w:r>
    </w:p>
    <w:p>
      <w:pPr>
        <w:spacing w:after="0" w:line="38" w:lineRule="exact"/>
        <w:rPr>
          <w:rFonts w:ascii="Arial" w:cs="Arial" w:eastAsia="Arial" w:hAnsi="Arial"/>
          <w:sz w:val="17"/>
          <w:szCs w:val="17"/>
          <w:color w:val="auto"/>
        </w:rPr>
      </w:pPr>
    </w:p>
    <w:p>
      <w:pPr>
        <w:ind w:left="1000" w:right="51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compensation of our executive officers be determined, or recommended to our board of directors for determination, by a compensation committee comprised solely of independent directors.</w:t>
      </w:r>
    </w:p>
    <w:p>
      <w:pPr>
        <w:spacing w:after="0" w:line="1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w:t>
      </w:r>
    </w:p>
    <w:p>
      <w:pPr>
        <w:spacing w:after="0" w:line="157"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b w:val="1"/>
          <w:bCs w:val="1"/>
          <w:i w:val="1"/>
          <w:iCs w:val="1"/>
          <w:color w:val="auto"/>
        </w:rPr>
        <w:t>KKR Stockholders have the ability to exert substantial influence over us and their interests may conflict with yours in the future.</w:t>
      </w:r>
    </w:p>
    <w:p>
      <w:pPr>
        <w:spacing w:after="0" w:line="62" w:lineRule="exact"/>
        <w:rPr>
          <w:sz w:val="20"/>
          <w:szCs w:val="20"/>
          <w:color w:val="auto"/>
        </w:rPr>
      </w:pPr>
    </w:p>
    <w:p>
      <w:pPr>
        <w:ind w:left="300" w:right="379" w:firstLine="360"/>
        <w:spacing w:after="0" w:line="285" w:lineRule="auto"/>
        <w:rPr>
          <w:sz w:val="20"/>
          <w:szCs w:val="20"/>
          <w:color w:val="auto"/>
        </w:rPr>
      </w:pPr>
      <w:r>
        <w:rPr>
          <w:rFonts w:ascii="Arial" w:cs="Arial" w:eastAsia="Arial" w:hAnsi="Arial"/>
          <w:sz w:val="16"/>
          <w:szCs w:val="16"/>
          <w:color w:val="auto"/>
        </w:rPr>
        <w:t>Immediately following this offering, KKR Stockholders will collectively beneficially own approximately 34.1% of the voting power of our common stock (or approximately 31.7% if the underwriters exercise in full their option to purchase additional shares) (in each case, assuming that the price per share to be paid by us in connection with the concurrent share repurchase is $30.81, which is the closing sales price of our common stock as reported on the Nasdaq on April 30, 2021). As a result, KKR Stockholders will be able to exert substantial influence on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influence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nominate individuals to our board of directors under the stockholders agreement. See the section entitled “Transactions with Related Persons” in our Proxy Statement, which section is incorporated by reference herein. The interests of KKR Stockholders may not coincide with the interests of other holders of our common stock.</w:t>
      </w:r>
    </w:p>
    <w:p>
      <w:pPr>
        <w:spacing w:after="0" w:line="61"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In the ordinary course of their business activities, KKR Stockholders and their affiliates may engage in activities where their interests conflict with our interests or those of our stockholders. Our amended and restated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1" w:lineRule="auto"/>
        <w:rPr>
          <w:sz w:val="20"/>
          <w:szCs w:val="20"/>
          <w:color w:val="auto"/>
        </w:rPr>
      </w:pPr>
      <w:r>
        <w:rPr>
          <w:rFonts w:ascii="Arial" w:cs="Arial" w:eastAsia="Arial" w:hAnsi="Arial"/>
          <w:sz w:val="17"/>
          <w:szCs w:val="17"/>
          <w:color w:val="auto"/>
        </w:rPr>
        <w:t>certificate of incorporation provides that any of KKR Stockholders, any of their affiliates or any director who is not employed by us (including any non-employee director who serves as one of our officers in both his or her director and officer capacities) or his or her affiliates do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70"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In addition, KKR Stockholders and their affiliates will be able to significantly influence the outcome of all matters requiring stockholder approval, including the election of our board of directors and potential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18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76"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000" w:right="9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57"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62"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After this offering, we will have approximately 90,554,860 shares of common stock authorized but unissued (assuming that the price per share to be paid by us in connection with the concurrent share repurchase is $30.81, which is the closing sales price of our common stock as reported on the Nasdaq on April 30, 2021).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6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In addition, the completion of this offering will result in a Change of Control (as defined under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a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174"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192"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66"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Upon the completion of this offering, of our outstanding shares, the 54,232,495 shares sold in the IPO, the secondary offering we completed in February 2021 (the “February 2021 Secondary Offering”), the April 2021 Sale and this offering (or 56,332,495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69"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The remaining outstanding 36,322,365 shares of common stock held by our existing stockholders after this offering (or approximately 34,222,365 shares if the underwriters exercise in full their option to purchase additional shares), representing approximately 40.1% of the total outstanding shares of our common stock following this offering (or approximately 37.8% if the underwriters exercise in full their option to purchase additional shares) (in each case, assuming that the price per share to be paid by us in connection with the concurrent share repurchase is $30.81, which is the closing sales price of our common stock as reported on the Nasdaq on April 30, 2021),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58"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We, our executive officers, directors and the selling stockholders will sign lock-up agreements with the underwriters that will, subject to certain customary exceptions, restrict the sale of the shares of our common stock and certain other securities held by them for 45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7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 stock under the Securities Act. See the section entitled “Transactions with Related Persons—Certain Related Person Transactions—Registration Rights Agreement” in our Proxy Statement, which section is incorporated by reference herein.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 registration rights would represent approximately</w:t>
      </w:r>
    </w:p>
    <w:p>
      <w:pPr>
        <w:spacing w:after="0" w:line="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37.9% of our total common stock outstanding (or approximately 35.6%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85"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53"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333"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2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1000" w:right="3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1000" w:right="339" w:hanging="348"/>
        <w:spacing w:after="0" w:line="24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ind w:left="1000" w:right="319" w:hanging="348"/>
        <w:spacing w:after="0" w:line="24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8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346"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315" w:lineRule="exact"/>
        <w:rPr>
          <w:sz w:val="20"/>
          <w:szCs w:val="20"/>
          <w:color w:val="auto"/>
        </w:rPr>
      </w:pPr>
    </w:p>
    <w:p>
      <w:pPr>
        <w:ind w:left="300" w:right="519"/>
        <w:spacing w:after="0" w:line="29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53"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w:t>
      </w:r>
    </w:p>
    <w:p>
      <w:pPr>
        <w:spacing w:after="0" w:line="2" w:lineRule="exact"/>
        <w:rPr>
          <w:sz w:val="20"/>
          <w:szCs w:val="20"/>
          <w:color w:val="auto"/>
        </w:rPr>
      </w:pPr>
    </w:p>
    <w:p>
      <w:pPr>
        <w:ind w:left="300" w:right="299" w:hanging="8"/>
        <w:spacing w:after="0" w:line="267"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73"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w:t>
      </w:r>
    </w:p>
    <w:p>
      <w:pPr>
        <w:spacing w:after="0" w:line="6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w:t>
      </w:r>
    </w:p>
    <w:p>
      <w:pPr>
        <w:spacing w:after="0" w:line="58"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associated with disruptions in our supply chain and losses of merchandise purchasing incentives;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offering;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our common stock.</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w:t>
      </w:r>
    </w:p>
    <w:p>
      <w:pPr>
        <w:spacing w:after="0" w:line="79"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300" w:right="71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 and the concurrent share repurchase.</w:t>
      </w:r>
    </w:p>
    <w:p>
      <w:pPr>
        <w:spacing w:after="0" w:line="79" w:lineRule="exact"/>
        <w:rPr>
          <w:sz w:val="20"/>
          <w:szCs w:val="20"/>
          <w:color w:val="auto"/>
        </w:rPr>
      </w:pPr>
    </w:p>
    <w:p>
      <w:pPr>
        <w:ind w:left="300" w:right="539" w:firstLine="360"/>
        <w:spacing w:after="0" w:line="272" w:lineRule="auto"/>
        <w:rPr>
          <w:sz w:val="20"/>
          <w:szCs w:val="20"/>
          <w:color w:val="auto"/>
        </w:rPr>
      </w:pPr>
      <w:r>
        <w:rPr>
          <w:rFonts w:ascii="Arial" w:cs="Arial" w:eastAsia="Arial" w:hAnsi="Arial"/>
          <w:sz w:val="17"/>
          <w:szCs w:val="17"/>
          <w:color w:val="auto"/>
        </w:rPr>
        <w:t>The number of shares of common stock outstanding and percentages of beneficial ownership provided in the table below are based on the beneficial ownership as of April 12, 2021 and are based on 93,800,559 shares of our common stock, par value $0.01 per share, outstanding as of April 12, 2021 and, when indicated, give effect to the repurchase by us of 3,245,699 shares of our common stock in the concurrent share repurchase (assuming that the price per share to be paid by us in connection with the concurrent share repurchase is $30.81, which is the closing sales price of our common stock as reported on the Nasdaq on April 30, 2021). As of April 12, 2021, we had 30 holders of record of our common stock.</w:t>
      </w:r>
    </w:p>
    <w:p>
      <w:pPr>
        <w:spacing w:after="0" w:line="69"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4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Shares to be Sold in this Offering</w:t>
            </w:r>
          </w:p>
        </w:tc>
        <w:tc>
          <w:tcPr>
            <w:tcW w:w="292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Shares Beneficially Owned After the Offering</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2920" w:type="dxa"/>
            <w:vAlign w:val="bottom"/>
            <w:gridSpan w:val="7"/>
          </w:tcPr>
          <w:p>
            <w:pPr>
              <w:jc w:val="right"/>
              <w:ind w:right="208"/>
              <w:spacing w:after="0"/>
              <w:rPr>
                <w:sz w:val="20"/>
                <w:szCs w:val="20"/>
                <w:color w:val="auto"/>
              </w:rPr>
            </w:pPr>
            <w:r>
              <w:rPr>
                <w:rFonts w:ascii="Arial" w:cs="Arial" w:eastAsia="Arial" w:hAnsi="Arial"/>
                <w:sz w:val="14"/>
                <w:szCs w:val="14"/>
                <w:b w:val="1"/>
                <w:bCs w:val="1"/>
                <w:color w:val="auto"/>
              </w:rPr>
              <w:t>and the Concurrent Share Repurchase</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Assuming No</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Assuming Full</w:t>
            </w: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Assuming No</w:t>
            </w:r>
          </w:p>
        </w:tc>
        <w:tc>
          <w:tcPr>
            <w:tcW w:w="8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1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Concurrent Share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Repurchase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20"/>
                <w:szCs w:val="20"/>
                <w:color w:val="auto"/>
              </w:rPr>
            </w:pPr>
            <w:r>
              <w:rPr>
                <w:rFonts w:ascii="Arial" w:cs="Arial" w:eastAsia="Arial" w:hAnsi="Arial"/>
                <w:sz w:val="14"/>
                <w:szCs w:val="14"/>
                <w:b w:val="1"/>
                <w:bCs w:val="1"/>
                <w:color w:val="auto"/>
              </w:rPr>
              <w:t>Owner</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53"/>
        </w:trPr>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80" w:type="dxa"/>
            <w:vAlign w:val="bottom"/>
          </w:tcPr>
          <w:p>
            <w:pPr>
              <w:ind w:left="180"/>
              <w:spacing w:after="0" w:line="256" w:lineRule="exact"/>
              <w:rPr>
                <w:sz w:val="20"/>
                <w:szCs w:val="20"/>
                <w:color w:val="auto"/>
              </w:rPr>
            </w:pPr>
            <w:r>
              <w:rPr>
                <w:rFonts w:ascii="Arial" w:cs="Arial" w:eastAsia="Arial" w:hAnsi="Arial"/>
                <w:sz w:val="14"/>
                <w:szCs w:val="14"/>
                <w:color w:val="auto"/>
              </w:rPr>
              <w:t>KKR Stockholders</w:t>
            </w:r>
            <w:r>
              <w:rPr>
                <w:rFonts w:ascii="Arial" w:cs="Arial" w:eastAsia="Arial" w:hAnsi="Arial"/>
                <w:sz w:val="23"/>
                <w:szCs w:val="23"/>
                <w:color w:val="auto"/>
                <w:vertAlign w:val="superscript"/>
              </w:rPr>
              <w:t>(1)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41,845,602</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11,000,000</w:t>
            </w:r>
          </w:p>
        </w:tc>
        <w:tc>
          <w:tcPr>
            <w:tcW w:w="1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13,100,000</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30,845,602</w:t>
            </w:r>
          </w:p>
        </w:tc>
        <w:tc>
          <w:tcPr>
            <w:tcW w:w="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9"/>
              </w:rPr>
              <w:t>28,745,602</w:t>
            </w:r>
          </w:p>
        </w:tc>
        <w:tc>
          <w:tcPr>
            <w:tcW w:w="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MSI 2011 LLC (a</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140"/>
              <w:spacing w:after="0" w:line="225" w:lineRule="exact"/>
              <w:rPr>
                <w:sz w:val="20"/>
                <w:szCs w:val="20"/>
                <w:color w:val="auto"/>
              </w:rPr>
            </w:pPr>
            <w:r>
              <w:rPr>
                <w:rFonts w:ascii="Arial" w:cs="Arial" w:eastAsia="Arial" w:hAnsi="Arial"/>
                <w:sz w:val="14"/>
                <w:szCs w:val="14"/>
                <w:color w:val="auto"/>
              </w:rPr>
              <w:t>Gochman Investor)</w:t>
            </w:r>
            <w:r>
              <w:rPr>
                <w:rFonts w:ascii="Arial" w:cs="Arial" w:eastAsia="Arial" w:hAnsi="Arial"/>
                <w:sz w:val="23"/>
                <w:szCs w:val="23"/>
                <w:color w:val="auto"/>
                <w:vertAlign w:val="superscript"/>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4,028,639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1,867,707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1,867,707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2,160,932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2,160,932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20"/>
                <w:szCs w:val="20"/>
                <w:color w:val="auto"/>
              </w:rPr>
            </w:pPr>
            <w:r>
              <w:rPr>
                <w:rFonts w:ascii="Arial" w:cs="Arial" w:eastAsia="Arial" w:hAnsi="Arial"/>
                <w:sz w:val="14"/>
                <w:szCs w:val="14"/>
                <w:color w:val="auto"/>
              </w:rPr>
              <w:t>MG Family Limited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80" w:type="dxa"/>
            <w:vAlign w:val="bottom"/>
          </w:tcPr>
          <w:p>
            <w:pPr>
              <w:ind w:left="140"/>
              <w:spacing w:after="0" w:line="145" w:lineRule="exact"/>
              <w:rPr>
                <w:sz w:val="20"/>
                <w:szCs w:val="20"/>
                <w:color w:val="auto"/>
              </w:rPr>
            </w:pPr>
            <w:r>
              <w:rPr>
                <w:rFonts w:ascii="Arial" w:cs="Arial" w:eastAsia="Arial" w:hAnsi="Arial"/>
                <w:sz w:val="14"/>
                <w:szCs w:val="14"/>
                <w:color w:val="auto"/>
                <w:w w:val="93"/>
              </w:rPr>
              <w:t>Partnership (a Gochman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1580" w:type="dxa"/>
            <w:vAlign w:val="bottom"/>
          </w:tcPr>
          <w:p>
            <w:pPr>
              <w:ind w:left="140"/>
              <w:spacing w:after="0"/>
              <w:rPr>
                <w:sz w:val="20"/>
                <w:szCs w:val="20"/>
                <w:color w:val="auto"/>
              </w:rPr>
            </w:pPr>
            <w:r>
              <w:rPr>
                <w:rFonts w:ascii="Arial" w:cs="Arial" w:eastAsia="Arial" w:hAnsi="Arial"/>
                <w:sz w:val="14"/>
                <w:szCs w:val="14"/>
                <w:color w:val="auto"/>
              </w:rPr>
              <w:t>Investor)</w:t>
            </w:r>
            <w:r>
              <w:rPr>
                <w:rFonts w:ascii="Arial" w:cs="Arial" w:eastAsia="Arial" w:hAnsi="Arial"/>
                <w:sz w:val="23"/>
                <w:szCs w:val="23"/>
                <w:color w:val="auto"/>
                <w:vertAlign w:val="superscript"/>
              </w:rPr>
              <w:t>(3)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2,442,353</w:t>
            </w:r>
          </w:p>
        </w:tc>
        <w:tc>
          <w:tcPr>
            <w:tcW w:w="10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1,132,293</w:t>
            </w:r>
          </w:p>
        </w:tc>
        <w:tc>
          <w:tcPr>
            <w:tcW w:w="1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1,132,293</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1,310,060</w:t>
            </w:r>
          </w:p>
        </w:tc>
        <w:tc>
          <w:tcPr>
            <w:tcW w:w="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1,310,060</w:t>
            </w:r>
          </w:p>
        </w:tc>
        <w:tc>
          <w:tcPr>
            <w:tcW w:w="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-1007110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-1007110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-1007110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-1007110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-1007110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-1007110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-1007110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-1007110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98425</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ind w:left="640" w:right="699" w:hanging="348"/>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(x) KKR 2006 Allstar Blocker L.P. holds 7,543,597 shares of our common stock; (y) Allstar Co-Invest Blocker L.P. holds 14,969,509 shares of our common stock; and (z) Allstar LLC holds 19,332,496 shares of our common stock.</w:t>
      </w:r>
    </w:p>
    <w:p>
      <w:pPr>
        <w:spacing w:after="0" w:line="11" w:lineRule="exact"/>
        <w:rPr>
          <w:rFonts w:ascii="Arial" w:cs="Arial" w:eastAsia="Arial" w:hAnsi="Arial"/>
          <w:sz w:val="14"/>
          <w:szCs w:val="14"/>
          <w:color w:val="auto"/>
        </w:rPr>
      </w:pPr>
    </w:p>
    <w:p>
      <w:pPr>
        <w:ind w:left="660" w:right="299"/>
        <w:spacing w:after="0" w:line="244" w:lineRule="auto"/>
        <w:rPr>
          <w:rFonts w:ascii="Arial" w:cs="Arial" w:eastAsia="Arial" w:hAnsi="Arial"/>
          <w:sz w:val="14"/>
          <w:szCs w:val="14"/>
          <w:color w:val="auto"/>
        </w:rPr>
      </w:pPr>
      <w:r>
        <w:rPr>
          <w:rFonts w:ascii="Arial" w:cs="Arial" w:eastAsia="Arial" w:hAnsi="Arial"/>
          <w:sz w:val="13"/>
          <w:szCs w:val="13"/>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NY, 10001. The principal business address for Mr. Roberts is c/o Kohlberg Kravis Roberts &amp; Co. L.P., 2800 Sand Hill Road, Suite 200, Menlo Park, CA 94025.</w:t>
      </w:r>
    </w:p>
    <w:p>
      <w:pPr>
        <w:spacing w:after="0" w:line="19" w:lineRule="exact"/>
        <w:rPr>
          <w:rFonts w:ascii="Arial" w:cs="Arial" w:eastAsia="Arial" w:hAnsi="Arial"/>
          <w:sz w:val="14"/>
          <w:szCs w:val="14"/>
          <w:color w:val="auto"/>
        </w:rPr>
      </w:pPr>
    </w:p>
    <w:p>
      <w:pPr>
        <w:ind w:left="640" w:right="459" w:hanging="348"/>
        <w:spacing w:after="0" w:line="23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20" w:lineRule="exact"/>
        <w:rPr>
          <w:rFonts w:ascii="Arial" w:cs="Arial" w:eastAsia="Arial" w:hAnsi="Arial"/>
          <w:sz w:val="14"/>
          <w:szCs w:val="14"/>
          <w:color w:val="auto"/>
        </w:rPr>
      </w:pPr>
    </w:p>
    <w:p>
      <w:pPr>
        <w:ind w:left="640" w:right="439" w:hanging="348"/>
        <w:spacing w:after="0" w:line="238"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MG Family Limited Partnership is an entity of which MG Family GP, LLC is the general partner. Molly Gochman is the sole member of MG Family GP, LLC with sole power to make investment decisions. The principal business address of MG Family Limited Partnership is 2437 North Blvd, Houston, TX77098.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739" w:firstLine="360"/>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4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339" w:firstLine="360"/>
        <w:spacing w:after="0" w:line="22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9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4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68"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0" w:lineRule="exact"/>
        <w:rPr>
          <w:rFonts w:ascii="Arial" w:cs="Arial" w:eastAsia="Arial" w:hAnsi="Arial"/>
          <w:sz w:val="16"/>
          <w:szCs w:val="16"/>
          <w:color w:val="auto"/>
        </w:rPr>
      </w:pPr>
    </w:p>
    <w:p>
      <w:pPr>
        <w:ind w:left="1000" w:right="83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84"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53"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80"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000" w:right="75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000" w:right="559" w:hanging="348"/>
        <w:spacing w:after="0" w:line="212"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9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0"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1" w:lineRule="auto"/>
        <w:rPr>
          <w:sz w:val="20"/>
          <w:szCs w:val="20"/>
          <w:color w:val="auto"/>
        </w:rPr>
      </w:pPr>
      <w:r>
        <w:rPr>
          <w:rFonts w:ascii="Arial" w:cs="Arial" w:eastAsia="Arial" w:hAnsi="Arial"/>
          <w:sz w:val="16"/>
          <w:szCs w:val="16"/>
          <w:color w:val="auto"/>
        </w:rPr>
        <w:t>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KKR Stockholders and their affiliates are permitted to call special meetings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w:t>
      </w:r>
    </w:p>
    <w:p>
      <w:pPr>
        <w:spacing w:after="0" w:line="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300" w:right="43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300" w:right="339" w:firstLine="360"/>
        <w:spacing w:after="0" w:line="27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0"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300" w:right="379" w:firstLine="360"/>
        <w:spacing w:after="0" w:line="229"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5" w:lineRule="exact"/>
        <w:rPr>
          <w:sz w:val="20"/>
          <w:szCs w:val="20"/>
          <w:color w:val="auto"/>
        </w:rPr>
      </w:pPr>
    </w:p>
    <w:p>
      <w:pPr>
        <w:ind w:left="1000" w:right="479" w:hanging="348"/>
        <w:spacing w:after="0" w:line="23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 for stockholders to amend our amended and restated bylaws;</w:t>
      </w:r>
    </w:p>
    <w:p>
      <w:pPr>
        <w:spacing w:after="0" w:line="95"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1000" w:right="1319" w:hanging="348"/>
        <w:spacing w:after="0" w:line="23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w:t>
      </w:r>
    </w:p>
    <w:p>
      <w:pPr>
        <w:spacing w:after="0" w:line="95"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300" w:right="41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w:t>
      </w:r>
    </w:p>
    <w:p>
      <w:pPr>
        <w:spacing w:after="0" w:line="2" w:lineRule="exact"/>
        <w:rPr>
          <w:sz w:val="20"/>
          <w:szCs w:val="20"/>
          <w:color w:val="auto"/>
        </w:rPr>
      </w:pPr>
    </w:p>
    <w:p>
      <w:pPr>
        <w:ind w:left="300" w:right="339" w:hanging="8"/>
        <w:spacing w:after="0" w:line="284" w:lineRule="auto"/>
        <w:tabs>
          <w:tab w:leader="none" w:pos="6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70"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56"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5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Upon the completion of this offering, of our outstanding shares, the 54,232,495 shares sold in the IPO, the February 2021 Secondary Offering, the April 2021 Sale and this offering (or 56,332,495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84"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remaining outstanding 36,322,365 shares of common stock held by our existing stockholders after this offering (or approximately 34,222,365 shares if the underwriters exercise in full their option to purchase additional shares), representing approximately 40.1% of the total outstanding shares of our common stock following this offering (or approximately 37.8% if the underwriters exercise in full their option to purchase additional shares) (in each case, assuming that the price per share to be paid by us in connection with the concurrent share repurchase is $30.81, which is the closing sales price of our common stock as reported on the Nasdaq on April 30, 2021),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45 days after the date of this prospectus. See “Underwriting (Conflicts of Interest).”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pacing w:after="0" w:line="63" w:lineRule="exact"/>
        <w:rPr>
          <w:sz w:val="20"/>
          <w:szCs w:val="20"/>
          <w:color w:val="auto"/>
        </w:rPr>
      </w:pPr>
    </w:p>
    <w:p>
      <w:pPr>
        <w:ind w:left="1000" w:right="359" w:hanging="348"/>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905,549 shares immediately after this offering (assuming that the price per share to be paid by us in connection with the concurrent share repurchase is $30.81, which is the closing sales price of our common stock as reported on the Nasdaq on April 30, 2021); or</w:t>
      </w:r>
    </w:p>
    <w:p>
      <w:pPr>
        <w:spacing w:after="0" w:line="78"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80"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color w:val="auto"/>
        </w:rPr>
        <w:t>We are unable to estimate the number of shares that will be sold under Rule 144 since this will depend on the market price for our common stock, the personal circumstances of the stockholder and other factors.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the section entitled “Transactions with Related Persons—Certain Related Person Transactions— Registration Rights Agreement” in our Proxy Statement, which section is incorporated by reference herein. Registration of these shares under the Securities Act would result in these shares becoming freely tradable immediately upon effectiveness of such registration.</w:t>
      </w:r>
    </w:p>
    <w:p>
      <w:pPr>
        <w:spacing w:after="0" w:line="80"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37.9% of our outstanding common stock (or approximately 35.6%,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TAX CONSEQUENCES TO NON-U.S. HOLDERS</w:t>
      </w:r>
    </w:p>
    <w:p>
      <w:pPr>
        <w:spacing w:after="0" w:line="10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57" w:lineRule="exact"/>
        <w:rPr>
          <w:sz w:val="20"/>
          <w:szCs w:val="20"/>
          <w:color w:val="auto"/>
        </w:rPr>
      </w:pPr>
    </w:p>
    <w:p>
      <w:pPr>
        <w:ind w:left="300" w:right="879" w:firstLine="360"/>
        <w:spacing w:after="0" w:line="263"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379" w:hanging="348"/>
        <w:spacing w:after="0" w:line="286"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63"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75"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taxable disposition of our common stock generally will not be subject to U.S. federal income tax unless:</w:t>
      </w:r>
    </w:p>
    <w:p>
      <w:pPr>
        <w:spacing w:after="0" w:line="16" w:lineRule="exact"/>
        <w:rPr>
          <w:sz w:val="20"/>
          <w:szCs w:val="20"/>
          <w:color w:val="auto"/>
        </w:rPr>
      </w:pPr>
    </w:p>
    <w:p>
      <w:pPr>
        <w:ind w:left="1000" w:right="33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conditions are met.</w:t>
      </w:r>
    </w:p>
    <w:p>
      <w:pPr>
        <w:spacing w:after="0" w:line="62"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88" w:lineRule="exact"/>
        <w:rPr>
          <w:sz w:val="20"/>
          <w:szCs w:val="20"/>
          <w:color w:val="auto"/>
        </w:rPr>
      </w:pPr>
    </w:p>
    <w:p>
      <w:pPr>
        <w:ind w:left="300" w:right="1119" w:firstLine="360"/>
        <w:spacing w:after="0" w:line="277" w:lineRule="auto"/>
        <w:rPr>
          <w:sz w:val="20"/>
          <w:szCs w:val="20"/>
          <w:color w:val="auto"/>
        </w:rPr>
      </w:pPr>
      <w:r>
        <w:rPr>
          <w:rFonts w:ascii="Arial" w:cs="Arial" w:eastAsia="Arial" w:hAnsi="Arial"/>
          <w:sz w:val="18"/>
          <w:szCs w:val="18"/>
          <w:color w:val="auto"/>
        </w:rPr>
        <w:t>We believe we are not and do not anticipate becoming a “U.S. real property holding corporation” for U.S. federal income tax purposes.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U.S. federal estate tax purposes, unless an applicable estate tax treaty provides otherwise.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center"/>
        <w:ind w:left="300" w:right="839"/>
        <w:spacing w:after="0" w:line="342" w:lineRule="auto"/>
        <w:rPr>
          <w:sz w:val="20"/>
          <w:szCs w:val="20"/>
          <w:color w:val="auto"/>
        </w:rPr>
      </w:pPr>
      <w:r>
        <w:rPr>
          <w:rFonts w:ascii="Arial" w:cs="Arial" w:eastAsia="Arial" w:hAnsi="Arial"/>
          <w:sz w:val="16"/>
          <w:szCs w:val="16"/>
          <w:color w:val="auto"/>
        </w:rPr>
        <w:t>We must report annually to the Internal Revenue Service and to each non-U.S. holder the amount of distributions paid to such holder and the tax withheld with respect to such distributions, regardless of whether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76" w:lineRule="exact"/>
        <w:rPr>
          <w:sz w:val="20"/>
          <w:szCs w:val="20"/>
          <w:color w:val="auto"/>
        </w:rPr>
      </w:pPr>
    </w:p>
    <w:p>
      <w:pPr>
        <w:ind w:left="300" w:right="719" w:firstLine="360"/>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79"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68"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w:t>
      </w:r>
    </w:p>
    <w:p>
      <w:pPr>
        <w:spacing w:after="0" w:line="2" w:lineRule="exact"/>
        <w:rPr>
          <w:sz w:val="20"/>
          <w:szCs w:val="20"/>
          <w:color w:val="auto"/>
        </w:rPr>
      </w:pPr>
    </w:p>
    <w:p>
      <w:pPr>
        <w:ind w:left="300" w:right="459" w:hanging="8"/>
        <w:spacing w:after="0" w:line="292" w:lineRule="auto"/>
        <w:tabs>
          <w:tab w:leader="none" w:pos="5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tbl>
      <w:tblPr>
        <w:tblLayout w:type="fixed"/>
        <w:tblInd w:w="300" w:type="dxa"/>
        <w:tblCellMar>
          <w:top w:w="0" w:type="dxa"/>
          <w:left w:w="0" w:type="dxa"/>
          <w:bottom w:w="0" w:type="dxa"/>
          <w:right w:w="0" w:type="dxa"/>
        </w:tblCellMar>
      </w:tblPr>
      <w:tr>
        <w:trPr>
          <w:trHeight w:val="161"/>
        </w:trPr>
        <w:tc>
          <w:tcPr>
            <w:tcW w:w="73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60" w:type="dxa"/>
            <w:vAlign w:val="bottom"/>
          </w:tcPr>
          <w:p>
            <w:pPr>
              <w:spacing w:after="0"/>
              <w:rPr>
                <w:sz w:val="14"/>
                <w:szCs w:val="14"/>
                <w:color w:val="auto"/>
              </w:rPr>
            </w:pPr>
          </w:p>
        </w:tc>
      </w:tr>
      <w:tr>
        <w:trPr>
          <w:trHeight w:val="344"/>
        </w:trPr>
        <w:tc>
          <w:tcPr>
            <w:tcW w:w="1540" w:type="dxa"/>
            <w:vAlign w:val="bottom"/>
            <w:tcBorders>
              <w:top w:val="single" w:sz="8" w:color="0000EE"/>
            </w:tcBorders>
          </w:tcPr>
          <w:p>
            <w:pPr>
              <w:spacing w:after="0"/>
              <w:rPr>
                <w:sz w:val="24"/>
                <w:szCs w:val="24"/>
                <w:color w:val="auto"/>
              </w:rPr>
            </w:pPr>
          </w:p>
        </w:tc>
        <w:tc>
          <w:tcPr>
            <w:tcW w:w="5760" w:type="dxa"/>
            <w:vAlign w:val="bottom"/>
          </w:tcPr>
          <w:p>
            <w:pPr>
              <w:ind w:left="700"/>
              <w:spacing w:after="0"/>
              <w:rPr>
                <w:sz w:val="20"/>
                <w:szCs w:val="20"/>
                <w:color w:val="auto"/>
              </w:rPr>
            </w:pPr>
            <w:r>
              <w:rPr>
                <w:rFonts w:ascii="Arial" w:cs="Arial" w:eastAsia="Arial" w:hAnsi="Arial"/>
                <w:sz w:val="18"/>
                <w:szCs w:val="18"/>
                <w:b w:val="1"/>
                <w:bCs w:val="1"/>
                <w:color w:val="auto"/>
              </w:rPr>
              <w:t>UNDERWRITING (CONFLICTS OF INTEREST)</w:t>
            </w:r>
          </w:p>
        </w:tc>
        <w:tc>
          <w:tcPr>
            <w:tcW w:w="1060" w:type="dxa"/>
            <w:vAlign w:val="bottom"/>
          </w:tcPr>
          <w:p>
            <w:pPr>
              <w:spacing w:after="0"/>
              <w:rPr>
                <w:sz w:val="24"/>
                <w:szCs w:val="24"/>
                <w:color w:val="auto"/>
              </w:rPr>
            </w:pPr>
          </w:p>
        </w:tc>
      </w:tr>
      <w:tr>
        <w:trPr>
          <w:trHeight w:val="324"/>
        </w:trPr>
        <w:tc>
          <w:tcPr>
            <w:tcW w:w="7300" w:type="dxa"/>
            <w:vAlign w:val="bottom"/>
            <w:gridSpan w:val="2"/>
          </w:tcPr>
          <w:p>
            <w:pPr>
              <w:ind w:left="360"/>
              <w:spacing w:after="0"/>
              <w:rPr>
                <w:sz w:val="20"/>
                <w:szCs w:val="20"/>
                <w:color w:val="auto"/>
              </w:rPr>
            </w:pPr>
            <w:r>
              <w:rPr>
                <w:rFonts w:ascii="Arial" w:cs="Arial" w:eastAsia="Arial" w:hAnsi="Arial"/>
                <w:sz w:val="18"/>
                <w:szCs w:val="18"/>
                <w:color w:val="auto"/>
                <w:w w:val="93"/>
              </w:rPr>
              <w:t>Under the terms and subject to the conditions contained in an underwriting agreement, dated</w:t>
            </w:r>
          </w:p>
        </w:tc>
        <w:tc>
          <w:tcPr>
            <w:tcW w:w="1060" w:type="dxa"/>
            <w:vAlign w:val="bottom"/>
          </w:tcPr>
          <w:p>
            <w:pPr>
              <w:ind w:left="300"/>
              <w:spacing w:after="0"/>
              <w:rPr>
                <w:sz w:val="20"/>
                <w:szCs w:val="20"/>
                <w:color w:val="auto"/>
              </w:rPr>
            </w:pPr>
            <w:r>
              <w:rPr>
                <w:rFonts w:ascii="Arial" w:cs="Arial" w:eastAsia="Arial" w:hAnsi="Arial"/>
                <w:sz w:val="18"/>
                <w:szCs w:val="18"/>
                <w:color w:val="auto"/>
                <w:w w:val="86"/>
              </w:rPr>
              <w:t>, 2021, the</w:t>
            </w:r>
          </w:p>
        </w:tc>
      </w:tr>
    </w:tbl>
    <w:p>
      <w:pPr>
        <w:ind w:left="300" w:right="419"/>
        <w:spacing w:after="0" w:line="270" w:lineRule="auto"/>
        <w:rPr>
          <w:sz w:val="20"/>
          <w:szCs w:val="20"/>
          <w:color w:val="auto"/>
        </w:rPr>
      </w:pPr>
      <w:r>
        <w:rPr>
          <w:rFonts w:ascii="Arial" w:cs="Arial" w:eastAsia="Arial" w:hAnsi="Arial"/>
          <w:sz w:val="17"/>
          <w:szCs w:val="17"/>
          <w:color w:val="auto"/>
        </w:rPr>
        <w:t>selling stockholders have agreed to sell to the underwriters named below, for whom Credit Suisse Securities (USA) LLC and J.P. Morgan Securities LLC are acting as representatives, and the underwriters have agreed to purchase from the selling stockholders, the following respective numbers of shares of common stock, which includes 3,245,699 shares of our common stock that we intend to repurchase from the underwriters in the concurrent share repurchase (assuming that the price per share to be paid by us is $30.81, which is the closing sales price of our common stock as reported on the Nasdaq on April 30, 2021):</w:t>
      </w:r>
    </w:p>
    <w:p>
      <w:pPr>
        <w:spacing w:after="0" w:line="143" w:lineRule="exact"/>
        <w:rPr>
          <w:sz w:val="20"/>
          <w:szCs w:val="20"/>
          <w:color w:val="auto"/>
        </w:rPr>
      </w:pPr>
    </w:p>
    <w:p>
      <w:pPr>
        <w:jc w:val="both"/>
        <w:ind w:left="3480"/>
        <w:spacing w:after="0"/>
        <w:tabs>
          <w:tab w:leader="none" w:pos="75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Credit Suisse Securities (USA)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KKR Capital Markets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6350</wp:posOffset>
            </wp:positionV>
            <wp:extent cx="6858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1"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r>
      <w:tr>
        <w:trPr>
          <w:trHeight w:val="54"/>
        </w:trPr>
        <w:tc>
          <w:tcPr>
            <w:tcW w:w="3980" w:type="dxa"/>
            <w:vAlign w:val="bottom"/>
            <w:shd w:val="clear" w:color="auto" w:fill="CCEEFF"/>
          </w:tcPr>
          <w:p>
            <w:pPr>
              <w:spacing w:after="0"/>
              <w:rPr>
                <w:sz w:val="4"/>
                <w:szCs w:val="4"/>
                <w:color w:val="auto"/>
              </w:rPr>
            </w:pPr>
          </w:p>
        </w:tc>
        <w:tc>
          <w:tcPr>
            <w:tcW w:w="444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out of the aggregate 14,000,000 shares of our common stock that are the subject of the offering, a number of shares (rounded down to the nearest whole share) having an aggregate purchase price of up to $100 million. The price per share to be paid by us will equal the price at which the underwriters will purchase the shares from the selling stockholders in the offering. The closing of the concurrent share repurchase is conditioned on the closing of the offering and therefore can be no assurance that the concurrent share repurchase will be completed. The offering is not conditioned upon the completion of the concurrent share repurchase. See “Summary—Concurrent Share Repurchase.”</w:t>
      </w:r>
    </w:p>
    <w:p>
      <w:pPr>
        <w:spacing w:after="0" w:line="84"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49"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6"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The underwriters have a 30-day option to purchase on a pro rata basis up to 2,100,000 additional shares at the public offering price less the underwriting discounts and commissions from the selling stockholders.</w:t>
      </w:r>
    </w:p>
    <w:p>
      <w:pPr>
        <w:spacing w:after="0" w:line="38"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color w:val="auto"/>
        </w:rPr>
        <w:t>The underwriters propose to offer the shares of common stock that are not subject to the concurrent share repurchase initially at the public offering price on the cover page of this prospectus and to selling group members at</w:t>
      </w:r>
    </w:p>
    <w:p>
      <w:pPr>
        <w:ind w:left="300" w:right="639"/>
        <w:spacing w:after="0" w:line="260" w:lineRule="auto"/>
        <w:rPr>
          <w:sz w:val="20"/>
          <w:szCs w:val="20"/>
          <w:color w:val="auto"/>
        </w:rPr>
      </w:pPr>
      <w:r>
        <w:rPr>
          <w:rFonts w:ascii="Arial" w:cs="Arial" w:eastAsia="Arial" w:hAnsi="Arial"/>
          <w:sz w:val="18"/>
          <w:szCs w:val="18"/>
          <w:color w:val="auto"/>
        </w:rPr>
        <w:t>that price less a selling concession of up to $ per share. After the public offering, the representatives may change the public offering price and concession.</w:t>
      </w:r>
    </w:p>
    <w:p>
      <w:pPr>
        <w:spacing w:after="0" w:line="7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stockholders.</w:t>
      </w:r>
    </w:p>
    <w:p>
      <w:pPr>
        <w:spacing w:after="0" w:line="109" w:lineRule="exact"/>
        <w:rPr>
          <w:sz w:val="20"/>
          <w:szCs w:val="20"/>
          <w:color w:val="auto"/>
        </w:rPr>
      </w:pPr>
    </w:p>
    <w:tbl>
      <w:tblPr>
        <w:tblLayout w:type="fixed"/>
        <w:tblInd w:w="52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Underwriting</w:t>
            </w:r>
          </w:p>
        </w:tc>
        <w:tc>
          <w:tcPr>
            <w:tcW w:w="940" w:type="dxa"/>
            <w:vAlign w:val="bottom"/>
          </w:tcPr>
          <w:p>
            <w:pPr>
              <w:jc w:val="center"/>
              <w:ind w:left="48"/>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8"/>
              </w:rPr>
              <w:t>Price to Public</w:t>
            </w:r>
            <w:r>
              <w:rPr>
                <w:rFonts w:ascii="Arial" w:cs="Arial" w:eastAsia="Arial" w:hAnsi="Arial"/>
                <w:sz w:val="23"/>
                <w:szCs w:val="23"/>
                <w:b w:val="1"/>
                <w:bCs w:val="1"/>
                <w:color w:val="auto"/>
                <w:w w:val="98"/>
                <w:vertAlign w:val="superscript"/>
              </w:rPr>
              <w:t>(1)</w:t>
            </w:r>
          </w:p>
        </w:tc>
        <w:tc>
          <w:tcPr>
            <w:tcW w:w="12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94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89"/>
              </w:rPr>
              <w:t>the selling</w:t>
            </w:r>
          </w:p>
        </w:tc>
        <w:tc>
          <w:tcPr>
            <w:tcW w:w="0" w:type="dxa"/>
            <w:vAlign w:val="bottom"/>
          </w:tcPr>
          <w:p>
            <w:pPr>
              <w:spacing w:after="0"/>
              <w:rPr>
                <w:sz w:val="1"/>
                <w:szCs w:val="1"/>
                <w:color w:val="auto"/>
              </w:rPr>
            </w:pPr>
          </w:p>
        </w:tc>
      </w:tr>
      <w:tr>
        <w:trPr>
          <w:trHeight w:val="242"/>
        </w:trPr>
        <w:tc>
          <w:tcPr>
            <w:tcW w:w="1160" w:type="dxa"/>
            <w:vAlign w:val="bottom"/>
            <w:vMerge w:val="continue"/>
          </w:tcPr>
          <w:p>
            <w:pPr>
              <w:spacing w:after="0"/>
              <w:rPr>
                <w:sz w:val="21"/>
                <w:szCs w:val="21"/>
                <w:color w:val="auto"/>
              </w:rPr>
            </w:pPr>
          </w:p>
        </w:tc>
        <w:tc>
          <w:tcPr>
            <w:tcW w:w="124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3"/>
                <w:szCs w:val="23"/>
                <w:b w:val="1"/>
                <w:bCs w:val="1"/>
                <w:color w:val="auto"/>
                <w:w w:val="84"/>
                <w:vertAlign w:val="superscript"/>
              </w:rPr>
              <w:t>(2)</w:t>
            </w:r>
          </w:p>
        </w:tc>
        <w:tc>
          <w:tcPr>
            <w:tcW w:w="94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0</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311"/>
        </w:trPr>
        <w:tc>
          <w:tcPr>
            <w:tcW w:w="1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 Share</w:t>
            </w:r>
          </w:p>
        </w:tc>
        <w:tc>
          <w:tcPr>
            <w:tcW w:w="282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r>
      <w:tr>
        <w:trPr>
          <w:trHeight w:val="270"/>
        </w:trPr>
        <w:tc>
          <w:tcPr>
            <w:tcW w:w="1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23"/>
                <w:szCs w:val="23"/>
                <w:color w:val="auto"/>
              </w:rPr>
            </w:pPr>
          </w:p>
        </w:tc>
        <w:tc>
          <w:tcPr>
            <w:tcW w:w="16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140" w:type="dxa"/>
            <w:vAlign w:val="bottom"/>
            <w:gridSpan w:val="2"/>
          </w:tcPr>
          <w:p>
            <w:pPr>
              <w:spacing w:after="0"/>
              <w:rPr>
                <w:sz w:val="24"/>
                <w:szCs w:val="24"/>
                <w:color w:val="auto"/>
              </w:rPr>
            </w:pPr>
          </w:p>
        </w:tc>
        <w:tc>
          <w:tcPr>
            <w:tcW w:w="4000" w:type="dxa"/>
            <w:vAlign w:val="bottom"/>
            <w:gridSpan w:val="6"/>
          </w:tcPr>
          <w:p>
            <w:pPr>
              <w:spacing w:after="0"/>
              <w:rPr>
                <w:sz w:val="24"/>
                <w:szCs w:val="24"/>
                <w:color w:val="auto"/>
              </w:rPr>
            </w:pPr>
          </w:p>
        </w:tc>
      </w:tr>
      <w:tr>
        <w:trPr>
          <w:trHeight w:val="17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160" w:type="dxa"/>
            <w:vAlign w:val="bottom"/>
            <w:gridSpan w:val="3"/>
          </w:tcPr>
          <w:p>
            <w:pPr>
              <w:ind w:left="80"/>
              <w:spacing w:after="0"/>
              <w:rPr>
                <w:sz w:val="20"/>
                <w:szCs w:val="20"/>
                <w:color w:val="auto"/>
              </w:rPr>
            </w:pPr>
            <w:r>
              <w:rPr>
                <w:rFonts w:ascii="Arial" w:cs="Arial" w:eastAsia="Arial" w:hAnsi="Arial"/>
                <w:sz w:val="14"/>
                <w:szCs w:val="14"/>
                <w:color w:val="auto"/>
                <w:w w:val="99"/>
              </w:rPr>
              <w:t>The public offering price for the shares offered to the public was $</w:t>
            </w:r>
          </w:p>
        </w:tc>
        <w:tc>
          <w:tcPr>
            <w:tcW w:w="4000" w:type="dxa"/>
            <w:vAlign w:val="bottom"/>
            <w:gridSpan w:val="6"/>
          </w:tcPr>
          <w:p>
            <w:pPr>
              <w:jc w:val="right"/>
              <w:spacing w:after="0"/>
              <w:rPr>
                <w:sz w:val="20"/>
                <w:szCs w:val="20"/>
                <w:color w:val="auto"/>
              </w:rPr>
            </w:pPr>
            <w:r>
              <w:rPr>
                <w:rFonts w:ascii="Arial" w:cs="Arial" w:eastAsia="Arial" w:hAnsi="Arial"/>
                <w:sz w:val="14"/>
                <w:szCs w:val="14"/>
                <w:color w:val="auto"/>
                <w:w w:val="93"/>
              </w:rPr>
              <w:t>per share. The price for the shares we intend to repurchase from the</w:t>
            </w:r>
          </w:p>
        </w:tc>
      </w:tr>
      <w:tr>
        <w:trPr>
          <w:trHeight w:val="182"/>
        </w:trPr>
        <w:tc>
          <w:tcPr>
            <w:tcW w:w="26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underwriters was $</w:t>
            </w:r>
          </w:p>
        </w:tc>
        <w:tc>
          <w:tcPr>
            <w:tcW w:w="282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9"/>
        </w:trPr>
        <w:tc>
          <w:tcPr>
            <w:tcW w:w="260" w:type="dxa"/>
            <w:vAlign w:val="bottom"/>
          </w:tcPr>
          <w:p>
            <w:pPr>
              <w:spacing w:after="0"/>
              <w:rPr>
                <w:sz w:val="20"/>
                <w:szCs w:val="20"/>
                <w:color w:val="auto"/>
              </w:rPr>
            </w:pPr>
            <w:r>
              <w:rPr>
                <w:rFonts w:ascii="Arial" w:cs="Arial" w:eastAsia="Arial" w:hAnsi="Arial"/>
                <w:sz w:val="14"/>
                <w:szCs w:val="14"/>
                <w:color w:val="auto"/>
              </w:rPr>
              <w:t>(2)</w:t>
            </w:r>
          </w:p>
        </w:tc>
        <w:tc>
          <w:tcPr>
            <w:tcW w:w="4160" w:type="dxa"/>
            <w:vAlign w:val="bottom"/>
            <w:gridSpan w:val="3"/>
          </w:tcPr>
          <w:p>
            <w:pPr>
              <w:ind w:left="80"/>
              <w:spacing w:after="0"/>
              <w:rPr>
                <w:sz w:val="20"/>
                <w:szCs w:val="20"/>
                <w:color w:val="auto"/>
              </w:rPr>
            </w:pPr>
            <w:r>
              <w:rPr>
                <w:rFonts w:ascii="Arial" w:cs="Arial" w:eastAsia="Arial" w:hAnsi="Arial"/>
                <w:sz w:val="14"/>
                <w:szCs w:val="14"/>
                <w:color w:val="auto"/>
                <w:w w:val="97"/>
              </w:rPr>
              <w:t>The underwriting discount for the shares offered to the public was $</w:t>
            </w:r>
          </w:p>
        </w:tc>
        <w:tc>
          <w:tcPr>
            <w:tcW w:w="4000" w:type="dxa"/>
            <w:vAlign w:val="bottom"/>
            <w:gridSpan w:val="6"/>
          </w:tcPr>
          <w:p>
            <w:pPr>
              <w:jc w:val="right"/>
              <w:ind w:right="30"/>
              <w:spacing w:after="0"/>
              <w:rPr>
                <w:sz w:val="20"/>
                <w:szCs w:val="20"/>
                <w:color w:val="auto"/>
              </w:rPr>
            </w:pPr>
            <w:r>
              <w:rPr>
                <w:rFonts w:ascii="Arial" w:cs="Arial" w:eastAsia="Arial" w:hAnsi="Arial"/>
                <w:sz w:val="14"/>
                <w:szCs w:val="14"/>
                <w:color w:val="auto"/>
                <w:w w:val="97"/>
              </w:rPr>
              <w:t>per share. No underwriting discount or commissions will be paid</w:t>
            </w:r>
          </w:p>
        </w:tc>
      </w:tr>
      <w:tr>
        <w:trPr>
          <w:trHeight w:val="182"/>
        </w:trPr>
        <w:tc>
          <w:tcPr>
            <w:tcW w:w="260" w:type="dxa"/>
            <w:vAlign w:val="bottom"/>
          </w:tcPr>
          <w:p>
            <w:pPr>
              <w:spacing w:after="0"/>
              <w:rPr>
                <w:sz w:val="15"/>
                <w:szCs w:val="15"/>
                <w:color w:val="auto"/>
              </w:rPr>
            </w:pPr>
          </w:p>
        </w:tc>
        <w:tc>
          <w:tcPr>
            <w:tcW w:w="4160" w:type="dxa"/>
            <w:vAlign w:val="bottom"/>
            <w:gridSpan w:val="3"/>
          </w:tcPr>
          <w:p>
            <w:pPr>
              <w:ind w:left="80"/>
              <w:spacing w:after="0"/>
              <w:rPr>
                <w:sz w:val="20"/>
                <w:szCs w:val="20"/>
                <w:color w:val="auto"/>
              </w:rPr>
            </w:pPr>
            <w:r>
              <w:rPr>
                <w:rFonts w:ascii="Arial" w:cs="Arial" w:eastAsia="Arial" w:hAnsi="Arial"/>
                <w:sz w:val="14"/>
                <w:szCs w:val="14"/>
                <w:color w:val="auto"/>
                <w:w w:val="92"/>
              </w:rPr>
              <w:t>to the underwriters with respect to the shares we intend to repurchase.</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79"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 responsible, are estimated at $0.7 million and are payable by us. We have also agreed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spacing w:after="0" w:line="263" w:lineRule="auto"/>
        <w:rPr>
          <w:sz w:val="20"/>
          <w:szCs w:val="20"/>
          <w:color w:val="auto"/>
        </w:rPr>
      </w:pPr>
      <w:r>
        <w:rPr>
          <w:rFonts w:ascii="Arial" w:cs="Arial" w:eastAsia="Arial" w:hAnsi="Arial"/>
          <w:sz w:val="18"/>
          <w:szCs w:val="18"/>
          <w:color w:val="auto"/>
        </w:rPr>
        <w:t>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76"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45 days after the date of this prospectus, subject to certain exceptions (including the concurrent share repurchase).</w:t>
      </w:r>
    </w:p>
    <w:p>
      <w:pPr>
        <w:spacing w:after="0" w:line="8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45 days after the date of this prospectus, subject to certain exceptions.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00" w:right="49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000" w:right="339" w:hanging="348"/>
        <w:spacing w:after="0" w:line="271"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70" w:lineRule="exact"/>
        <w:rPr>
          <w:rFonts w:ascii="Arial" w:cs="Arial" w:eastAsia="Arial" w:hAnsi="Arial"/>
          <w:sz w:val="17"/>
          <w:szCs w:val="17"/>
          <w:color w:val="auto"/>
        </w:rPr>
      </w:pPr>
    </w:p>
    <w:p>
      <w:pPr>
        <w:ind w:left="1000" w:right="399" w:hanging="348"/>
        <w:spacing w:after="0" w:line="270"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2"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80"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70"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0"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94" w:lineRule="exact"/>
        <w:rPr>
          <w:sz w:val="20"/>
          <w:szCs w:val="20"/>
          <w:color w:val="auto"/>
        </w:rPr>
      </w:pPr>
    </w:p>
    <w:p>
      <w:pPr>
        <w:ind w:left="660" w:right="2419" w:firstLine="1762"/>
        <w:spacing w:after="0" w:line="442" w:lineRule="auto"/>
        <w:rPr>
          <w:sz w:val="20"/>
          <w:szCs w:val="20"/>
          <w:color w:val="auto"/>
        </w:rPr>
      </w:pPr>
      <w:r>
        <w:rPr>
          <w:rFonts w:ascii="Arial" w:cs="Arial" w:eastAsia="Arial" w:hAnsi="Arial"/>
          <w:sz w:val="16"/>
          <w:szCs w:val="16"/>
          <w:b w:val="1"/>
          <w:bCs w:val="1"/>
          <w:color w:val="auto"/>
        </w:rPr>
        <w:t xml:space="preserve">Notice to Prospective Investors in the United Kingdom </w:t>
      </w:r>
      <w:r>
        <w:rPr>
          <w:rFonts w:ascii="Arial" w:cs="Arial" w:eastAsia="Arial" w:hAnsi="Arial"/>
          <w:sz w:val="16"/>
          <w:szCs w:val="16"/>
          <w:color w:val="auto"/>
        </w:rPr>
        <w:t>Each of the underwriters severally represents, warrants and agrees as follows:</w:t>
      </w:r>
    </w:p>
    <w:p>
      <w:pPr>
        <w:spacing w:after="0" w:line="1" w:lineRule="exact"/>
        <w:rPr>
          <w:sz w:val="20"/>
          <w:szCs w:val="20"/>
          <w:color w:val="auto"/>
        </w:rPr>
      </w:pPr>
    </w:p>
    <w:p>
      <w:pPr>
        <w:ind w:left="1000" w:right="319" w:hanging="348"/>
        <w:spacing w:after="0" w:line="30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49" w:lineRule="exact"/>
        <w:rPr>
          <w:rFonts w:ascii="Arial" w:cs="Arial" w:eastAsia="Arial" w:hAnsi="Arial"/>
          <w:sz w:val="16"/>
          <w:szCs w:val="16"/>
          <w:color w:val="auto"/>
        </w:rPr>
      </w:pPr>
    </w:p>
    <w:p>
      <w:pPr>
        <w:ind w:left="1000" w:right="359" w:hanging="348"/>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securities in, from or otherwise involving the United Kingdom.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0" w:lineRule="exact"/>
        <w:rPr>
          <w:sz w:val="20"/>
          <w:szCs w:val="20"/>
          <w:color w:val="auto"/>
        </w:rPr>
      </w:pPr>
    </w:p>
    <w:p>
      <w:pPr>
        <w:ind w:left="1000" w:right="37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140" w:lineRule="exact"/>
        <w:rPr>
          <w:sz w:val="20"/>
          <w:szCs w:val="20"/>
          <w:color w:val="auto"/>
        </w:rPr>
      </w:pPr>
    </w:p>
    <w:p>
      <w:pPr>
        <w:jc w:val="both"/>
        <w:ind w:left="1000" w:right="37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000" w:right="519" w:hanging="348"/>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consolidated financial statements of Academy Sports and Outdoors, Inc. and subsidiaries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7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4" w:lineRule="exact"/>
        <w:rPr>
          <w:sz w:val="20"/>
          <w:szCs w:val="20"/>
          <w:color w:val="auto"/>
        </w:rPr>
      </w:pPr>
    </w:p>
    <w:p>
      <w:pPr>
        <w:ind w:left="1000" w:right="339" w:hanging="348"/>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January 30, 2021, filed on </w:t>
      </w:r>
      <w:hyperlink r:id="rId114">
        <w:r>
          <w:rPr>
            <w:rFonts w:ascii="Arial" w:cs="Arial" w:eastAsia="Arial" w:hAnsi="Arial"/>
            <w:sz w:val="17"/>
            <w:szCs w:val="17"/>
            <w:u w:val="single" w:color="auto"/>
            <w:color w:val="0000EE"/>
          </w:rPr>
          <w:t>April 7, 2021</w:t>
        </w:r>
      </w:hyperlink>
      <w:r>
        <w:rPr>
          <w:rFonts w:ascii="Arial" w:cs="Arial" w:eastAsia="Arial" w:hAnsi="Arial"/>
          <w:sz w:val="17"/>
          <w:szCs w:val="17"/>
          <w:color w:val="auto"/>
        </w:rPr>
        <w:t xml:space="preserve"> (including information specifically incorporated by reference into such Annual Report on Form 10-K from our Proxy Statement for our 2021 Annual Meeting of Stockholders filed on </w:t>
      </w:r>
      <w:hyperlink r:id="rId115">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16">
        <w:r>
          <w:rPr>
            <w:rFonts w:ascii="Arial" w:cs="Arial" w:eastAsia="Arial" w:hAnsi="Arial"/>
            <w:sz w:val="18"/>
            <w:szCs w:val="18"/>
            <w:u w:val="single" w:color="auto"/>
            <w:color w:val="0000EE"/>
          </w:rPr>
          <w:t>February 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7">
        <w:r>
          <w:rPr>
            <w:rFonts w:ascii="Arial" w:cs="Arial" w:eastAsia="Arial" w:hAnsi="Arial"/>
            <w:sz w:val="18"/>
            <w:szCs w:val="18"/>
            <w:u w:val="single" w:color="auto"/>
            <w:color w:val="0000EE"/>
          </w:rPr>
          <w:t>March 4,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right="619" w:firstLine="360"/>
        <w:spacing w:after="0" w:line="311" w:lineRule="auto"/>
        <w:rPr>
          <w:sz w:val="20"/>
          <w:szCs w:val="20"/>
          <w:color w:val="auto"/>
        </w:rPr>
      </w:pPr>
      <w:r>
        <w:rPr>
          <w:rFonts w:ascii="Arial" w:cs="Arial" w:eastAsia="Arial" w:hAnsi="Arial"/>
          <w:sz w:val="16"/>
          <w:szCs w:val="16"/>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41" w:lineRule="exact"/>
        <w:rPr>
          <w:rFonts w:ascii="Arial" w:cs="Arial" w:eastAsia="Arial" w:hAnsi="Arial"/>
          <w:sz w:val="18"/>
          <w:szCs w:val="18"/>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spacing w:after="0" w:line="80" w:lineRule="exact"/>
        <w:rPr>
          <w:rFonts w:ascii="Arial" w:cs="Arial" w:eastAsia="Arial" w:hAnsi="Arial"/>
          <w:sz w:val="18"/>
          <w:szCs w:val="18"/>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4421505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4232910</wp:posOffset>
            </wp:positionV>
            <wp:extent cx="5212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4284345</wp:posOffset>
            </wp:positionV>
            <wp:extent cx="521208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3272790</wp:posOffset>
            </wp:positionV>
            <wp:extent cx="2768600" cy="685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768600" cy="6858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or the SEC, registration fee and the Financial Industry Regulatory Authority Inc., or FINRA, filing fee.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(dollars in thousands)</w:t>
      </w:r>
    </w:p>
    <w:p>
      <w:pPr>
        <w:spacing w:after="0" w:line="78" w:lineRule="exact"/>
        <w:rPr>
          <w:sz w:val="20"/>
          <w:szCs w:val="20"/>
          <w:color w:val="auto"/>
        </w:rPr>
      </w:pPr>
    </w:p>
    <w:tbl>
      <w:tblPr>
        <w:tblLayout w:type="fixed"/>
        <w:tblInd w:w="300" w:type="dxa"/>
        <w:tblCellMar>
          <w:top w:w="0" w:type="dxa"/>
          <w:left w:w="0" w:type="dxa"/>
          <w:bottom w:w="0" w:type="dxa"/>
          <w:right w:w="0" w:type="dxa"/>
        </w:tblCellMar>
      </w:tblPr>
      <w:tr>
        <w:trPr>
          <w:trHeight w:val="31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$ 53,513</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FINRA filing fee</w:t>
            </w:r>
          </w:p>
        </w:tc>
        <w:tc>
          <w:tcPr>
            <w:tcW w:w="680" w:type="dxa"/>
            <w:vAlign w:val="bottom"/>
          </w:tcPr>
          <w:p>
            <w:pPr>
              <w:jc w:val="right"/>
              <w:spacing w:after="0"/>
              <w:rPr>
                <w:sz w:val="20"/>
                <w:szCs w:val="20"/>
                <w:color w:val="auto"/>
              </w:rPr>
            </w:pPr>
            <w:r>
              <w:rPr>
                <w:rFonts w:ascii="Arial" w:cs="Arial" w:eastAsia="Arial" w:hAnsi="Arial"/>
                <w:sz w:val="18"/>
                <w:szCs w:val="18"/>
                <w:color w:val="auto"/>
              </w:rPr>
              <w:t>74,073</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325,000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Blue Sky fees and expenses (including legal fees)</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61"/>
        </w:trPr>
        <w:tc>
          <w:tcPr>
            <w:tcW w:w="77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720,586</w:t>
            </w:r>
          </w:p>
        </w:tc>
      </w:tr>
    </w:tbl>
    <w:p>
      <w:pPr>
        <w:spacing w:after="0" w:line="25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6"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68"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4" w:lineRule="exact"/>
        <w:rPr>
          <w:sz w:val="20"/>
          <w:szCs w:val="20"/>
          <w:color w:val="auto"/>
        </w:rPr>
      </w:pPr>
    </w:p>
    <w:p>
      <w:pPr>
        <w:jc w:val="both"/>
        <w:ind w:left="300" w:right="879" w:firstLine="360"/>
        <w:spacing w:after="0" w:line="263"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8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Securities</w:t>
      </w:r>
    </w:p>
    <w:p>
      <w:pPr>
        <w:spacing w:after="0" w:line="12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w:t>
      </w:r>
    </w:p>
    <w:p>
      <w:pPr>
        <w:spacing w:after="0" w:line="117"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 Grants and Vesting</w:t>
      </w:r>
    </w:p>
    <w:p>
      <w:pPr>
        <w:spacing w:after="0" w:line="117"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From October 1, 2020 to May 3, 2021, we issued 889,089 shares of our common stock upon settlement of certain vested restricted stock units that were granted under the 2011 Equity Plan.</w:t>
      </w:r>
    </w:p>
    <w:p>
      <w:pPr>
        <w:spacing w:after="0" w:line="62"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The issuances of restricted stock units and the shares of common stock issuable upon the settlement of restricted stock units described in this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17"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See the Exhibit Index immediately preceding the signature pages hereto, which is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5759" w:hanging="8"/>
        <w:spacing w:after="0" w:line="465" w:lineRule="auto"/>
        <w:tabs>
          <w:tab w:leader="none" w:pos="10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00" w:right="339" w:hanging="348"/>
        <w:spacing w:after="0" w:line="26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3" w:lineRule="exact"/>
        <w:rPr>
          <w:rFonts w:ascii="Arial" w:cs="Arial" w:eastAsia="Arial" w:hAnsi="Arial"/>
          <w:sz w:val="17"/>
          <w:szCs w:val="17"/>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360" w:right="399" w:hanging="348"/>
        <w:spacing w:after="0" w:line="257"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79" w:lineRule="exact"/>
        <w:rPr>
          <w:rFonts w:ascii="Arial" w:cs="Arial" w:eastAsia="Arial" w:hAnsi="Arial"/>
          <w:sz w:val="18"/>
          <w:szCs w:val="18"/>
          <w:color w:val="auto"/>
        </w:rPr>
      </w:pPr>
    </w:p>
    <w:p>
      <w:pPr>
        <w:ind w:left="1360" w:right="399" w:hanging="348"/>
        <w:spacing w:after="0" w:line="259"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ind w:left="30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5"/>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40" w:type="dxa"/>
            <w:vAlign w:val="bottom"/>
            <w:gridSpan w:val="3"/>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2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Certificate of Incorporation of the Registrant (incorporated by reference to Exhibit</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3.1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2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Bylaws of the Registrant (incorporated by reference to Exhibit 3.2 to the</w:t>
            </w:r>
          </w:p>
        </w:tc>
        <w:tc>
          <w:tcPr>
            <w:tcW w:w="0" w:type="dxa"/>
            <w:vAlign w:val="bottom"/>
          </w:tcPr>
          <w:p>
            <w:pPr>
              <w:spacing w:after="0"/>
              <w:rPr>
                <w:sz w:val="1"/>
                <w:szCs w:val="1"/>
                <w:color w:val="auto"/>
              </w:rPr>
            </w:pPr>
          </w:p>
        </w:tc>
      </w:tr>
      <w:tr>
        <w:trPr>
          <w:trHeight w:val="257"/>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3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Amendment to the Registration Rights Agreement, dated as of October 6, 2020, by and among the</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Registrant, Allstar LLC and New Academy Holding Company, LLC (incorporated by reference to Exhibit</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4.1 to the Registrant’s Current Report on Form 8-K filed on October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gridSpan w:val="2"/>
            <w:shd w:val="clear" w:color="auto" w:fill="CCEEFF"/>
          </w:tcPr>
          <w:p>
            <w:pPr>
              <w:spacing w:after="0"/>
              <w:rPr>
                <w:rFonts w:ascii="Arial" w:cs="Arial" w:eastAsia="Arial" w:hAnsi="Arial"/>
                <w:sz w:val="18"/>
                <w:szCs w:val="18"/>
                <w:color w:val="0000EE"/>
              </w:rPr>
            </w:pPr>
            <w:hyperlink r:id="rId1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Indenture, dated as of November 6, 2020, by and among Academy, Ltd., as issuer, the guarantors named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therein and The Bank of New York Mellon Trust Company, N.A., as trustee and notes collateral agent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4.1 to the Registrant’s Current Report on Form 8-K filed on</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Amended and Restated Credit Agreement, dated as of November 6, 2020, among Academy, Ltd.,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as Borrower, New Academy Holding Company, LLC, as Holdings, Associated Investors L.L.C. and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Academy Managing Co., L.L.C., as Texas Intermediate Holdcos, the several lenders from time to time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party thereto, Credit Suisse AG, Cayman Islands Branch, as the administrative agent and collateral agent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and the several other parties named therein (incorporated by reference to Exhibit 10.1 to the Registrant’s</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November 6, 2020 (File No. 001-39589)).</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Term Loan Security Agreement, dated as of July 2, 2015, among Academy, Ltd.,</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as Borrower, each of the subsidiaries listed on the signature pages thereto, and Morgan Stanley Senior</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Funding, Inc., as collateral agent for the benefit of the secured parties (incorporated by reference to</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Exhibit 10.2 to the Registrant’s Registration Statement on Form S-1 filed on September 23, 2020 (File</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 333-248683)).</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Amended and Restated Term Loan Pledge Agreement, dated as of July 2, 2015, among New Academy</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Holding Company, LLC, as Holdings, Associated Investors L.L.C. and Academy Managing Co., L.L.C,</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as Texas Intermediate Holdcos, Academy, Ltd., as Borrower, each of the subsidiaries listed on the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secured parties (incorporated by reference to Exhibit 10.3 to the Registrant’s Registration Statement on</w:t>
            </w:r>
          </w:p>
        </w:tc>
        <w:tc>
          <w:tcPr>
            <w:tcW w:w="0" w:type="dxa"/>
            <w:vAlign w:val="bottom"/>
          </w:tcPr>
          <w:p>
            <w:pPr>
              <w:spacing w:after="0"/>
              <w:rPr>
                <w:sz w:val="1"/>
                <w:szCs w:val="1"/>
                <w:color w:val="auto"/>
              </w:rPr>
            </w:pPr>
          </w:p>
        </w:tc>
      </w:tr>
      <w:tr>
        <w:trPr>
          <w:trHeight w:val="251"/>
        </w:trPr>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filed on September 23, 2020 (File No. 333-248683)).</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gridSpan w:val="3"/>
            <w:shd w:val="clear" w:color="auto" w:fill="CCEEFF"/>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ABL Intercreditor Agreement, dated July 2, 2015, among JPMorgan Chase Bank, N.A., as agent for the</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ABL Secured Parties referred to therein, Morgan Stanley Senior Funding, Inc., as administrative agent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and collateral agent for the Term Loan Secured Parties referred to therein, New Academy Holding</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 LLC, as Holdings, Associated Investors L.L.C. and Academy Managing Co., L.L.C, as Texas</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Intermediate Holdcos, Academy, Ltd., as Borrower, and each of the subsidiaries of the Borrower listed on</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the signature pages thereto (incorporated by reference to Exhibit 10.4 to the Registrant’s Registration</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Statement on Form S-1 filed on September 23, 2020 (File No. 333-248683)).</w:t>
            </w:r>
          </w:p>
        </w:tc>
        <w:tc>
          <w:tcPr>
            <w:tcW w:w="0" w:type="dxa"/>
            <w:vAlign w:val="bottom"/>
          </w:tcPr>
          <w:p>
            <w:pPr>
              <w:spacing w:after="0"/>
              <w:rPr>
                <w:sz w:val="1"/>
                <w:szCs w:val="1"/>
                <w:color w:val="auto"/>
              </w:rPr>
            </w:pPr>
          </w:p>
        </w:tc>
      </w:tr>
      <w:tr>
        <w:trPr>
          <w:trHeight w:val="40"/>
        </w:trPr>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-7311390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1" w:name="page62"/>
    <w:bookmarkEnd w:id="61"/>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900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349240" cy="900430"/>
                    </a:xfrm>
                    <a:prstGeom prst="rect">
                      <a:avLst/>
                    </a:prstGeom>
                    <a:noFill/>
                  </pic:spPr>
                </pic:pic>
              </a:graphicData>
            </a:graphic>
          </wp:anchor>
        </w:drawing>
      </w:r>
    </w:p>
    <w:p>
      <w:pPr>
        <w:spacing w:after="0" w:line="99" w:lineRule="exact"/>
        <w:rPr>
          <w:sz w:val="20"/>
          <w:szCs w:val="20"/>
          <w:color w:val="auto"/>
        </w:rPr>
      </w:pPr>
    </w:p>
    <w:p>
      <w:pPr>
        <w:ind w:left="1040" w:right="339" w:hanging="755"/>
        <w:spacing w:after="0" w:line="255" w:lineRule="auto"/>
        <w:tabs>
          <w:tab w:leader="none" w:pos="1020" w:val="left"/>
        </w:tabs>
        <w:rPr>
          <w:rFonts w:ascii="Arial" w:cs="Arial" w:eastAsia="Arial" w:hAnsi="Arial"/>
          <w:sz w:val="18"/>
          <w:szCs w:val="18"/>
          <w:color w:val="0000EE"/>
        </w:rPr>
      </w:pPr>
      <w:hyperlink r:id="rId139">
        <w:r>
          <w:rPr>
            <w:rFonts w:ascii="Arial" w:cs="Arial" w:eastAsia="Arial" w:hAnsi="Arial"/>
            <w:sz w:val="18"/>
            <w:szCs w:val="18"/>
            <w:u w:val="single" w:color="auto"/>
            <w:color w:val="0000EE"/>
          </w:rPr>
          <w:t>10.5</w:t>
        </w:r>
      </w:hyperlink>
      <w:r>
        <w:rPr>
          <w:rFonts w:ascii="Arial" w:cs="Arial" w:eastAsia="Arial" w:hAnsi="Arial"/>
          <w:sz w:val="18"/>
          <w:szCs w:val="18"/>
          <w:color w:val="0000EE"/>
        </w:rPr>
        <w:tab/>
        <w:t>Joinder to ABL Intercreditor Agreement, dated November 6, 2020, among JPMorgan Chase Bank, N.A., as agent for the ABL Secured Parties referred to therein, Credit Suisse AG, Cayman Islands Branch, as agent for the Term Loan Secured Parties referred to therein, and The Bank of New York Mellon Trust Company, N.A., as collateral agent for the Additional Debt Secured Parties referred to therein (incorporated by reference to Exhibit 10.5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6000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5349240" cy="600075"/>
                    </a:xfrm>
                    <a:prstGeom prst="rect">
                      <a:avLst/>
                    </a:prstGeom>
                    <a:noFill/>
                  </pic:spPr>
                </pic:pic>
              </a:graphicData>
            </a:graphic>
          </wp:anchor>
        </w:drawing>
      </w:r>
    </w:p>
    <w:p>
      <w:pPr>
        <w:spacing w:after="0" w:line="334" w:lineRule="exact"/>
        <w:rPr>
          <w:sz w:val="20"/>
          <w:szCs w:val="20"/>
          <w:color w:val="auto"/>
        </w:rPr>
      </w:pPr>
    </w:p>
    <w:p>
      <w:pPr>
        <w:jc w:val="both"/>
        <w:ind w:left="1040" w:right="419" w:hanging="755"/>
        <w:spacing w:after="0" w:line="301" w:lineRule="auto"/>
        <w:tabs>
          <w:tab w:leader="none" w:pos="1020" w:val="left"/>
        </w:tabs>
        <w:rPr>
          <w:rFonts w:ascii="Arial" w:cs="Arial" w:eastAsia="Arial" w:hAnsi="Arial"/>
          <w:sz w:val="18"/>
          <w:szCs w:val="18"/>
          <w:color w:val="0000EE"/>
        </w:rPr>
      </w:pPr>
      <w:hyperlink r:id="rId141">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6"/>
          <w:szCs w:val="16"/>
          <w:color w:val="0000EE"/>
        </w:rPr>
        <w:t>Joinder to ABL Intercreditor Agreement, dated November 6, 2020, among JPMorgan Chase Bank, N.A., as agent for the ABL Secured Parties referred to therein, and Credit Suisse AG, Cayman Islands Branch, as agent for the Term Loan Secured Parties referred to therein (incorporated by reference to Exhibit 10.6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5349240" cy="874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299" w:lineRule="exact"/>
        <w:rPr>
          <w:sz w:val="20"/>
          <w:szCs w:val="20"/>
          <w:color w:val="auto"/>
        </w:rPr>
      </w:pPr>
    </w:p>
    <w:p>
      <w:pPr>
        <w:ind w:left="1040" w:right="299" w:hanging="755"/>
        <w:spacing w:after="0" w:line="293" w:lineRule="auto"/>
        <w:tabs>
          <w:tab w:leader="none" w:pos="1020" w:val="left"/>
        </w:tabs>
        <w:rPr>
          <w:rFonts w:ascii="Arial" w:cs="Arial" w:eastAsia="Arial" w:hAnsi="Arial"/>
          <w:sz w:val="18"/>
          <w:szCs w:val="18"/>
          <w:color w:val="0000EE"/>
        </w:rPr>
      </w:pPr>
      <w:hyperlink r:id="rId143">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First Lien Intercreditor Agreement, dated November 6, 2020, among Credit Suisse AG, Cayman Islands Branch, as First Lien Collateral Agent and Authorized Representative for the Credit Agreement Secured Parties referred to therein, The Bank of New York Mellon Trust Company, N.A., as Initial Additional First Lien Collateral Agent and Initial Additional Authorized Representative, and each of the subsidiaries of the Borrower listed on the signature pages thereto (incorporated by reference to Exhibit 10.7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190500</wp:posOffset>
            </wp:positionV>
            <wp:extent cx="5349240" cy="874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306" w:lineRule="exact"/>
        <w:rPr>
          <w:sz w:val="20"/>
          <w:szCs w:val="20"/>
          <w:color w:val="auto"/>
        </w:rPr>
      </w:pPr>
    </w:p>
    <w:p>
      <w:pPr>
        <w:ind w:left="1040" w:right="339" w:hanging="755"/>
        <w:spacing w:after="0" w:line="293" w:lineRule="auto"/>
        <w:tabs>
          <w:tab w:leader="none" w:pos="1020" w:val="left"/>
        </w:tabs>
        <w:rPr>
          <w:rFonts w:ascii="Arial" w:cs="Arial" w:eastAsia="Arial" w:hAnsi="Arial"/>
          <w:sz w:val="18"/>
          <w:szCs w:val="18"/>
          <w:color w:val="0000EE"/>
        </w:rPr>
      </w:pPr>
      <w:hyperlink r:id="rId145">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190500</wp:posOffset>
            </wp:positionV>
            <wp:extent cx="5349240" cy="10115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5349240" cy="1011555"/>
                    </a:xfrm>
                    <a:prstGeom prst="rect">
                      <a:avLst/>
                    </a:prstGeom>
                    <a:noFill/>
                  </pic:spPr>
                </pic:pic>
              </a:graphicData>
            </a:graphic>
          </wp:anchor>
        </w:drawing>
      </w:r>
    </w:p>
    <w:p>
      <w:pPr>
        <w:spacing w:after="0" w:line="306" w:lineRule="exact"/>
        <w:rPr>
          <w:sz w:val="20"/>
          <w:szCs w:val="20"/>
          <w:color w:val="auto"/>
        </w:rPr>
      </w:pPr>
    </w:p>
    <w:p>
      <w:pPr>
        <w:ind w:left="1040" w:right="339" w:hanging="755"/>
        <w:spacing w:after="0" w:line="254" w:lineRule="auto"/>
        <w:tabs>
          <w:tab w:leader="none" w:pos="1020" w:val="left"/>
        </w:tabs>
        <w:rPr>
          <w:rFonts w:ascii="Arial" w:cs="Arial" w:eastAsia="Arial" w:hAnsi="Arial"/>
          <w:sz w:val="18"/>
          <w:szCs w:val="18"/>
          <w:color w:val="0000EE"/>
        </w:rPr>
      </w:pPr>
      <w:hyperlink r:id="rId147">
        <w:r>
          <w:rPr>
            <w:rFonts w:ascii="Arial" w:cs="Arial" w:eastAsia="Arial" w:hAnsi="Arial"/>
            <w:sz w:val="18"/>
            <w:szCs w:val="18"/>
            <w:u w:val="single" w:color="auto"/>
            <w:color w:val="0000EE"/>
          </w:rPr>
          <w:t>10.9</w:t>
        </w:r>
      </w:hyperlink>
      <w:r>
        <w:rPr>
          <w:rFonts w:ascii="Arial" w:cs="Arial" w:eastAsia="Arial" w:hAnsi="Arial"/>
          <w:sz w:val="18"/>
          <w:szCs w:val="18"/>
          <w:color w:val="0000EE"/>
        </w:rPr>
        <w:tab/>
        <w:t>Amendment No. 1 to First Amended and Restated ABL Credit Agreement, dated as of May 22, 2018, among Academy, Ltd., as Borrower, New Academy Holding Company, LLC, as Holdings, Associated Investors L.L.C. and Academy Managing Co., L.L.C, as Texas Intermediate Holdcos, each of the Guarantors party thereto, each of the lenders party thereto and JPMorgan Chase Bank, N.A., as the Administrative Agent, the Collateral Agent, the Letter of Credit Issuer and the Swingline Lender (incorporated by reference to Exhibit 10.6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209550</wp:posOffset>
            </wp:positionV>
            <wp:extent cx="5349240" cy="874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337" w:lineRule="exact"/>
        <w:rPr>
          <w:sz w:val="20"/>
          <w:szCs w:val="20"/>
          <w:color w:val="auto"/>
        </w:rPr>
      </w:pPr>
    </w:p>
    <w:p>
      <w:pPr>
        <w:ind w:left="1040" w:right="319" w:hanging="755"/>
        <w:spacing w:after="0" w:line="273" w:lineRule="auto"/>
        <w:tabs>
          <w:tab w:leader="none" w:pos="1020" w:val="left"/>
        </w:tabs>
        <w:rPr>
          <w:rFonts w:ascii="Arial" w:cs="Arial" w:eastAsia="Arial" w:hAnsi="Arial"/>
          <w:sz w:val="18"/>
          <w:szCs w:val="18"/>
          <w:color w:val="0000EE"/>
        </w:rPr>
      </w:pPr>
      <w:hyperlink r:id="rId149">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7"/>
          <w:szCs w:val="17"/>
          <w:color w:val="0000EE"/>
        </w:rPr>
        <w:t>Amendment No. 2 to First Amended and Restated ABL Credit Agreement, dated as of November 6, 2020, among Academy, Ltd., as Borrower, New Academy Holding Company, LLC, as Holdings, Associated Investors, L.L.C. and Academy Managing Co., L.L.C., as Texas Intermediate Holdcos, the several lenders from time to time party thereto, JPMorgan Chase Bank, N.A., as the letter of credit issuer, administrative agent and collateral agent (incorporated by reference to Exhibit 10.2 to the Registrant’s Current Report on Form 8-K filed on November 6,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199390</wp:posOffset>
            </wp:positionV>
            <wp:extent cx="5349240" cy="6000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5349240" cy="600075"/>
                    </a:xfrm>
                    <a:prstGeom prst="rect">
                      <a:avLst/>
                    </a:prstGeom>
                    <a:noFill/>
                  </pic:spPr>
                </pic:pic>
              </a:graphicData>
            </a:graphic>
          </wp:anchor>
        </w:drawing>
      </w:r>
    </w:p>
    <w:p>
      <w:pPr>
        <w:spacing w:after="0" w:line="320" w:lineRule="exact"/>
        <w:rPr>
          <w:sz w:val="20"/>
          <w:szCs w:val="20"/>
          <w:color w:val="auto"/>
        </w:rPr>
      </w:pPr>
    </w:p>
    <w:p>
      <w:pPr>
        <w:ind w:left="1040" w:right="359" w:hanging="755"/>
        <w:spacing w:after="0" w:line="301" w:lineRule="auto"/>
        <w:tabs>
          <w:tab w:leader="none" w:pos="1020" w:val="left"/>
        </w:tabs>
        <w:rPr>
          <w:rFonts w:ascii="Arial" w:cs="Arial" w:eastAsia="Arial" w:hAnsi="Arial"/>
          <w:sz w:val="18"/>
          <w:szCs w:val="18"/>
          <w:color w:val="0000EE"/>
        </w:rPr>
      </w:pPr>
      <w:hyperlink r:id="rId151">
        <w:r>
          <w:rPr>
            <w:rFonts w:ascii="Arial" w:cs="Arial" w:eastAsia="Arial" w:hAnsi="Arial"/>
            <w:sz w:val="18"/>
            <w:szCs w:val="18"/>
            <w:u w:val="single" w:color="auto"/>
            <w:color w:val="0000EE"/>
          </w:rPr>
          <w:t>10.11</w:t>
        </w:r>
      </w:hyperlink>
      <w:r>
        <w:rPr>
          <w:rFonts w:ascii="Arial" w:cs="Arial" w:eastAsia="Arial" w:hAnsi="Arial"/>
          <w:sz w:val="18"/>
          <w:szCs w:val="18"/>
          <w:color w:val="0000EE"/>
        </w:rPr>
        <w:tab/>
      </w:r>
      <w:r>
        <w:rPr>
          <w:rFonts w:ascii="Arial" w:cs="Arial" w:eastAsia="Arial" w:hAnsi="Arial"/>
          <w:sz w:val="16"/>
          <w:szCs w:val="16"/>
          <w:color w:val="0000EE"/>
        </w:rPr>
        <w:t>Amended and Restated ABL Security Agreement, dated as of July 2, 2015, among Academy, Ltd., as Borrower, each of the subsidiaries listed on the signature pages thereto, and JPMorgan Chase Bank, N.A., as collateral agent for the benefit of the secured parties (incorporated by reference to Exhibit 10.7 to the Registrant’s Registration Statement on Form S-1 filed on September 23, 2020 (File No. 333-248683)).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900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5349240" cy="900430"/>
                    </a:xfrm>
                    <a:prstGeom prst="rect">
                      <a:avLst/>
                    </a:prstGeom>
                    <a:noFill/>
                  </pic:spPr>
                </pic:pic>
              </a:graphicData>
            </a:graphic>
          </wp:anchor>
        </w:drawing>
      </w:r>
    </w:p>
    <w:p>
      <w:pPr>
        <w:spacing w:after="0" w:line="99" w:lineRule="exact"/>
        <w:rPr>
          <w:sz w:val="20"/>
          <w:szCs w:val="20"/>
          <w:color w:val="auto"/>
        </w:rPr>
      </w:pPr>
    </w:p>
    <w:p>
      <w:pPr>
        <w:ind w:left="1040" w:right="339" w:hanging="755"/>
        <w:spacing w:after="0" w:line="255" w:lineRule="auto"/>
        <w:tabs>
          <w:tab w:leader="none" w:pos="1020" w:val="left"/>
        </w:tabs>
        <w:rPr>
          <w:rFonts w:ascii="Arial" w:cs="Arial" w:eastAsia="Arial" w:hAnsi="Arial"/>
          <w:sz w:val="18"/>
          <w:szCs w:val="18"/>
          <w:color w:val="0000EE"/>
        </w:rPr>
      </w:pPr>
      <w:hyperlink r:id="rId154">
        <w:r>
          <w:rPr>
            <w:rFonts w:ascii="Arial" w:cs="Arial" w:eastAsia="Arial" w:hAnsi="Arial"/>
            <w:sz w:val="18"/>
            <w:szCs w:val="18"/>
            <w:u w:val="single" w:color="auto"/>
            <w:color w:val="0000EE"/>
          </w:rPr>
          <w:t>10.12</w:t>
        </w:r>
      </w:hyperlink>
      <w:r>
        <w:rPr>
          <w:rFonts w:ascii="Arial" w:cs="Arial" w:eastAsia="Arial" w:hAnsi="Arial"/>
          <w:sz w:val="18"/>
          <w:szCs w:val="18"/>
          <w:color w:val="0000EE"/>
        </w:rPr>
        <w:tab/>
        <w:t>Amended and Restated ABL Pledge Agreement, dated July 2, 2015, among New Academy Holding Company, LLC, as Holdings, Associated Investors L.L.C. and Academy Managing Co., L.L.C, as Texas Intermediate Holdcos, Academy, Ltd., as Borrower, each of the subsidiaries listed on the signature pages thereto and JPMorgan Chase Bank, N.A., as collateral agent for the benefit of the secured parties (incorporated by reference to Exhibit 10.8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737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334" w:lineRule="exact"/>
        <w:rPr>
          <w:sz w:val="20"/>
          <w:szCs w:val="20"/>
          <w:color w:val="auto"/>
        </w:rPr>
      </w:pPr>
    </w:p>
    <w:p>
      <w:pPr>
        <w:ind w:left="1040" w:right="299" w:hanging="755"/>
        <w:spacing w:after="0" w:line="257" w:lineRule="auto"/>
        <w:tabs>
          <w:tab w:leader="none" w:pos="1020" w:val="left"/>
        </w:tabs>
        <w:rPr>
          <w:rFonts w:ascii="Arial" w:cs="Arial" w:eastAsia="Arial" w:hAnsi="Arial"/>
          <w:sz w:val="18"/>
          <w:szCs w:val="18"/>
          <w:color w:val="0000EE"/>
        </w:rPr>
      </w:pPr>
      <w:hyperlink r:id="rId156">
        <w:r>
          <w:rPr>
            <w:rFonts w:ascii="Arial" w:cs="Arial" w:eastAsia="Arial" w:hAnsi="Arial"/>
            <w:sz w:val="18"/>
            <w:szCs w:val="18"/>
            <w:u w:val="single" w:color="auto"/>
            <w:color w:val="0000EE"/>
          </w:rPr>
          <w:t>10.13</w:t>
        </w:r>
      </w:hyperlink>
      <w:r>
        <w:rPr>
          <w:rFonts w:ascii="Arial" w:cs="Arial" w:eastAsia="Arial" w:hAnsi="Arial"/>
          <w:sz w:val="18"/>
          <w:szCs w:val="18"/>
          <w:color w:val="0000EE"/>
        </w:rPr>
        <w:tab/>
        <w:t>Notes Security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10.13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737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330" w:lineRule="exact"/>
        <w:rPr>
          <w:sz w:val="20"/>
          <w:szCs w:val="20"/>
          <w:color w:val="auto"/>
        </w:rPr>
      </w:pPr>
    </w:p>
    <w:p>
      <w:pPr>
        <w:ind w:left="1040" w:right="299" w:hanging="755"/>
        <w:spacing w:after="0" w:line="257" w:lineRule="auto"/>
        <w:tabs>
          <w:tab w:leader="none" w:pos="1020" w:val="left"/>
        </w:tabs>
        <w:rPr>
          <w:rFonts w:ascii="Arial" w:cs="Arial" w:eastAsia="Arial" w:hAnsi="Arial"/>
          <w:sz w:val="18"/>
          <w:szCs w:val="18"/>
          <w:color w:val="0000EE"/>
        </w:rPr>
      </w:pPr>
      <w:hyperlink r:id="rId158">
        <w:r>
          <w:rPr>
            <w:rFonts w:ascii="Arial" w:cs="Arial" w:eastAsia="Arial" w:hAnsi="Arial"/>
            <w:sz w:val="18"/>
            <w:szCs w:val="18"/>
            <w:u w:val="single" w:color="auto"/>
            <w:color w:val="0000EE"/>
          </w:rPr>
          <w:t>10.14</w:t>
        </w:r>
      </w:hyperlink>
      <w:r>
        <w:rPr>
          <w:rFonts w:ascii="Arial" w:cs="Arial" w:eastAsia="Arial" w:hAnsi="Arial"/>
          <w:sz w:val="18"/>
          <w:szCs w:val="18"/>
          <w:color w:val="0000EE"/>
        </w:rPr>
        <w:tab/>
        <w:t>Notes Pledge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10.14 to the Registrant’s Registration Statement on Form S-1 filed on January 25, 2021 (File No. 333-252390).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534924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30" w:lineRule="exact"/>
        <w:rPr>
          <w:sz w:val="20"/>
          <w:szCs w:val="20"/>
          <w:color w:val="auto"/>
        </w:rPr>
      </w:pPr>
    </w:p>
    <w:p>
      <w:pPr>
        <w:ind w:left="1040" w:right="659" w:hanging="755"/>
        <w:spacing w:after="0" w:line="277" w:lineRule="auto"/>
        <w:tabs>
          <w:tab w:leader="none" w:pos="1020" w:val="left"/>
        </w:tabs>
        <w:rPr>
          <w:rFonts w:ascii="Arial" w:cs="Arial" w:eastAsia="Arial" w:hAnsi="Arial"/>
          <w:sz w:val="18"/>
          <w:szCs w:val="18"/>
          <w:color w:val="0000EE"/>
        </w:rPr>
      </w:pPr>
      <w:hyperlink r:id="rId160">
        <w:r>
          <w:rPr>
            <w:rFonts w:ascii="Arial" w:cs="Arial" w:eastAsia="Arial" w:hAnsi="Arial"/>
            <w:sz w:val="18"/>
            <w:szCs w:val="18"/>
            <w:u w:val="single" w:color="auto"/>
            <w:color w:val="0000EE"/>
          </w:rPr>
          <w:t>10.15†</w:t>
        </w:r>
      </w:hyperlink>
      <w:r>
        <w:rPr>
          <w:rFonts w:ascii="Arial" w:cs="Arial" w:eastAsia="Arial" w:hAnsi="Arial"/>
          <w:sz w:val="18"/>
          <w:szCs w:val="18"/>
          <w:color w:val="0000EE"/>
        </w:rPr>
        <w:tab/>
        <w:t>2020 Omnibus Incentive Plan (incorporated by reference to Exhibit 10.2 to the Registrant’s Quarterly Report on Form 10-Q filed on December 10,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462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12" w:lineRule="exact"/>
        <w:rPr>
          <w:sz w:val="20"/>
          <w:szCs w:val="20"/>
          <w:color w:val="auto"/>
        </w:rPr>
      </w:pPr>
    </w:p>
    <w:p>
      <w:pPr>
        <w:ind w:left="1040" w:right="479" w:hanging="755"/>
        <w:spacing w:after="0" w:line="263" w:lineRule="auto"/>
        <w:tabs>
          <w:tab w:leader="none" w:pos="1020" w:val="left"/>
        </w:tabs>
        <w:rPr>
          <w:rFonts w:ascii="Arial" w:cs="Arial" w:eastAsia="Arial" w:hAnsi="Arial"/>
          <w:sz w:val="18"/>
          <w:szCs w:val="18"/>
          <w:color w:val="0000EE"/>
        </w:rPr>
      </w:pPr>
      <w:hyperlink r:id="rId162">
        <w:r>
          <w:rPr>
            <w:rFonts w:ascii="Arial" w:cs="Arial" w:eastAsia="Arial" w:hAnsi="Arial"/>
            <w:sz w:val="18"/>
            <w:szCs w:val="18"/>
            <w:u w:val="single" w:color="auto"/>
            <w:color w:val="0000EE"/>
          </w:rPr>
          <w:t>10.16†</w:t>
        </w:r>
      </w:hyperlink>
      <w:r>
        <w:rPr>
          <w:rFonts w:ascii="Arial" w:cs="Arial" w:eastAsia="Arial" w:hAnsi="Arial"/>
          <w:sz w:val="18"/>
          <w:szCs w:val="18"/>
          <w:color w:val="0000EE"/>
        </w:rPr>
        <w:tab/>
        <w:t>Form of Time-Based Option Agreement under 2020 Omnibus Incentive Plan (incorporated by reference to Exhibit 10.10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519" w:hanging="755"/>
        <w:spacing w:after="0" w:line="286" w:lineRule="auto"/>
        <w:tabs>
          <w:tab w:leader="none" w:pos="1020" w:val="left"/>
        </w:tabs>
        <w:rPr>
          <w:rFonts w:ascii="Arial" w:cs="Arial" w:eastAsia="Arial" w:hAnsi="Arial"/>
          <w:sz w:val="18"/>
          <w:szCs w:val="18"/>
          <w:color w:val="0000EE"/>
        </w:rPr>
      </w:pPr>
      <w:hyperlink r:id="rId164">
        <w:r>
          <w:rPr>
            <w:rFonts w:ascii="Arial" w:cs="Arial" w:eastAsia="Arial" w:hAnsi="Arial"/>
            <w:sz w:val="18"/>
            <w:szCs w:val="18"/>
            <w:u w:val="single" w:color="auto"/>
            <w:color w:val="0000EE"/>
          </w:rPr>
          <w:t>10.17†</w:t>
        </w:r>
      </w:hyperlink>
      <w:r>
        <w:rPr>
          <w:rFonts w:ascii="Arial" w:cs="Arial" w:eastAsia="Arial" w:hAnsi="Arial"/>
          <w:sz w:val="18"/>
          <w:szCs w:val="18"/>
          <w:color w:val="0000EE"/>
        </w:rPr>
        <w:tab/>
      </w:r>
      <w:r>
        <w:rPr>
          <w:rFonts w:ascii="Arial" w:cs="Arial" w:eastAsia="Arial" w:hAnsi="Arial"/>
          <w:sz w:val="17"/>
          <w:szCs w:val="17"/>
          <w:color w:val="0000EE"/>
        </w:rPr>
        <w:t>Form of Non-Employee Director Restricted Stock Unit Agreement under 2020 Omnibus Incentive Plan (incorporated by reference to Exhibit 10.11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ind w:left="1040" w:right="439" w:hanging="755"/>
        <w:spacing w:after="0" w:line="286" w:lineRule="auto"/>
        <w:tabs>
          <w:tab w:leader="none" w:pos="1020" w:val="left"/>
        </w:tabs>
        <w:rPr>
          <w:rFonts w:ascii="Arial" w:cs="Arial" w:eastAsia="Arial" w:hAnsi="Arial"/>
          <w:sz w:val="18"/>
          <w:szCs w:val="18"/>
          <w:color w:val="0000EE"/>
        </w:rPr>
      </w:pPr>
      <w:hyperlink r:id="rId166">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7"/>
          <w:szCs w:val="17"/>
          <w:color w:val="0000EE"/>
        </w:rPr>
        <w:t>2020 Form of Performance-Based Restricted Stock Unit Agreement under 2020 Omnibus Incentive Plan (incorporated by reference to Exhibit 10.12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ind w:left="1040" w:right="439" w:hanging="755"/>
        <w:spacing w:after="0" w:line="263" w:lineRule="auto"/>
        <w:tabs>
          <w:tab w:leader="none" w:pos="1020" w:val="left"/>
        </w:tabs>
        <w:rPr>
          <w:rFonts w:ascii="Arial" w:cs="Arial" w:eastAsia="Arial" w:hAnsi="Arial"/>
          <w:sz w:val="18"/>
          <w:szCs w:val="18"/>
          <w:color w:val="0000EE"/>
        </w:rPr>
      </w:pPr>
      <w:hyperlink r:id="rId168">
        <w:r>
          <w:rPr>
            <w:rFonts w:ascii="Arial" w:cs="Arial" w:eastAsia="Arial" w:hAnsi="Arial"/>
            <w:sz w:val="18"/>
            <w:szCs w:val="18"/>
            <w:u w:val="single" w:color="auto"/>
            <w:color w:val="0000EE"/>
          </w:rPr>
          <w:t>10.19†</w:t>
        </w:r>
      </w:hyperlink>
      <w:r>
        <w:rPr>
          <w:rFonts w:ascii="Arial" w:cs="Arial" w:eastAsia="Arial" w:hAnsi="Arial"/>
          <w:sz w:val="18"/>
          <w:szCs w:val="18"/>
          <w:color w:val="0000EE"/>
        </w:rPr>
        <w:tab/>
        <w:t>2021 Form of Performance-Based Restricted Stock Unit Agreement under the 2020 Omnibus Incentive Plan (incorporated by reference to Exhibit 10.19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26" w:lineRule="exact"/>
        <w:rPr>
          <w:sz w:val="20"/>
          <w:szCs w:val="20"/>
          <w:color w:val="auto"/>
        </w:rPr>
      </w:pPr>
    </w:p>
    <w:p>
      <w:pPr>
        <w:ind w:left="1040" w:right="739" w:hanging="755"/>
        <w:spacing w:after="0" w:line="277" w:lineRule="auto"/>
        <w:tabs>
          <w:tab w:leader="none" w:pos="1020" w:val="left"/>
        </w:tabs>
        <w:rPr>
          <w:rFonts w:ascii="Arial" w:cs="Arial" w:eastAsia="Arial" w:hAnsi="Arial"/>
          <w:sz w:val="18"/>
          <w:szCs w:val="18"/>
          <w:color w:val="0000EE"/>
        </w:rPr>
      </w:pPr>
      <w:hyperlink r:id="rId170">
        <w:r>
          <w:rPr>
            <w:rFonts w:ascii="Arial" w:cs="Arial" w:eastAsia="Arial" w:hAnsi="Arial"/>
            <w:sz w:val="18"/>
            <w:szCs w:val="18"/>
            <w:u w:val="single" w:color="auto"/>
            <w:color w:val="0000EE"/>
          </w:rPr>
          <w:t>10.20†</w:t>
        </w:r>
      </w:hyperlink>
      <w:r>
        <w:rPr>
          <w:rFonts w:ascii="Arial" w:cs="Arial" w:eastAsia="Arial" w:hAnsi="Arial"/>
          <w:sz w:val="18"/>
          <w:szCs w:val="18"/>
          <w:color w:val="0000EE"/>
        </w:rPr>
        <w:tab/>
        <w:t>2011 Unit Incentive Plan (incorporated by reference to Exhibit 10.13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12" w:lineRule="exact"/>
        <w:rPr>
          <w:sz w:val="20"/>
          <w:szCs w:val="20"/>
          <w:color w:val="auto"/>
        </w:rPr>
      </w:pPr>
    </w:p>
    <w:p>
      <w:pPr>
        <w:ind w:left="1040" w:right="519" w:hanging="755"/>
        <w:spacing w:after="0" w:line="263" w:lineRule="auto"/>
        <w:tabs>
          <w:tab w:leader="none" w:pos="1020" w:val="left"/>
        </w:tabs>
        <w:rPr>
          <w:rFonts w:ascii="Arial" w:cs="Arial" w:eastAsia="Arial" w:hAnsi="Arial"/>
          <w:sz w:val="18"/>
          <w:szCs w:val="18"/>
          <w:color w:val="0000EE"/>
        </w:rPr>
      </w:pPr>
      <w:hyperlink r:id="rId172">
        <w:r>
          <w:rPr>
            <w:rFonts w:ascii="Arial" w:cs="Arial" w:eastAsia="Arial" w:hAnsi="Arial"/>
            <w:sz w:val="18"/>
            <w:szCs w:val="18"/>
            <w:u w:val="single" w:color="auto"/>
            <w:color w:val="0000EE"/>
          </w:rPr>
          <w:t>10.21†</w:t>
        </w:r>
      </w:hyperlink>
      <w:r>
        <w:rPr>
          <w:rFonts w:ascii="Arial" w:cs="Arial" w:eastAsia="Arial" w:hAnsi="Arial"/>
          <w:sz w:val="18"/>
          <w:szCs w:val="18"/>
          <w:color w:val="0000EE"/>
        </w:rPr>
        <w:tab/>
        <w:t>Form of 2020 CEO Option Agreement under 2011 Unit Incentive Plan (incorporated by reference to Exhibit 10.14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74">
        <w:r>
          <w:rPr>
            <w:rFonts w:ascii="Arial" w:cs="Arial" w:eastAsia="Arial" w:hAnsi="Arial"/>
            <w:sz w:val="18"/>
            <w:szCs w:val="18"/>
            <w:u w:val="single" w:color="auto"/>
            <w:color w:val="0000EE"/>
          </w:rPr>
          <w:t>10.22†</w:t>
        </w:r>
      </w:hyperlink>
      <w:r>
        <w:rPr>
          <w:rFonts w:ascii="Arial" w:cs="Arial" w:eastAsia="Arial" w:hAnsi="Arial"/>
          <w:sz w:val="18"/>
          <w:szCs w:val="18"/>
          <w:color w:val="0000EE"/>
        </w:rPr>
        <w:tab/>
        <w:t>Form of 2020 Executive Option Agreement under 2011 Unit Incentive Plan (incorporated by reference to Exhibit 10.15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759" w:hanging="755"/>
        <w:spacing w:after="0" w:line="263" w:lineRule="auto"/>
        <w:tabs>
          <w:tab w:leader="none" w:pos="1020" w:val="left"/>
        </w:tabs>
        <w:rPr>
          <w:rFonts w:ascii="Arial" w:cs="Arial" w:eastAsia="Arial" w:hAnsi="Arial"/>
          <w:sz w:val="18"/>
          <w:szCs w:val="18"/>
          <w:color w:val="0000EE"/>
        </w:rPr>
      </w:pPr>
      <w:hyperlink r:id="rId154">
        <w:r>
          <w:rPr>
            <w:rFonts w:ascii="Arial" w:cs="Arial" w:eastAsia="Arial" w:hAnsi="Arial"/>
            <w:sz w:val="18"/>
            <w:szCs w:val="18"/>
            <w:u w:val="single" w:color="auto"/>
            <w:color w:val="0000EE"/>
          </w:rPr>
          <w:t>10.23†</w:t>
        </w:r>
      </w:hyperlink>
      <w:r>
        <w:rPr>
          <w:rFonts w:ascii="Arial" w:cs="Arial" w:eastAsia="Arial" w:hAnsi="Arial"/>
          <w:sz w:val="18"/>
          <w:szCs w:val="18"/>
          <w:color w:val="0000EE"/>
        </w:rPr>
        <w:tab/>
        <w:t>Form of 2019 CEO Option Agreement under 2011 Unit Incentive Plan (incorporated by reference to Exhibit 10.8 to the Registrant’s Registration Statement on Form S-1 filed on September 23, 2020 (File No. 333-248683)).</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4889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5349240" cy="488950"/>
                    </a:xfrm>
                    <a:prstGeom prst="rect">
                      <a:avLst/>
                    </a:prstGeom>
                    <a:noFill/>
                  </pic:spPr>
                </pic:pic>
              </a:graphicData>
            </a:graphic>
          </wp:anchor>
        </w:drawing>
      </w:r>
    </w:p>
    <w:p>
      <w:pPr>
        <w:spacing w:after="0" w:line="99"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78">
        <w:r>
          <w:rPr>
            <w:rFonts w:ascii="Arial" w:cs="Arial" w:eastAsia="Arial" w:hAnsi="Arial"/>
            <w:sz w:val="18"/>
            <w:szCs w:val="18"/>
            <w:u w:val="single" w:color="auto"/>
            <w:color w:val="0000EE"/>
          </w:rPr>
          <w:t>10.24†</w:t>
        </w:r>
      </w:hyperlink>
      <w:r>
        <w:rPr>
          <w:rFonts w:ascii="Arial" w:cs="Arial" w:eastAsia="Arial" w:hAnsi="Arial"/>
          <w:sz w:val="18"/>
          <w:szCs w:val="18"/>
          <w:color w:val="0000EE"/>
        </w:rPr>
        <w:tab/>
        <w:t>Form of 2019 Executive Option Agreement under 2011 Unit Incentive Plan (incorporated by reference to Exhibit 10.17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519" w:hanging="755"/>
        <w:spacing w:after="0" w:line="263" w:lineRule="auto"/>
        <w:tabs>
          <w:tab w:leader="none" w:pos="1020" w:val="left"/>
        </w:tabs>
        <w:rPr>
          <w:rFonts w:ascii="Arial" w:cs="Arial" w:eastAsia="Arial" w:hAnsi="Arial"/>
          <w:sz w:val="18"/>
          <w:szCs w:val="18"/>
          <w:color w:val="0000EE"/>
        </w:rPr>
      </w:pPr>
      <w:hyperlink r:id="rId180">
        <w:r>
          <w:rPr>
            <w:rFonts w:ascii="Arial" w:cs="Arial" w:eastAsia="Arial" w:hAnsi="Arial"/>
            <w:sz w:val="18"/>
            <w:szCs w:val="18"/>
            <w:u w:val="single" w:color="auto"/>
            <w:color w:val="0000EE"/>
          </w:rPr>
          <w:t>10.25†</w:t>
        </w:r>
      </w:hyperlink>
      <w:r>
        <w:rPr>
          <w:rFonts w:ascii="Arial" w:cs="Arial" w:eastAsia="Arial" w:hAnsi="Arial"/>
          <w:sz w:val="18"/>
          <w:szCs w:val="18"/>
          <w:color w:val="0000EE"/>
        </w:rPr>
        <w:tab/>
        <w:t>Form of 2018 CEO Option Agreement under 2011 Unit Incentive Plan (incorporated by reference to Exhibit 10.18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2">
        <w:r>
          <w:rPr>
            <w:rFonts w:ascii="Arial" w:cs="Arial" w:eastAsia="Arial" w:hAnsi="Arial"/>
            <w:sz w:val="18"/>
            <w:szCs w:val="18"/>
            <w:u w:val="single" w:color="auto"/>
            <w:color w:val="0000EE"/>
          </w:rPr>
          <w:t>10.26†</w:t>
        </w:r>
      </w:hyperlink>
      <w:r>
        <w:rPr>
          <w:rFonts w:ascii="Arial" w:cs="Arial" w:eastAsia="Arial" w:hAnsi="Arial"/>
          <w:sz w:val="18"/>
          <w:szCs w:val="18"/>
          <w:color w:val="0000EE"/>
        </w:rPr>
        <w:tab/>
        <w:t>Form of 2018 Executive Option Agreement under 2011 Unit Incentive Plan (incorporated by reference to Exhibit 10.19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779" w:hanging="755"/>
        <w:spacing w:after="0" w:line="263" w:lineRule="auto"/>
        <w:tabs>
          <w:tab w:leader="none" w:pos="1020" w:val="left"/>
        </w:tabs>
        <w:rPr>
          <w:rFonts w:ascii="Arial" w:cs="Arial" w:eastAsia="Arial" w:hAnsi="Arial"/>
          <w:sz w:val="18"/>
          <w:szCs w:val="18"/>
          <w:color w:val="0000EE"/>
        </w:rPr>
      </w:pPr>
      <w:hyperlink r:id="rId184">
        <w:r>
          <w:rPr>
            <w:rFonts w:ascii="Arial" w:cs="Arial" w:eastAsia="Arial" w:hAnsi="Arial"/>
            <w:sz w:val="18"/>
            <w:szCs w:val="18"/>
            <w:u w:val="single" w:color="auto"/>
            <w:color w:val="0000EE"/>
          </w:rPr>
          <w:t>10.27†</w:t>
        </w:r>
      </w:hyperlink>
      <w:r>
        <w:rPr>
          <w:rFonts w:ascii="Arial" w:cs="Arial" w:eastAsia="Arial" w:hAnsi="Arial"/>
          <w:sz w:val="18"/>
          <w:szCs w:val="18"/>
          <w:color w:val="0000EE"/>
        </w:rPr>
        <w:tab/>
        <w:t>Form of 2018 Non Executive Option Agreement under 2011 Unit Incentive Plan (incorporated by reference to Exhibit 10.27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6">
        <w:r>
          <w:rPr>
            <w:rFonts w:ascii="Arial" w:cs="Arial" w:eastAsia="Arial" w:hAnsi="Arial"/>
            <w:sz w:val="18"/>
            <w:szCs w:val="18"/>
            <w:u w:val="single" w:color="auto"/>
            <w:color w:val="0000EE"/>
          </w:rPr>
          <w:t>10.28†</w:t>
        </w:r>
      </w:hyperlink>
      <w:r>
        <w:rPr>
          <w:rFonts w:ascii="Arial" w:cs="Arial" w:eastAsia="Arial" w:hAnsi="Arial"/>
          <w:sz w:val="18"/>
          <w:szCs w:val="18"/>
          <w:color w:val="0000EE"/>
        </w:rPr>
        <w:tab/>
        <w:t>Form of 2017 Executive Option Agreement under 2011 Unit Incentive Plan (incorporated by reference to Exhibit 10.20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99" w:hanging="755"/>
        <w:spacing w:after="0" w:line="263" w:lineRule="auto"/>
        <w:tabs>
          <w:tab w:leader="none" w:pos="1020" w:val="left"/>
        </w:tabs>
        <w:rPr>
          <w:rFonts w:ascii="Arial" w:cs="Arial" w:eastAsia="Arial" w:hAnsi="Arial"/>
          <w:sz w:val="18"/>
          <w:szCs w:val="18"/>
          <w:color w:val="0000EE"/>
        </w:rPr>
      </w:pPr>
      <w:hyperlink r:id="rId188">
        <w:r>
          <w:rPr>
            <w:rFonts w:ascii="Arial" w:cs="Arial" w:eastAsia="Arial" w:hAnsi="Arial"/>
            <w:sz w:val="18"/>
            <w:szCs w:val="18"/>
            <w:u w:val="single" w:color="auto"/>
            <w:color w:val="0000EE"/>
          </w:rPr>
          <w:t>10.29†</w:t>
        </w:r>
      </w:hyperlink>
      <w:r>
        <w:rPr>
          <w:rFonts w:ascii="Arial" w:cs="Arial" w:eastAsia="Arial" w:hAnsi="Arial"/>
          <w:sz w:val="18"/>
          <w:szCs w:val="18"/>
          <w:color w:val="0000EE"/>
        </w:rPr>
        <w:tab/>
        <w:t>Form of 2016 Executive Option Agreement under 2011 Unit Incentive Plan (incorporated by reference to Exhibit 10.21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0">
        <w:r>
          <w:rPr>
            <w:rFonts w:ascii="Arial" w:cs="Arial" w:eastAsia="Arial" w:hAnsi="Arial"/>
            <w:sz w:val="18"/>
            <w:szCs w:val="18"/>
            <w:u w:val="single" w:color="auto"/>
            <w:color w:val="0000EE"/>
          </w:rPr>
          <w:t>10.30†</w:t>
        </w:r>
      </w:hyperlink>
      <w:r>
        <w:rPr>
          <w:rFonts w:ascii="Arial" w:cs="Arial" w:eastAsia="Arial" w:hAnsi="Arial"/>
          <w:sz w:val="18"/>
          <w:szCs w:val="18"/>
          <w:color w:val="0000EE"/>
        </w:rPr>
        <w:tab/>
        <w:t>Form of August 2020 Restricted Unit Agreement under 2011 Unit Incentive Plan (incorporated by reference to Exhibit 10.22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339" w:hanging="755"/>
        <w:spacing w:after="0" w:line="263" w:lineRule="auto"/>
        <w:tabs>
          <w:tab w:leader="none" w:pos="1020" w:val="left"/>
        </w:tabs>
        <w:rPr>
          <w:rFonts w:ascii="Arial" w:cs="Arial" w:eastAsia="Arial" w:hAnsi="Arial"/>
          <w:sz w:val="18"/>
          <w:szCs w:val="18"/>
          <w:color w:val="0000EE"/>
        </w:rPr>
      </w:pPr>
      <w:hyperlink r:id="rId192">
        <w:r>
          <w:rPr>
            <w:rFonts w:ascii="Arial" w:cs="Arial" w:eastAsia="Arial" w:hAnsi="Arial"/>
            <w:sz w:val="18"/>
            <w:szCs w:val="18"/>
            <w:u w:val="single" w:color="auto"/>
            <w:color w:val="0000EE"/>
          </w:rPr>
          <w:t>10.31†</w:t>
        </w:r>
      </w:hyperlink>
      <w:r>
        <w:rPr>
          <w:rFonts w:ascii="Arial" w:cs="Arial" w:eastAsia="Arial" w:hAnsi="Arial"/>
          <w:sz w:val="18"/>
          <w:szCs w:val="18"/>
          <w:color w:val="0000EE"/>
        </w:rPr>
        <w:tab/>
        <w:t>Form of 2020 CEO Restricted Unit Agreement under 2011 Unit Incentive Plan (incorporated by reference to Exhibit 10.23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4">
        <w:r>
          <w:rPr>
            <w:rFonts w:ascii="Arial" w:cs="Arial" w:eastAsia="Arial" w:hAnsi="Arial"/>
            <w:sz w:val="18"/>
            <w:szCs w:val="18"/>
            <w:u w:val="single" w:color="auto"/>
            <w:color w:val="0000EE"/>
          </w:rPr>
          <w:t>10.32†</w:t>
        </w:r>
      </w:hyperlink>
      <w:r>
        <w:rPr>
          <w:rFonts w:ascii="Arial" w:cs="Arial" w:eastAsia="Arial" w:hAnsi="Arial"/>
          <w:sz w:val="18"/>
          <w:szCs w:val="18"/>
          <w:color w:val="0000EE"/>
        </w:rPr>
        <w:tab/>
        <w:t>Form of 2020 Executive Restricted Unit Agreement under 2011 Unit Incentive Plan (incorporated by reference to Exhibit 10.24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196">
        <w:r>
          <w:rPr>
            <w:rFonts w:ascii="Arial" w:cs="Arial" w:eastAsia="Arial" w:hAnsi="Arial"/>
            <w:sz w:val="18"/>
            <w:szCs w:val="18"/>
            <w:u w:val="single" w:color="auto"/>
            <w:color w:val="0000EE"/>
          </w:rPr>
          <w:t>10.33†</w:t>
        </w:r>
      </w:hyperlink>
      <w:r>
        <w:rPr>
          <w:rFonts w:ascii="Arial" w:cs="Arial" w:eastAsia="Arial" w:hAnsi="Arial"/>
          <w:sz w:val="18"/>
          <w:szCs w:val="18"/>
          <w:color w:val="0000EE"/>
        </w:rPr>
        <w:tab/>
        <w:t>Form of 2019 Executive Restricted Unit Agreement under 2011 Unit Incentive Plan (incorporated by reference to Exhibit 10.25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79" w:hanging="755"/>
        <w:spacing w:after="0" w:line="263" w:lineRule="auto"/>
        <w:tabs>
          <w:tab w:leader="none" w:pos="1020" w:val="left"/>
        </w:tabs>
        <w:rPr>
          <w:rFonts w:ascii="Arial" w:cs="Arial" w:eastAsia="Arial" w:hAnsi="Arial"/>
          <w:sz w:val="18"/>
          <w:szCs w:val="18"/>
          <w:color w:val="0000EE"/>
        </w:rPr>
      </w:pPr>
      <w:hyperlink r:id="rId198">
        <w:r>
          <w:rPr>
            <w:rFonts w:ascii="Arial" w:cs="Arial" w:eastAsia="Arial" w:hAnsi="Arial"/>
            <w:sz w:val="18"/>
            <w:szCs w:val="18"/>
            <w:u w:val="single" w:color="auto"/>
            <w:color w:val="0000EE"/>
          </w:rPr>
          <w:t>10.34†</w:t>
        </w:r>
      </w:hyperlink>
      <w:r>
        <w:rPr>
          <w:rFonts w:ascii="Arial" w:cs="Arial" w:eastAsia="Arial" w:hAnsi="Arial"/>
          <w:sz w:val="18"/>
          <w:szCs w:val="18"/>
          <w:color w:val="0000EE"/>
        </w:rPr>
        <w:tab/>
        <w:t>Form of 2018 CEO Restricted Unit Agreement under 2011 Unit Incentive Plan (as amended) (incorporated by reference to Exhibit 10.26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79" w:hanging="755"/>
        <w:spacing w:after="0" w:line="263" w:lineRule="auto"/>
        <w:tabs>
          <w:tab w:leader="none" w:pos="1020" w:val="left"/>
        </w:tabs>
        <w:rPr>
          <w:rFonts w:ascii="Arial" w:cs="Arial" w:eastAsia="Arial" w:hAnsi="Arial"/>
          <w:sz w:val="18"/>
          <w:szCs w:val="18"/>
          <w:color w:val="0000EE"/>
        </w:rPr>
      </w:pPr>
      <w:hyperlink r:id="rId200">
        <w:r>
          <w:rPr>
            <w:rFonts w:ascii="Arial" w:cs="Arial" w:eastAsia="Arial" w:hAnsi="Arial"/>
            <w:sz w:val="18"/>
            <w:szCs w:val="18"/>
            <w:u w:val="single" w:color="auto"/>
            <w:color w:val="0000EE"/>
          </w:rPr>
          <w:t>10.35†</w:t>
        </w:r>
      </w:hyperlink>
      <w:r>
        <w:rPr>
          <w:rFonts w:ascii="Arial" w:cs="Arial" w:eastAsia="Arial" w:hAnsi="Arial"/>
          <w:sz w:val="18"/>
          <w:szCs w:val="18"/>
          <w:color w:val="0000EE"/>
        </w:rPr>
        <w:tab/>
        <w:t>Form of Independent Non-Employee Director Restricted Unit Agreement under 2011 Unit Incentive Plan (incorporated by reference to Exhibit 10.27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419" w:hanging="755"/>
        <w:spacing w:after="0" w:line="263" w:lineRule="auto"/>
        <w:tabs>
          <w:tab w:leader="none" w:pos="1020" w:val="left"/>
        </w:tabs>
        <w:rPr>
          <w:rFonts w:ascii="Arial" w:cs="Arial" w:eastAsia="Arial" w:hAnsi="Arial"/>
          <w:sz w:val="18"/>
          <w:szCs w:val="18"/>
          <w:color w:val="0000EE"/>
        </w:rPr>
      </w:pPr>
      <w:hyperlink r:id="rId202">
        <w:r>
          <w:rPr>
            <w:rFonts w:ascii="Arial" w:cs="Arial" w:eastAsia="Arial" w:hAnsi="Arial"/>
            <w:sz w:val="18"/>
            <w:szCs w:val="18"/>
            <w:u w:val="single" w:color="auto"/>
            <w:color w:val="0000EE"/>
          </w:rPr>
          <w:t>10.36†</w:t>
        </w:r>
      </w:hyperlink>
      <w:r>
        <w:rPr>
          <w:rFonts w:ascii="Arial" w:cs="Arial" w:eastAsia="Arial" w:hAnsi="Arial"/>
          <w:sz w:val="18"/>
          <w:szCs w:val="18"/>
          <w:color w:val="0000EE"/>
        </w:rPr>
        <w:tab/>
        <w:t>Form of 2018 Executive Restricted Unit Agreement under 2011 Unit Incentive Plan (incorporated by reference to Exhibit 10.28 to the Registrant’s Registration Statement on Form S-1 filed on September 23, 2020 (File No. 333-248683)).</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tbl>
      <w:tblPr>
        <w:tblLayout w:type="fixed"/>
        <w:tblInd w:w="300" w:type="dxa"/>
        <w:tblCellMar>
          <w:top w:w="0" w:type="dxa"/>
          <w:left w:w="0" w:type="dxa"/>
          <w:bottom w:w="0" w:type="dxa"/>
          <w:right w:w="0" w:type="dxa"/>
        </w:tblCellMar>
      </w:tblPr>
      <w:tr>
        <w:trPr>
          <w:trHeight w:val="186"/>
        </w:trPr>
        <w:tc>
          <w:tcPr>
            <w:tcW w:w="288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488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5349240" cy="488950"/>
                    </a:xfrm>
                    <a:prstGeom prst="rect">
                      <a:avLst/>
                    </a:prstGeom>
                    <a:noFill/>
                  </pic:spPr>
                </pic:pic>
              </a:graphicData>
            </a:graphic>
          </wp:anchor>
        </w:drawing>
      </w:r>
    </w:p>
    <w:p>
      <w:pPr>
        <w:spacing w:after="0" w:line="99" w:lineRule="exact"/>
        <w:rPr>
          <w:sz w:val="20"/>
          <w:szCs w:val="20"/>
          <w:color w:val="auto"/>
        </w:rPr>
      </w:pPr>
    </w:p>
    <w:p>
      <w:pPr>
        <w:ind w:left="1040" w:right="379" w:hanging="755"/>
        <w:spacing w:after="0" w:line="263" w:lineRule="auto"/>
        <w:tabs>
          <w:tab w:leader="none" w:pos="1020" w:val="left"/>
        </w:tabs>
        <w:rPr>
          <w:rFonts w:ascii="Arial" w:cs="Arial" w:eastAsia="Arial" w:hAnsi="Arial"/>
          <w:sz w:val="18"/>
          <w:szCs w:val="18"/>
          <w:color w:val="0000EE"/>
        </w:rPr>
      </w:pPr>
      <w:hyperlink r:id="rId205">
        <w:r>
          <w:rPr>
            <w:rFonts w:ascii="Arial" w:cs="Arial" w:eastAsia="Arial" w:hAnsi="Arial"/>
            <w:sz w:val="18"/>
            <w:szCs w:val="18"/>
            <w:u w:val="single" w:color="auto"/>
            <w:color w:val="0000EE"/>
          </w:rPr>
          <w:t>10.37†</w:t>
        </w:r>
      </w:hyperlink>
      <w:r>
        <w:rPr>
          <w:rFonts w:ascii="Arial" w:cs="Arial" w:eastAsia="Arial" w:hAnsi="Arial"/>
          <w:sz w:val="18"/>
          <w:szCs w:val="18"/>
          <w:color w:val="0000EE"/>
        </w:rPr>
        <w:tab/>
        <w:t>Ken C. Hicks Employment Agreement, dated August 2, 2018 (incorporated by reference to Exhibit 10.29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63" w:lineRule="auto"/>
        <w:tabs>
          <w:tab w:leader="none" w:pos="1020" w:val="left"/>
        </w:tabs>
        <w:rPr>
          <w:rFonts w:ascii="Arial" w:cs="Arial" w:eastAsia="Arial" w:hAnsi="Arial"/>
          <w:sz w:val="18"/>
          <w:szCs w:val="18"/>
          <w:color w:val="0000EE"/>
        </w:rPr>
      </w:pPr>
      <w:hyperlink r:id="rId207">
        <w:r>
          <w:rPr>
            <w:rFonts w:ascii="Arial" w:cs="Arial" w:eastAsia="Arial" w:hAnsi="Arial"/>
            <w:sz w:val="18"/>
            <w:szCs w:val="18"/>
            <w:u w:val="single" w:color="auto"/>
            <w:color w:val="0000EE"/>
          </w:rPr>
          <w:t>10.38†</w:t>
        </w:r>
      </w:hyperlink>
      <w:r>
        <w:rPr>
          <w:rFonts w:ascii="Arial" w:cs="Arial" w:eastAsia="Arial" w:hAnsi="Arial"/>
          <w:sz w:val="18"/>
          <w:szCs w:val="18"/>
          <w:color w:val="0000EE"/>
        </w:rPr>
        <w:tab/>
        <w:t>Michael P. Mullican Employment Agreement, dated January 6, 2017 and amended on December 21, 2017 (incorporated by reference to Exhibit 10.30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63" w:lineRule="auto"/>
        <w:tabs>
          <w:tab w:leader="none" w:pos="1020" w:val="left"/>
        </w:tabs>
        <w:rPr>
          <w:rFonts w:ascii="Arial" w:cs="Arial" w:eastAsia="Arial" w:hAnsi="Arial"/>
          <w:sz w:val="18"/>
          <w:szCs w:val="18"/>
          <w:color w:val="0000EE"/>
        </w:rPr>
      </w:pPr>
      <w:hyperlink r:id="rId209">
        <w:r>
          <w:rPr>
            <w:rFonts w:ascii="Arial" w:cs="Arial" w:eastAsia="Arial" w:hAnsi="Arial"/>
            <w:sz w:val="18"/>
            <w:szCs w:val="18"/>
            <w:u w:val="single" w:color="auto"/>
            <w:color w:val="0000EE"/>
          </w:rPr>
          <w:t>10.39†</w:t>
        </w:r>
      </w:hyperlink>
      <w:r>
        <w:rPr>
          <w:rFonts w:ascii="Arial" w:cs="Arial" w:eastAsia="Arial" w:hAnsi="Arial"/>
          <w:sz w:val="18"/>
          <w:szCs w:val="18"/>
          <w:color w:val="0000EE"/>
        </w:rPr>
        <w:tab/>
        <w:t>Steven (Steve) P. Lawrence Employment Agreement, dated January 29, 2019 (incorporated by reference to Exhibit 10.31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519" w:hanging="755"/>
        <w:spacing w:after="0" w:line="263" w:lineRule="auto"/>
        <w:tabs>
          <w:tab w:leader="none" w:pos="1020" w:val="left"/>
        </w:tabs>
        <w:rPr>
          <w:rFonts w:ascii="Arial" w:cs="Arial" w:eastAsia="Arial" w:hAnsi="Arial"/>
          <w:sz w:val="18"/>
          <w:szCs w:val="18"/>
          <w:color w:val="0000EE"/>
        </w:rPr>
      </w:pPr>
      <w:hyperlink r:id="rId211">
        <w:r>
          <w:rPr>
            <w:rFonts w:ascii="Arial" w:cs="Arial" w:eastAsia="Arial" w:hAnsi="Arial"/>
            <w:sz w:val="18"/>
            <w:szCs w:val="18"/>
            <w:u w:val="single" w:color="auto"/>
            <w:color w:val="0000EE"/>
          </w:rPr>
          <w:t>10.40†</w:t>
        </w:r>
      </w:hyperlink>
      <w:r>
        <w:rPr>
          <w:rFonts w:ascii="Arial" w:cs="Arial" w:eastAsia="Arial" w:hAnsi="Arial"/>
          <w:sz w:val="18"/>
          <w:szCs w:val="18"/>
          <w:color w:val="0000EE"/>
        </w:rPr>
        <w:tab/>
        <w:t>Samuel (Sam) J. Johnson Employment Agreement, dated April 17, 2017 (incorporated by reference to Exhibit 10.32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299" w:hanging="755"/>
        <w:spacing w:after="0" w:line="263" w:lineRule="auto"/>
        <w:tabs>
          <w:tab w:leader="none" w:pos="1020" w:val="left"/>
        </w:tabs>
        <w:rPr>
          <w:rFonts w:ascii="Arial" w:cs="Arial" w:eastAsia="Arial" w:hAnsi="Arial"/>
          <w:sz w:val="18"/>
          <w:szCs w:val="18"/>
          <w:color w:val="0000EE"/>
        </w:rPr>
      </w:pPr>
      <w:hyperlink r:id="rId213">
        <w:r>
          <w:rPr>
            <w:rFonts w:ascii="Arial" w:cs="Arial" w:eastAsia="Arial" w:hAnsi="Arial"/>
            <w:sz w:val="18"/>
            <w:szCs w:val="18"/>
            <w:u w:val="single" w:color="auto"/>
            <w:color w:val="0000EE"/>
          </w:rPr>
          <w:t>10.41†</w:t>
        </w:r>
      </w:hyperlink>
      <w:r>
        <w:rPr>
          <w:rFonts w:ascii="Arial" w:cs="Arial" w:eastAsia="Arial" w:hAnsi="Arial"/>
          <w:sz w:val="18"/>
          <w:szCs w:val="18"/>
          <w:color w:val="0000EE"/>
        </w:rPr>
        <w:tab/>
        <w:t>Jamey Rutherford Traywick Employment Agreement, dated October 1, 2018 (incorporated by reference to Exhibit 10.41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jc w:val="both"/>
        <w:ind w:left="1040" w:right="419" w:hanging="755"/>
        <w:spacing w:after="0" w:line="263" w:lineRule="auto"/>
        <w:tabs>
          <w:tab w:leader="none" w:pos="1020" w:val="left"/>
        </w:tabs>
        <w:rPr>
          <w:rFonts w:ascii="Arial" w:cs="Arial" w:eastAsia="Arial" w:hAnsi="Arial"/>
          <w:sz w:val="18"/>
          <w:szCs w:val="18"/>
          <w:color w:val="0000EE"/>
        </w:rPr>
      </w:pPr>
      <w:hyperlink r:id="rId215">
        <w:r>
          <w:rPr>
            <w:rFonts w:ascii="Arial" w:cs="Arial" w:eastAsia="Arial" w:hAnsi="Arial"/>
            <w:sz w:val="18"/>
            <w:szCs w:val="18"/>
            <w:u w:val="single" w:color="auto"/>
            <w:color w:val="0000EE"/>
          </w:rPr>
          <w:t>10.42†</w:t>
        </w:r>
      </w:hyperlink>
      <w:r>
        <w:rPr>
          <w:rFonts w:ascii="Arial" w:cs="Arial" w:eastAsia="Arial" w:hAnsi="Arial"/>
          <w:sz w:val="18"/>
          <w:szCs w:val="18"/>
          <w:color w:val="0000EE"/>
        </w:rPr>
        <w:tab/>
        <w:t>Form of 2020 Employee Stock Purchase Plan (incorporated by reference to Exhibit 10.34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4629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26" w:lineRule="exact"/>
        <w:rPr>
          <w:sz w:val="20"/>
          <w:szCs w:val="20"/>
          <w:color w:val="auto"/>
        </w:rPr>
      </w:pPr>
    </w:p>
    <w:p>
      <w:pPr>
        <w:ind w:left="1040" w:right="339" w:hanging="755"/>
        <w:spacing w:after="0" w:line="286" w:lineRule="auto"/>
        <w:tabs>
          <w:tab w:leader="none" w:pos="1020" w:val="left"/>
        </w:tabs>
        <w:rPr>
          <w:rFonts w:ascii="Arial" w:cs="Arial" w:eastAsia="Arial" w:hAnsi="Arial"/>
          <w:sz w:val="18"/>
          <w:szCs w:val="18"/>
          <w:color w:val="0000EE"/>
        </w:rPr>
      </w:pPr>
      <w:hyperlink r:id="rId217">
        <w:r>
          <w:rPr>
            <w:rFonts w:ascii="Arial" w:cs="Arial" w:eastAsia="Arial" w:hAnsi="Arial"/>
            <w:sz w:val="18"/>
            <w:szCs w:val="18"/>
            <w:u w:val="single" w:color="auto"/>
            <w:color w:val="0000EE"/>
          </w:rPr>
          <w:t>10.43</w:t>
        </w:r>
      </w:hyperlink>
      <w:r>
        <w:rPr>
          <w:rFonts w:ascii="Arial" w:cs="Arial" w:eastAsia="Arial" w:hAnsi="Arial"/>
          <w:sz w:val="18"/>
          <w:szCs w:val="18"/>
          <w:color w:val="0000EE"/>
        </w:rPr>
        <w:tab/>
      </w:r>
      <w:r>
        <w:rPr>
          <w:rFonts w:ascii="Arial" w:cs="Arial" w:eastAsia="Arial" w:hAnsi="Arial"/>
          <w:sz w:val="17"/>
          <w:szCs w:val="17"/>
          <w:color w:val="0000EE"/>
        </w:rPr>
        <w:t>Stockholders Agreement, dated as of October 6, 2020, by and among the Registrant, Allstar LLC, KKR 2006 Allstar Blocker L.P. and Allstar Co-Invest Blocker L.P. (incorporated by reference to Exhibit 10.1 to the Registrant’s Current Report on Form 8-K filed on October 6, 2020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4629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5349240" cy="462915"/>
                    </a:xfrm>
                    <a:prstGeom prst="rect">
                      <a:avLst/>
                    </a:prstGeom>
                    <a:noFill/>
                  </pic:spPr>
                </pic:pic>
              </a:graphicData>
            </a:graphic>
          </wp:anchor>
        </w:drawing>
      </w:r>
    </w:p>
    <w:p>
      <w:pPr>
        <w:spacing w:after="0" w:line="307" w:lineRule="exact"/>
        <w:rPr>
          <w:sz w:val="20"/>
          <w:szCs w:val="20"/>
          <w:color w:val="auto"/>
        </w:rPr>
      </w:pPr>
    </w:p>
    <w:p>
      <w:pPr>
        <w:jc w:val="both"/>
        <w:ind w:left="1040" w:right="499" w:hanging="755"/>
        <w:spacing w:after="0" w:line="263" w:lineRule="auto"/>
        <w:tabs>
          <w:tab w:leader="none" w:pos="1020" w:val="left"/>
        </w:tabs>
        <w:rPr>
          <w:rFonts w:ascii="Arial" w:cs="Arial" w:eastAsia="Arial" w:hAnsi="Arial"/>
          <w:sz w:val="18"/>
          <w:szCs w:val="18"/>
          <w:color w:val="0000EE"/>
        </w:rPr>
      </w:pPr>
      <w:hyperlink r:id="rId219">
        <w:r>
          <w:rPr>
            <w:rFonts w:ascii="Arial" w:cs="Arial" w:eastAsia="Arial" w:hAnsi="Arial"/>
            <w:sz w:val="18"/>
            <w:szCs w:val="18"/>
            <w:u w:val="single" w:color="auto"/>
            <w:color w:val="0000EE"/>
          </w:rPr>
          <w:t>10.44†</w:t>
        </w:r>
      </w:hyperlink>
      <w:r>
        <w:rPr>
          <w:rFonts w:ascii="Arial" w:cs="Arial" w:eastAsia="Arial" w:hAnsi="Arial"/>
          <w:sz w:val="18"/>
          <w:szCs w:val="18"/>
          <w:color w:val="0000EE"/>
        </w:rPr>
        <w:tab/>
        <w:t>Form of Director and Officer Indemnification Agreement (incorporated by reference to Exhibit 10.37 to Amendment No. 1 to the Registrant’s Registration Statement on Form S-1 filed on September 23, 2020 (File No. 333-248683)).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202565</wp:posOffset>
            </wp:positionV>
            <wp:extent cx="5349240" cy="3257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326" w:lineRule="exact"/>
        <w:rPr>
          <w:sz w:val="20"/>
          <w:szCs w:val="20"/>
          <w:color w:val="auto"/>
        </w:rPr>
      </w:pPr>
    </w:p>
    <w:p>
      <w:pPr>
        <w:ind w:left="1040" w:right="319" w:hanging="755"/>
        <w:spacing w:after="0" w:line="277" w:lineRule="auto"/>
        <w:tabs>
          <w:tab w:leader="none" w:pos="1020" w:val="left"/>
        </w:tabs>
        <w:rPr>
          <w:rFonts w:ascii="Arial" w:cs="Arial" w:eastAsia="Arial" w:hAnsi="Arial"/>
          <w:sz w:val="18"/>
          <w:szCs w:val="18"/>
          <w:color w:val="0000EE"/>
        </w:rPr>
      </w:pPr>
      <w:hyperlink r:id="rId221">
        <w:r>
          <w:rPr>
            <w:rFonts w:ascii="Arial" w:cs="Arial" w:eastAsia="Arial" w:hAnsi="Arial"/>
            <w:sz w:val="18"/>
            <w:szCs w:val="18"/>
            <w:u w:val="single" w:color="auto"/>
            <w:color w:val="0000EE"/>
          </w:rPr>
          <w:t>21.1</w:t>
        </w:r>
      </w:hyperlink>
      <w:r>
        <w:rPr>
          <w:rFonts w:ascii="Arial" w:cs="Arial" w:eastAsia="Arial" w:hAnsi="Arial"/>
          <w:sz w:val="18"/>
          <w:szCs w:val="18"/>
          <w:color w:val="0000EE"/>
        </w:rPr>
        <w:tab/>
        <w:t>Subsidiaries of the Registrant (incorporated by reference to Exhibit 21.1 to the Registrant’s Annual Report on Form 10-K for the fiscal year ended January 30, 2021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534924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312"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111">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534924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367"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110">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Simpson Thacher &amp; Bartlett LLP (included as part of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5349240" cy="19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367"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66">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 of Attorney (included on signature pages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237490</wp:posOffset>
            </wp:positionV>
            <wp:extent cx="8229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640" w:hanging="348"/>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Compensatory arrangements for director(s) and/or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580"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Katy, Texas, on May 3, 2021.</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Academy Sports and Outdoors, Inc.</w:t>
      </w:r>
    </w:p>
    <w:p>
      <w:pPr>
        <w:spacing w:after="0" w:line="200" w:lineRule="exact"/>
        <w:rPr>
          <w:sz w:val="20"/>
          <w:szCs w:val="20"/>
          <w:color w:val="auto"/>
        </w:rPr>
      </w:pPr>
    </w:p>
    <w:p>
      <w:pPr>
        <w:spacing w:after="0" w:line="245"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57785</wp:posOffset>
            </wp:positionV>
            <wp:extent cx="2537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Rene G. Casares</w:t>
      </w:r>
    </w:p>
    <w:p>
      <w:pPr>
        <w:spacing w:after="0" w:line="151" w:lineRule="exact"/>
        <w:rPr>
          <w:sz w:val="20"/>
          <w:szCs w:val="20"/>
          <w:color w:val="auto"/>
        </w:rPr>
      </w:pPr>
    </w:p>
    <w:p>
      <w:pPr>
        <w:sectPr>
          <w:pgSz w:w="11900" w:h="16838" w:orient="portrait"/>
          <w:cols w:equalWidth="0" w:num="2">
            <w:col w:w="6200" w:space="200"/>
            <w:col w:w="4620"/>
          </w:cols>
          <w:pgMar w:left="440" w:top="265" w:right="439" w:bottom="1440" w:gutter="0" w:footer="0" w:header="0"/>
          <w:type w:val="continuous"/>
        </w:sect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ectPr>
          <w:pgSz w:w="11900" w:h="16838" w:orient="portrait"/>
          <w:cols w:equalWidth="0" w:num="2">
            <w:col w:w="6100" w:space="300"/>
            <w:col w:w="4620"/>
          </w:cols>
          <w:pgMar w:left="440" w:top="265" w:right="439" w:bottom="1440" w:gutter="0" w:footer="0" w:header="0"/>
          <w:type w:val="continuous"/>
        </w:sectPr>
      </w:pP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300" w:right="1360" w:firstLine="360"/>
        <w:spacing w:after="0" w:line="286"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66" w:lineRule="exact"/>
        <w:rPr>
          <w:sz w:val="20"/>
          <w:szCs w:val="20"/>
          <w:color w:val="auto"/>
        </w:rPr>
      </w:pPr>
    </w:p>
    <w:p>
      <w:pPr>
        <w:ind w:left="1300" w:right="16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May 3, 2021:</w:t>
      </w:r>
    </w:p>
    <w:p>
      <w:pPr>
        <w:spacing w:after="0" w:line="121" w:lineRule="exact"/>
        <w:rPr>
          <w:sz w:val="20"/>
          <w:szCs w:val="20"/>
          <w:color w:val="auto"/>
        </w:rPr>
      </w:pPr>
    </w:p>
    <w:p>
      <w:pPr>
        <w:ind w:left="3140"/>
        <w:spacing w:after="0"/>
        <w:tabs>
          <w:tab w:leader="none" w:pos="76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3"/>
              </w:rPr>
              <w:t>/s/ Ken C. Hicks</w:t>
            </w:r>
          </w:p>
        </w:tc>
        <w:tc>
          <w:tcPr>
            <w:tcW w:w="780" w:type="dxa"/>
            <w:vAlign w:val="bottom"/>
          </w:tcPr>
          <w:p>
            <w:pPr>
              <w:spacing w:after="0"/>
              <w:rPr>
                <w:sz w:val="20"/>
                <w:szCs w:val="20"/>
                <w:color w:val="auto"/>
              </w:rPr>
            </w:pPr>
          </w:p>
        </w:tc>
        <w:tc>
          <w:tcPr>
            <w:tcW w:w="5400" w:type="dxa"/>
            <w:vAlign w:val="bottom"/>
            <w:vMerge w:val="restart"/>
          </w:tcPr>
          <w:p>
            <w:pPr>
              <w:jc w:val="center"/>
              <w:ind w:right="1010"/>
              <w:spacing w:after="0"/>
              <w:rPr>
                <w:sz w:val="20"/>
                <w:szCs w:val="20"/>
                <w:color w:val="auto"/>
              </w:rPr>
            </w:pPr>
            <w:r>
              <w:rPr>
                <w:rFonts w:ascii="Arial" w:cs="Arial" w:eastAsia="Arial" w:hAnsi="Arial"/>
                <w:sz w:val="18"/>
                <w:szCs w:val="18"/>
                <w:color w:val="auto"/>
                <w:w w:val="91"/>
              </w:rPr>
              <w:t>Chairman, President and Chief Executive Officer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2"/>
              </w:rPr>
              <w:t>Ken C. Hicks</w:t>
            </w:r>
          </w:p>
        </w:tc>
        <w:tc>
          <w:tcPr>
            <w:tcW w:w="780" w:type="dxa"/>
            <w:vAlign w:val="bottom"/>
          </w:tcPr>
          <w:p>
            <w:pPr>
              <w:spacing w:after="0"/>
              <w:rPr>
                <w:sz w:val="24"/>
                <w:szCs w:val="24"/>
                <w:color w:val="auto"/>
              </w:rPr>
            </w:pPr>
          </w:p>
        </w:tc>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3"/>
              </w:rPr>
              <w:t>/s/ Michael P. Mullican</w:t>
            </w:r>
          </w:p>
        </w:tc>
        <w:tc>
          <w:tcPr>
            <w:tcW w:w="780" w:type="dxa"/>
            <w:vAlign w:val="bottom"/>
          </w:tcPr>
          <w:p>
            <w:pPr>
              <w:spacing w:after="0"/>
              <w:rPr>
                <w:sz w:val="24"/>
                <w:szCs w:val="24"/>
                <w:color w:val="auto"/>
              </w:rPr>
            </w:pPr>
          </w:p>
        </w:tc>
        <w:tc>
          <w:tcPr>
            <w:tcW w:w="5400" w:type="dxa"/>
            <w:vAlign w:val="bottom"/>
            <w:vMerge w:val="restart"/>
          </w:tcPr>
          <w:p>
            <w:pPr>
              <w:jc w:val="center"/>
              <w:ind w:right="103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2"/>
              </w:rPr>
              <w:t>Michael P. Mullican</w:t>
            </w:r>
          </w:p>
        </w:tc>
        <w:tc>
          <w:tcPr>
            <w:tcW w:w="780" w:type="dxa"/>
            <w:vAlign w:val="bottom"/>
          </w:tcPr>
          <w:p>
            <w:pPr>
              <w:spacing w:after="0"/>
              <w:rPr>
                <w:sz w:val="24"/>
                <w:szCs w:val="24"/>
                <w:color w:val="auto"/>
              </w:rPr>
            </w:pPr>
          </w:p>
        </w:tc>
        <w:tc>
          <w:tcPr>
            <w:tcW w:w="5400" w:type="dxa"/>
            <w:vAlign w:val="bottom"/>
          </w:tcPr>
          <w:p>
            <w:pPr>
              <w:jc w:val="center"/>
              <w:ind w:right="1030"/>
              <w:spacing w:after="0"/>
              <w:rPr>
                <w:sz w:val="20"/>
                <w:szCs w:val="20"/>
                <w:color w:val="auto"/>
              </w:rPr>
            </w:pPr>
            <w:r>
              <w:rPr>
                <w:rFonts w:ascii="Arial" w:cs="Arial" w:eastAsia="Arial" w:hAnsi="Arial"/>
                <w:sz w:val="18"/>
                <w:szCs w:val="18"/>
                <w:color w:val="auto"/>
                <w:w w:val="96"/>
              </w:rPr>
              <w:t>(principal financial officer)</w:t>
            </w: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2"/>
              </w:rPr>
              <w:t>/s/ Heather A. Davis</w:t>
            </w:r>
          </w:p>
        </w:tc>
        <w:tc>
          <w:tcPr>
            <w:tcW w:w="780" w:type="dxa"/>
            <w:vAlign w:val="bottom"/>
          </w:tcPr>
          <w:p>
            <w:pPr>
              <w:spacing w:after="0"/>
              <w:rPr>
                <w:sz w:val="24"/>
                <w:szCs w:val="24"/>
                <w:color w:val="auto"/>
              </w:rPr>
            </w:pPr>
          </w:p>
        </w:tc>
        <w:tc>
          <w:tcPr>
            <w:tcW w:w="5400" w:type="dxa"/>
            <w:vAlign w:val="bottom"/>
            <w:vMerge w:val="restart"/>
          </w:tcPr>
          <w:p>
            <w:pPr>
              <w:jc w:val="center"/>
              <w:ind w:right="1010"/>
              <w:spacing w:after="0"/>
              <w:rPr>
                <w:sz w:val="20"/>
                <w:szCs w:val="20"/>
                <w:color w:val="auto"/>
              </w:rPr>
            </w:pPr>
            <w:r>
              <w:rPr>
                <w:rFonts w:ascii="Arial" w:cs="Arial" w:eastAsia="Arial" w:hAnsi="Arial"/>
                <w:sz w:val="18"/>
                <w:szCs w:val="18"/>
                <w:color w:val="auto"/>
                <w:w w:val="91"/>
              </w:rPr>
              <w:t>Senior Vice President, Accounting, Treasury &amp; Tax</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1"/>
              </w:rPr>
              <w:t>Heather A. Davis</w:t>
            </w:r>
          </w:p>
        </w:tc>
        <w:tc>
          <w:tcPr>
            <w:tcW w:w="780" w:type="dxa"/>
            <w:vAlign w:val="bottom"/>
          </w:tcPr>
          <w:p>
            <w:pPr>
              <w:spacing w:after="0"/>
              <w:rPr>
                <w:sz w:val="24"/>
                <w:szCs w:val="24"/>
                <w:color w:val="auto"/>
              </w:rPr>
            </w:pPr>
          </w:p>
        </w:tc>
        <w:tc>
          <w:tcPr>
            <w:tcW w:w="5400" w:type="dxa"/>
            <w:vAlign w:val="bottom"/>
          </w:tcPr>
          <w:p>
            <w:pPr>
              <w:jc w:val="center"/>
              <w:ind w:right="1030"/>
              <w:spacing w:after="0"/>
              <w:rPr>
                <w:sz w:val="20"/>
                <w:szCs w:val="20"/>
                <w:color w:val="auto"/>
              </w:rPr>
            </w:pPr>
            <w:r>
              <w:rPr>
                <w:rFonts w:ascii="Arial" w:cs="Arial" w:eastAsia="Arial" w:hAnsi="Arial"/>
                <w:sz w:val="18"/>
                <w:szCs w:val="18"/>
                <w:color w:val="auto"/>
                <w:w w:val="94"/>
              </w:rPr>
              <w:t>(principal accounting officer)</w:t>
            </w: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2"/>
              </w:rPr>
              <w:t>/s/ Wendy A. Beck</w:t>
            </w:r>
          </w:p>
        </w:tc>
        <w:tc>
          <w:tcPr>
            <w:tcW w:w="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restart"/>
          </w:tcPr>
          <w:p>
            <w:pPr>
              <w:jc w:val="center"/>
              <w:ind w:right="10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70"/>
              <w:spacing w:after="0"/>
              <w:rPr>
                <w:sz w:val="20"/>
                <w:szCs w:val="20"/>
                <w:color w:val="auto"/>
              </w:rPr>
            </w:pPr>
            <w:r>
              <w:rPr>
                <w:rFonts w:ascii="Arial" w:cs="Arial" w:eastAsia="Arial" w:hAnsi="Arial"/>
                <w:sz w:val="18"/>
                <w:szCs w:val="18"/>
                <w:color w:val="auto"/>
                <w:w w:val="92"/>
              </w:rPr>
              <w:t>Wendy A. Beck</w:t>
            </w:r>
          </w:p>
        </w:tc>
        <w:tc>
          <w:tcPr>
            <w:tcW w:w="7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3"/>
              </w:rPr>
              <w:t>/s/ Brian T. Marley</w:t>
            </w:r>
          </w:p>
        </w:tc>
        <w:tc>
          <w:tcPr>
            <w:tcW w:w="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restart"/>
          </w:tcPr>
          <w:p>
            <w:pPr>
              <w:jc w:val="center"/>
              <w:ind w:right="10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5"/>
              </w:rPr>
              <w:t>Brian T. Marley</w:t>
            </w:r>
          </w:p>
        </w:tc>
        <w:tc>
          <w:tcPr>
            <w:tcW w:w="7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0"/>
              </w:rPr>
              <w:t>/s/ Thomas M. Nealon</w:t>
            </w:r>
          </w:p>
        </w:tc>
        <w:tc>
          <w:tcPr>
            <w:tcW w:w="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0" w:type="dxa"/>
            <w:vAlign w:val="bottom"/>
            <w:vMerge w:val="restart"/>
          </w:tcPr>
          <w:p>
            <w:pPr>
              <w:jc w:val="center"/>
              <w:ind w:right="10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540" w:type="dxa"/>
            <w:vAlign w:val="bottom"/>
          </w:tcPr>
          <w:p>
            <w:pPr>
              <w:jc w:val="center"/>
              <w:ind w:left="690"/>
              <w:spacing w:after="0"/>
              <w:rPr>
                <w:sz w:val="20"/>
                <w:szCs w:val="20"/>
                <w:color w:val="auto"/>
              </w:rPr>
            </w:pPr>
            <w:r>
              <w:rPr>
                <w:rFonts w:ascii="Arial" w:cs="Arial" w:eastAsia="Arial" w:hAnsi="Arial"/>
                <w:sz w:val="18"/>
                <w:szCs w:val="18"/>
                <w:color w:val="auto"/>
                <w:w w:val="92"/>
              </w:rPr>
              <w:t>Thomas M. Nealon</w:t>
            </w:r>
          </w:p>
        </w:tc>
        <w:tc>
          <w:tcPr>
            <w:tcW w:w="7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80" w:type="dxa"/>
            <w:vAlign w:val="bottom"/>
            <w:gridSpan w:val="2"/>
          </w:tcPr>
          <w:p>
            <w:pPr>
              <w:ind w:left="52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31"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64135</wp:posOffset>
            </wp:positionV>
            <wp:extent cx="27514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56515</wp:posOffset>
            </wp:positionV>
            <wp:extent cx="24771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2399"/>
          </w:cols>
          <w:pgMar w:left="1440" w:top="265" w:right="1440" w:bottom="1440" w:gutter="0" w:footer="0" w:header="0"/>
          <w:type w:val="continuous"/>
        </w:sectPr>
      </w:pPr>
    </w:p>
    <w:p>
      <w:pPr>
        <w:spacing w:after="0" w:line="28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Vishal 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7514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3500" w:type="dxa"/>
            <w:vAlign w:val="bottom"/>
          </w:tcPr>
          <w:p>
            <w:pPr>
              <w:jc w:val="center"/>
              <w:ind w:left="710"/>
              <w:spacing w:after="0"/>
              <w:rPr>
                <w:sz w:val="20"/>
                <w:szCs w:val="20"/>
                <w:color w:val="auto"/>
              </w:rPr>
            </w:pPr>
            <w:r>
              <w:rPr>
                <w:rFonts w:ascii="Arial" w:cs="Arial" w:eastAsia="Arial" w:hAnsi="Arial"/>
                <w:sz w:val="18"/>
                <w:szCs w:val="18"/>
                <w:color w:val="auto"/>
                <w:w w:val="90"/>
              </w:rPr>
              <w:t>Vishal V. Patel</w:t>
            </w:r>
          </w:p>
        </w:tc>
        <w:tc>
          <w:tcPr>
            <w:tcW w:w="820" w:type="dxa"/>
            <w:vAlign w:val="bottom"/>
          </w:tcPr>
          <w:p>
            <w:pPr>
              <w:spacing w:after="0"/>
              <w:rPr>
                <w:sz w:val="21"/>
                <w:szCs w:val="21"/>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648"/>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3"/>
              </w:rPr>
              <w:t>/s/ Allen I. Questrom</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40" w:type="dxa"/>
            <w:vAlign w:val="bottom"/>
            <w:vMerge w:val="restart"/>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7"/>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4"/>
              </w:rPr>
              <w:t>Allen I. Questrom</w:t>
            </w:r>
          </w:p>
        </w:tc>
        <w:tc>
          <w:tcPr>
            <w:tcW w:w="8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4"/>
              </w:rPr>
              <w:t>/s/ William S. Simon</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40" w:type="dxa"/>
            <w:vAlign w:val="bottom"/>
            <w:vMerge w:val="restart"/>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7"/>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4"/>
              </w:rPr>
              <w:t>William S. Simon</w:t>
            </w:r>
          </w:p>
        </w:tc>
        <w:tc>
          <w:tcPr>
            <w:tcW w:w="8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2"/>
              </w:rPr>
              <w:t>/s/ Nathaniel H. Taylor</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40" w:type="dxa"/>
            <w:vAlign w:val="bottom"/>
            <w:vMerge w:val="restart"/>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7"/>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3"/>
              </w:rPr>
              <w:t>Nathaniel H. Taylor</w:t>
            </w:r>
          </w:p>
        </w:tc>
        <w:tc>
          <w:tcPr>
            <w:tcW w:w="8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89"/>
              </w:rPr>
              <w:t>/s/ Jeffrey C. Tweedy</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40" w:type="dxa"/>
            <w:vAlign w:val="bottom"/>
            <w:vMerge w:val="restart"/>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7"/>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0"/>
              </w:rPr>
              <w:t>Jeffrey C. Tweedy</w:t>
            </w:r>
          </w:p>
        </w:tc>
        <w:tc>
          <w:tcPr>
            <w:tcW w:w="8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3"/>
              </w:rPr>
              <w:t>/s/ Aileen X. Yan</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40" w:type="dxa"/>
            <w:vAlign w:val="bottom"/>
            <w:vMerge w:val="restart"/>
          </w:tcPr>
          <w:p>
            <w:pPr>
              <w:ind w:left="18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77"/>
        </w:trPr>
        <w:tc>
          <w:tcPr>
            <w:tcW w:w="3500" w:type="dxa"/>
            <w:vAlign w:val="bottom"/>
          </w:tcPr>
          <w:p>
            <w:pPr>
              <w:jc w:val="center"/>
              <w:ind w:left="730"/>
              <w:spacing w:after="0"/>
              <w:rPr>
                <w:sz w:val="20"/>
                <w:szCs w:val="20"/>
                <w:color w:val="auto"/>
              </w:rPr>
            </w:pPr>
            <w:r>
              <w:rPr>
                <w:rFonts w:ascii="Arial" w:cs="Arial" w:eastAsia="Arial" w:hAnsi="Arial"/>
                <w:sz w:val="18"/>
                <w:szCs w:val="18"/>
                <w:color w:val="auto"/>
                <w:w w:val="95"/>
              </w:rPr>
              <w:t>Aileen X. Yan</w:t>
            </w:r>
          </w:p>
        </w:tc>
        <w:tc>
          <w:tcPr>
            <w:tcW w:w="8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00" w:type="dxa"/>
            <w:vAlign w:val="bottom"/>
          </w:tcPr>
          <w:p>
            <w:pPr>
              <w:spacing w:after="0"/>
              <w:rPr>
                <w:sz w:val="24"/>
                <w:szCs w:val="24"/>
                <w:color w:val="auto"/>
              </w:rPr>
            </w:pPr>
          </w:p>
        </w:tc>
        <w:tc>
          <w:tcPr>
            <w:tcW w:w="3260" w:type="dxa"/>
            <w:vAlign w:val="bottom"/>
            <w:gridSpan w:val="2"/>
          </w:tcPr>
          <w:p>
            <w:pPr>
              <w:ind w:left="520"/>
              <w:spacing w:after="0"/>
              <w:rPr>
                <w:sz w:val="20"/>
                <w:szCs w:val="20"/>
                <w:color w:val="auto"/>
              </w:rPr>
            </w:pPr>
            <w:r>
              <w:rPr>
                <w:rFonts w:ascii="Arial" w:cs="Arial" w:eastAsia="Arial" w:hAnsi="Arial"/>
                <w:sz w:val="18"/>
                <w:szCs w:val="18"/>
                <w:color w:val="auto"/>
              </w:rPr>
              <w:t>II-10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Academy Sports and Outdoors, Inc.</w:t>
      </w:r>
    </w:p>
    <w:p>
      <w:pPr>
        <w:spacing w:after="0" w:line="233" w:lineRule="exact"/>
        <w:rPr>
          <w:sz w:val="20"/>
          <w:szCs w:val="20"/>
          <w:color w:val="auto"/>
        </w:rPr>
      </w:pPr>
    </w:p>
    <w:p>
      <w:pPr>
        <w:ind w:left="4940" w:right="4940" w:firstLine="178"/>
        <w:spacing w:after="0" w:line="276" w:lineRule="auto"/>
        <w:tabs>
          <w:tab w:leader="none" w:pos="5235" w:val="left"/>
        </w:tabs>
        <w:numPr>
          <w:ilvl w:val="0"/>
          <w:numId w:val="43"/>
        </w:numPr>
        <w:rPr>
          <w:rFonts w:ascii="Arial" w:cs="Arial" w:eastAsia="Arial" w:hAnsi="Arial"/>
          <w:sz w:val="19"/>
          <w:szCs w:val="19"/>
          <w:color w:val="auto"/>
        </w:rPr>
      </w:pPr>
      <w:r>
        <w:rPr>
          <w:rFonts w:ascii="Arial" w:cs="Arial" w:eastAsia="Arial" w:hAnsi="Arial"/>
          <w:sz w:val="19"/>
          <w:szCs w:val="19"/>
          <w:color w:val="auto"/>
        </w:rPr>
        <w:t>● ] Shares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($0.01 par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 ],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15" w:lineRule="exact"/>
        <w:rPr>
          <w:sz w:val="20"/>
          <w:szCs w:val="20"/>
          <w:color w:val="auto"/>
        </w:rPr>
      </w:pPr>
    </w:p>
    <w:p>
      <w:pPr>
        <w:ind w:right="4380"/>
        <w:spacing w:after="0" w:line="239" w:lineRule="auto"/>
        <w:rPr>
          <w:sz w:val="20"/>
          <w:szCs w:val="20"/>
          <w:color w:val="auto"/>
        </w:rPr>
      </w:pPr>
      <w:r>
        <w:rPr>
          <w:rFonts w:ascii="Arial" w:cs="Arial" w:eastAsia="Arial" w:hAnsi="Arial"/>
          <w:sz w:val="22"/>
          <w:szCs w:val="22"/>
          <w:color w:val="auto"/>
        </w:rPr>
        <w:t>As Representatives of the several Underwriters named in Schedule I(A) hereto, c/o Credit Suisse Securities (USA) LLC,</w:t>
      </w:r>
    </w:p>
    <w:p>
      <w:pPr>
        <w:ind w:left="660"/>
        <w:spacing w:after="0" w:line="230" w:lineRule="auto"/>
        <w:rPr>
          <w:sz w:val="20"/>
          <w:szCs w:val="20"/>
          <w:color w:val="auto"/>
        </w:rPr>
      </w:pPr>
      <w:r>
        <w:rPr>
          <w:rFonts w:ascii="Arial" w:cs="Arial" w:eastAsia="Arial" w:hAnsi="Arial"/>
          <w:sz w:val="22"/>
          <w:szCs w:val="22"/>
          <w:color w:val="auto"/>
        </w:rPr>
        <w:t>Eleven Madison Avenue,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10010-3629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J.P. Morgan Securities LLC,</w:t>
      </w:r>
    </w:p>
    <w:p>
      <w:pPr>
        <w:ind w:left="660"/>
        <w:spacing w:after="0" w:line="238" w:lineRule="auto"/>
        <w:rPr>
          <w:sz w:val="20"/>
          <w:szCs w:val="20"/>
          <w:color w:val="auto"/>
        </w:rPr>
      </w:pPr>
      <w:r>
        <w:rPr>
          <w:rFonts w:ascii="Arial" w:cs="Arial" w:eastAsia="Arial" w:hAnsi="Arial"/>
          <w:sz w:val="22"/>
          <w:szCs w:val="22"/>
          <w:color w:val="auto"/>
        </w:rPr>
        <w:t>383 Madison Avenue</w:t>
      </w:r>
    </w:p>
    <w:p>
      <w:pPr>
        <w:ind w:left="660"/>
        <w:spacing w:after="0"/>
        <w:rPr>
          <w:sz w:val="20"/>
          <w:szCs w:val="20"/>
          <w:color w:val="auto"/>
        </w:rPr>
      </w:pPr>
      <w:r>
        <w:rPr>
          <w:rFonts w:ascii="Arial" w:cs="Arial" w:eastAsia="Arial" w:hAnsi="Arial"/>
          <w:sz w:val="22"/>
          <w:szCs w:val="22"/>
          <w:color w:val="auto"/>
        </w:rPr>
        <w:t>New York, New York 10179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80" w:firstLine="648"/>
        <w:spacing w:after="0" w:line="245" w:lineRule="auto"/>
        <w:rPr>
          <w:sz w:val="20"/>
          <w:szCs w:val="20"/>
          <w:color w:val="auto"/>
        </w:rPr>
      </w:pPr>
      <w:r>
        <w:rPr>
          <w:rFonts w:ascii="Arial" w:cs="Arial" w:eastAsia="Arial" w:hAnsi="Arial"/>
          <w:sz w:val="21"/>
          <w:szCs w:val="21"/>
          <w:color w:val="auto"/>
        </w:rPr>
        <w:t>Each of (i) Allstar LLC, Allstar Co-Invest Blocker L.P. and KKR 2006 Allstar Blocker L.P. (collectively, the “KKR Selling Stockholders”) and (ii) MSI 2011 LLC and MG Family Limited Partnership (collectively, the “Gochman Selling Stockholders”), as a stockholder of Academy Sports and Outdoors, Inc., a Delaware corporation (the “Company”), proposes to sell to the several underwriters named in Schedule I(A) hereto (the “Underwriters”), for whom you (the “Representatives”) are acting as representatives, the number of shares of the Company’s common stock, $0.01 par value (“Common Stock”), set forth next to such Selling Stockholder’s name on Schedule I(B) hereto. The aggregate [ ● ] shares to be sold by the Selling Stockholders are herein called the “Underwritten Securities”. The KKR Selling Stockholders also propose to grant to the Underwriters an option to purchase up to [ ● ] additional shares of Common Stock (the “Option Securities”; the Option Securities, together with the Underwritten Securities, being hereinafter called the “Securities”). Certain capitalized terms used herein are defined in Section 25 hereof.</w:t>
      </w:r>
    </w:p>
    <w:p>
      <w:pPr>
        <w:spacing w:after="0" w:line="208"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Subject to the sale of the Underwritten Securities by the Selling Stockholders to the Underwriters in compliance with the terms of this Agreement, the Underwriters have agreed to sell to the Company, and the Company has agreed to herein to purchase from the Underwriters (the “Share Repurchase”), an aggregate of [ ˜ ] shares of Underwritten Securities (the “Repurchase Securities”) pursuant to Section 3 of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8" w:name="page69"/>
    <w:bookmarkEnd w:id="68"/>
    <w:p>
      <w:pPr>
        <w:ind w:left="640"/>
        <w:spacing w:after="0"/>
        <w:rPr>
          <w:sz w:val="20"/>
          <w:szCs w:val="20"/>
          <w:color w:val="auto"/>
        </w:rPr>
      </w:pPr>
      <w:r>
        <w:rPr>
          <w:rFonts w:ascii="Arial" w:cs="Arial" w:eastAsia="Arial" w:hAnsi="Arial"/>
          <w:sz w:val="19"/>
          <w:szCs w:val="19"/>
          <w:color w:val="auto"/>
        </w:rPr>
        <w:t>The Company and the Selling Stockholders hereby confirm their respective agreements with the Underwriters as follows:</w:t>
      </w:r>
    </w:p>
    <w:p>
      <w:pPr>
        <w:spacing w:after="0" w:line="268" w:lineRule="exact"/>
        <w:rPr>
          <w:sz w:val="20"/>
          <w:szCs w:val="20"/>
          <w:color w:val="auto"/>
        </w:rPr>
      </w:pPr>
    </w:p>
    <w:p>
      <w:pPr>
        <w:ind w:left="-20" w:right="20" w:firstLine="656"/>
        <w:spacing w:after="0" w:line="250" w:lineRule="auto"/>
        <w:tabs>
          <w:tab w:leader="none" w:pos="133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Underwriter as set forth below in this Section 1.</w:t>
      </w:r>
    </w:p>
    <w:p>
      <w:pPr>
        <w:spacing w:after="0" w:line="202" w:lineRule="exact"/>
        <w:rPr>
          <w:sz w:val="20"/>
          <w:szCs w:val="20"/>
          <w:color w:val="auto"/>
        </w:rPr>
      </w:pPr>
    </w:p>
    <w:p>
      <w:pPr>
        <w:ind w:left="-20" w:right="40" w:firstLine="656"/>
        <w:spacing w:after="0" w:line="272" w:lineRule="auto"/>
        <w:tabs>
          <w:tab w:leader="none" w:pos="140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has prepared and filed with the Commission a registration statement (file number 333-[ ● ])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87" w:lineRule="exact"/>
        <w:rPr>
          <w:rFonts w:ascii="Arial" w:cs="Arial" w:eastAsia="Arial" w:hAnsi="Arial"/>
          <w:sz w:val="19"/>
          <w:szCs w:val="19"/>
          <w:color w:val="auto"/>
        </w:rPr>
      </w:pPr>
    </w:p>
    <w:p>
      <w:pPr>
        <w:ind w:left="-20" w:firstLine="656"/>
        <w:spacing w:after="0" w:line="272" w:lineRule="auto"/>
        <w:tabs>
          <w:tab w:leader="none" w:pos="14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On the Effective Date, the Registration Statement did, and when the Prospectus is first filed in accordance with Rule 424(b) and on the Closing Date (as defined below)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and any settlement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w:t>
      </w:r>
    </w:p>
    <w:p>
      <w:pPr>
        <w:spacing w:after="0" w:line="182" w:lineRule="exact"/>
        <w:rPr>
          <w:rFonts w:ascii="Arial" w:cs="Arial" w:eastAsia="Arial" w:hAnsi="Arial"/>
          <w:sz w:val="19"/>
          <w:szCs w:val="19"/>
          <w:color w:val="auto"/>
        </w:rPr>
      </w:pPr>
    </w:p>
    <w:p>
      <w:pPr>
        <w:ind w:left="-20" w:right="40" w:firstLine="656"/>
        <w:spacing w:after="0" w:line="235" w:lineRule="auto"/>
        <w:tabs>
          <w:tab w:leader="none" w:pos="140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or any electronic roadshow based upon and in conformity with written information furnished to the Company by or on behalf of any Underwriter through the Representatives specifically for use therein.</w:t>
      </w:r>
    </w:p>
    <w:p>
      <w:pPr>
        <w:spacing w:after="0" w:line="214" w:lineRule="exact"/>
        <w:rPr>
          <w:rFonts w:ascii="Arial" w:cs="Arial" w:eastAsia="Arial" w:hAnsi="Arial"/>
          <w:sz w:val="22"/>
          <w:szCs w:val="22"/>
          <w:color w:val="auto"/>
        </w:rPr>
      </w:pPr>
    </w:p>
    <w:p>
      <w:pPr>
        <w:ind w:left="-20" w:right="60" w:firstLine="656"/>
        <w:spacing w:after="0" w:line="238" w:lineRule="auto"/>
        <w:tabs>
          <w:tab w:leader="none" w:pos="14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1" w:lineRule="exact"/>
        <w:rPr>
          <w:rFonts w:ascii="Arial" w:cs="Arial" w:eastAsia="Arial" w:hAnsi="Arial"/>
          <w:sz w:val="22"/>
          <w:szCs w:val="22"/>
          <w:color w:val="auto"/>
        </w:rPr>
      </w:pPr>
    </w:p>
    <w:p>
      <w:pPr>
        <w:ind w:left="-20" w:right="40" w:firstLine="656"/>
        <w:spacing w:after="0" w:line="252" w:lineRule="auto"/>
        <w:tabs>
          <w:tab w:leader="none" w:pos="1408"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07" w:lineRule="exact"/>
        <w:rPr>
          <w:rFonts w:ascii="Arial" w:cs="Arial" w:eastAsia="Arial" w:hAnsi="Arial"/>
          <w:sz w:val="21"/>
          <w:szCs w:val="21"/>
          <w:color w:val="auto"/>
        </w:rPr>
      </w:pPr>
    </w:p>
    <w:p>
      <w:pPr>
        <w:ind w:left="1280" w:hanging="64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69" w:name="page70"/>
    <w:bookmarkEnd w:id="69"/>
    <w:p>
      <w:pPr>
        <w:ind w:right="60" w:firstLine="656"/>
        <w:spacing w:after="0" w:line="258" w:lineRule="auto"/>
        <w:tabs>
          <w:tab w:leader="none" w:pos="1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None of the Company or any Significant Subsidiary (as defined below) is, nor after giving effect to the Share Repurchase as herein contemplated will be, an “investment company” as defined in the Investment Company Act, without taking account of any exemption arising out of the number of holders of the Company’s securities.</w:t>
      </w:r>
    </w:p>
    <w:p>
      <w:pPr>
        <w:spacing w:after="0" w:line="193" w:lineRule="exact"/>
        <w:rPr>
          <w:rFonts w:ascii="Arial" w:cs="Arial" w:eastAsia="Arial" w:hAnsi="Arial"/>
          <w:sz w:val="21"/>
          <w:szCs w:val="21"/>
          <w:color w:val="auto"/>
        </w:rPr>
      </w:pPr>
    </w:p>
    <w:p>
      <w:pPr>
        <w:ind w:right="300" w:firstLine="656"/>
        <w:spacing w:after="0" w:line="250" w:lineRule="auto"/>
        <w:tabs>
          <w:tab w:leader="none" w:pos="14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paid or agreed to pay to any person any compensation for soliciting another to purchase any Securities (except as contemplated in this Agreement).</w:t>
      </w:r>
    </w:p>
    <w:p>
      <w:pPr>
        <w:spacing w:after="0" w:line="201" w:lineRule="exact"/>
        <w:rPr>
          <w:rFonts w:ascii="Arial" w:cs="Arial" w:eastAsia="Arial" w:hAnsi="Arial"/>
          <w:sz w:val="22"/>
          <w:szCs w:val="22"/>
          <w:color w:val="auto"/>
        </w:rPr>
      </w:pPr>
    </w:p>
    <w:p>
      <w:pPr>
        <w:ind w:right="20" w:firstLine="656"/>
        <w:spacing w:after="0" w:line="238" w:lineRule="auto"/>
        <w:tabs>
          <w:tab w:leader="none" w:pos="1392"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1" w:lineRule="exact"/>
        <w:rPr>
          <w:rFonts w:ascii="Arial" w:cs="Arial" w:eastAsia="Arial" w:hAnsi="Arial"/>
          <w:sz w:val="22"/>
          <w:szCs w:val="22"/>
          <w:color w:val="auto"/>
        </w:rPr>
      </w:pPr>
    </w:p>
    <w:p>
      <w:pPr>
        <w:ind w:right="60" w:firstLine="656"/>
        <w:spacing w:after="0" w:line="274" w:lineRule="auto"/>
        <w:tabs>
          <w:tab w:leader="none" w:pos="1392"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185" w:lineRule="exact"/>
        <w:rPr>
          <w:rFonts w:ascii="Arial" w:cs="Arial" w:eastAsia="Arial" w:hAnsi="Arial"/>
          <w:sz w:val="19"/>
          <w:szCs w:val="19"/>
          <w:color w:val="auto"/>
        </w:rPr>
      </w:pPr>
    </w:p>
    <w:p>
      <w:pPr>
        <w:ind w:right="20" w:firstLine="656"/>
        <w:spacing w:after="0" w:line="250" w:lineRule="auto"/>
        <w:tabs>
          <w:tab w:leader="none" w:pos="14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has no “significant subsidiary,” as defined in Rule 1-02(w) of Regulation S-X under the Act, other than those subsidiaries listed on Schedule III (each, a “Significant Subsidiary”).</w:t>
      </w:r>
    </w:p>
    <w:p>
      <w:pPr>
        <w:spacing w:after="0" w:line="201" w:lineRule="exact"/>
        <w:rPr>
          <w:rFonts w:ascii="Arial" w:cs="Arial" w:eastAsia="Arial" w:hAnsi="Arial"/>
          <w:sz w:val="22"/>
          <w:szCs w:val="22"/>
          <w:color w:val="auto"/>
        </w:rPr>
      </w:pPr>
    </w:p>
    <w:p>
      <w:pPr>
        <w:ind w:firstLine="656"/>
        <w:spacing w:after="0" w:line="269" w:lineRule="auto"/>
        <w:tabs>
          <w:tab w:leader="none" w:pos="1392" w:val="left"/>
        </w:tabs>
        <w:numPr>
          <w:ilvl w:val="0"/>
          <w:numId w:val="46"/>
        </w:numPr>
        <w:rPr>
          <w:rFonts w:ascii="Arial" w:cs="Arial" w:eastAsia="Arial" w:hAnsi="Arial"/>
          <w:sz w:val="19"/>
          <w:szCs w:val="19"/>
          <w:color w:val="auto"/>
        </w:rPr>
      </w:pPr>
      <w:r>
        <w:rPr>
          <w:rFonts w:ascii="Arial" w:cs="Arial" w:eastAsia="Arial" w:hAnsi="Arial"/>
          <w:sz w:val="19"/>
          <w:szCs w:val="19"/>
          <w:color w:val="auto"/>
        </w:rPr>
        <w:t>As of January 20, 2021, all the outstanding membership interests or shares of capital stock, as applicable, of the Company (including the Securities to be sold by the Selling Stockholders) and each subsidiary listed on Exhibit 21 of the Company’s Annual Report on Form 10-K for the fiscal year ended January 30, 2021 (the “Annual Report”) incorporated by reference into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Indenture, dated as of November 6, 2020 (the “Indenture”), by and among Academy, Ltd., as issuer, the guarantors named therein and The Bank of New York Mellon Trust Company, N.A., as trustee and notes collateral agent, (B) that certain 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and Credit Suisse AG, Cayman Islands Branch, as the Administrative Agent and the Collateral Agent and the several other parties named therein (as amended, the “Term Loan Facility”) and (C) that certain First Amended and Restated ABL Credit Agreement, dated as of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Indenture and the Term Loan Facility, the “Debt Documents”) or permitted under the Debt Documents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1500" w:hanging="844"/>
        <w:spacing w:after="0"/>
        <w:tabs>
          <w:tab w:leader="none" w:pos="15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right="200" w:firstLine="656"/>
        <w:spacing w:after="0" w:line="271" w:lineRule="auto"/>
        <w:tabs>
          <w:tab w:leader="none" w:pos="14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w:t>
      </w:r>
    </w:p>
    <w:p>
      <w:pPr>
        <w:spacing w:after="0" w:line="3" w:lineRule="exact"/>
        <w:rPr>
          <w:rFonts w:ascii="Arial" w:cs="Arial" w:eastAsia="Arial" w:hAnsi="Arial"/>
          <w:sz w:val="19"/>
          <w:szCs w:val="19"/>
          <w:color w:val="auto"/>
        </w:rPr>
      </w:pPr>
    </w:p>
    <w:p>
      <w:pPr>
        <w:ind w:right="80" w:firstLine="8"/>
        <w:spacing w:after="0" w:line="233" w:lineRule="auto"/>
        <w:tabs>
          <w:tab w:leader="none" w:pos="3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214" w:lineRule="exact"/>
        <w:rPr>
          <w:rFonts w:ascii="Arial" w:cs="Arial" w:eastAsia="Arial" w:hAnsi="Arial"/>
          <w:sz w:val="22"/>
          <w:szCs w:val="22"/>
          <w:color w:val="auto"/>
        </w:rPr>
      </w:pPr>
    </w:p>
    <w:p>
      <w:pPr>
        <w:ind w:right="20" w:firstLine="656"/>
        <w:spacing w:after="0" w:line="273" w:lineRule="auto"/>
        <w:tabs>
          <w:tab w:leader="none" w:pos="14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consummation of the transactions contemplated hereby (including the Share Repurchase),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7" w:lineRule="exact"/>
        <w:rPr>
          <w:rFonts w:ascii="Arial" w:cs="Arial" w:eastAsia="Arial" w:hAnsi="Arial"/>
          <w:sz w:val="19"/>
          <w:szCs w:val="19"/>
          <w:color w:val="auto"/>
        </w:rPr>
      </w:pPr>
    </w:p>
    <w:p>
      <w:pPr>
        <w:jc w:val="both"/>
        <w:ind w:right="200" w:firstLine="656"/>
        <w:spacing w:after="0" w:line="273" w:lineRule="auto"/>
        <w:tabs>
          <w:tab w:leader="none" w:pos="14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U.S. Federal Income and Estate Tax Consequences to Non-U.S.</w:t>
      </w:r>
    </w:p>
    <w:p>
      <w:pPr>
        <w:spacing w:after="0" w:line="1" w:lineRule="exact"/>
        <w:rPr>
          <w:rFonts w:ascii="Arial" w:cs="Arial" w:eastAsia="Arial" w:hAnsi="Arial"/>
          <w:sz w:val="19"/>
          <w:szCs w:val="19"/>
          <w:color w:val="auto"/>
        </w:rPr>
      </w:pPr>
    </w:p>
    <w:p>
      <w:pPr>
        <w:ind w:right="60"/>
        <w:spacing w:after="0" w:line="233" w:lineRule="auto"/>
        <w:rPr>
          <w:rFonts w:ascii="Arial" w:cs="Arial" w:eastAsia="Arial" w:hAnsi="Arial"/>
          <w:sz w:val="19"/>
          <w:szCs w:val="19"/>
          <w:color w:val="auto"/>
        </w:rPr>
      </w:pPr>
      <w:r>
        <w:rPr>
          <w:rFonts w:ascii="Arial" w:cs="Arial" w:eastAsia="Arial" w:hAnsi="Arial"/>
          <w:sz w:val="22"/>
          <w:szCs w:val="22"/>
          <w:color w:val="auto"/>
        </w:rPr>
        <w:t>Holders” and (ii) the Annual Report, incorporated by reference into the Preliminary Prospectus and the Prospectus, under the headings “Business—Governmental Regulations,” “Legal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214" w:lineRule="exact"/>
        <w:rPr>
          <w:rFonts w:ascii="Arial" w:cs="Arial" w:eastAsia="Arial" w:hAnsi="Arial"/>
          <w:sz w:val="19"/>
          <w:szCs w:val="19"/>
          <w:color w:val="auto"/>
        </w:rPr>
      </w:pPr>
    </w:p>
    <w:p>
      <w:pPr>
        <w:ind w:right="180" w:firstLine="656"/>
        <w:spacing w:after="0" w:line="238" w:lineRule="auto"/>
        <w:tabs>
          <w:tab w:leader="none" w:pos="14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holders of securities of the Company have rights to the registration of such securities under the Registration Statement, other than as required by the Amended and Restated Registration Rights Agreement, dated as of October 6, 2020, among the Company and the shareholders party thereto (as amended, supplemented or otherwise modified from time to time prior to the date hereof).</w:t>
      </w:r>
    </w:p>
    <w:p>
      <w:pPr>
        <w:spacing w:after="0" w:line="211" w:lineRule="exact"/>
        <w:rPr>
          <w:rFonts w:ascii="Arial" w:cs="Arial" w:eastAsia="Arial" w:hAnsi="Arial"/>
          <w:sz w:val="22"/>
          <w:szCs w:val="22"/>
          <w:color w:val="auto"/>
        </w:rPr>
      </w:pPr>
    </w:p>
    <w:p>
      <w:pPr>
        <w:ind w:firstLine="656"/>
        <w:spacing w:after="0" w:line="246" w:lineRule="auto"/>
        <w:tabs>
          <w:tab w:leader="none" w:pos="1404" w:val="left"/>
        </w:tabs>
        <w:numPr>
          <w:ilvl w:val="1"/>
          <w:numId w:val="48"/>
        </w:numPr>
        <w:rPr>
          <w:rFonts w:ascii="Arial" w:cs="Arial" w:eastAsia="Arial" w:hAnsi="Arial"/>
          <w:sz w:val="21"/>
          <w:szCs w:val="21"/>
          <w:color w:val="auto"/>
        </w:rPr>
      </w:pPr>
      <w:r>
        <w:rPr>
          <w:rFonts w:ascii="Arial" w:cs="Arial" w:eastAsia="Arial" w:hAnsi="Arial"/>
          <w:sz w:val="21"/>
          <w:szCs w:val="21"/>
          <w:color w:val="auto"/>
        </w:rPr>
        <w:t>Except as set forth in the Disclosure Package and the Prospectus, the consolidated historical financial statements included or incorporated by reference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and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ind w:left="-20" w:right="100" w:firstLine="656"/>
        <w:spacing w:after="0" w:line="247" w:lineRule="auto"/>
        <w:tabs>
          <w:tab w:leader="none" w:pos="1396"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04" w:lineRule="exact"/>
        <w:rPr>
          <w:rFonts w:ascii="Arial" w:cs="Arial" w:eastAsia="Arial" w:hAnsi="Arial"/>
          <w:sz w:val="21"/>
          <w:szCs w:val="21"/>
          <w:color w:val="auto"/>
        </w:rPr>
      </w:pPr>
    </w:p>
    <w:p>
      <w:pPr>
        <w:ind w:left="-20" w:firstLine="656"/>
        <w:spacing w:after="0" w:line="235" w:lineRule="auto"/>
        <w:tabs>
          <w:tab w:leader="none" w:pos="137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14" w:lineRule="exact"/>
        <w:rPr>
          <w:rFonts w:ascii="Arial" w:cs="Arial" w:eastAsia="Arial" w:hAnsi="Arial"/>
          <w:sz w:val="22"/>
          <w:szCs w:val="22"/>
          <w:color w:val="auto"/>
        </w:rPr>
      </w:pPr>
    </w:p>
    <w:p>
      <w:pPr>
        <w:ind w:left="-20" w:right="20" w:firstLine="656"/>
        <w:spacing w:after="0" w:line="248" w:lineRule="auto"/>
        <w:tabs>
          <w:tab w:leader="none" w:pos="142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Debt Documents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03" w:lineRule="exact"/>
        <w:rPr>
          <w:rFonts w:ascii="Arial" w:cs="Arial" w:eastAsia="Arial" w:hAnsi="Arial"/>
          <w:sz w:val="21"/>
          <w:szCs w:val="21"/>
          <w:color w:val="auto"/>
        </w:rPr>
      </w:pPr>
    </w:p>
    <w:p>
      <w:pPr>
        <w:ind w:left="-20" w:right="100" w:firstLine="656"/>
        <w:spacing w:after="0" w:line="274" w:lineRule="auto"/>
        <w:tabs>
          <w:tab w:leader="none" w:pos="14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85" w:lineRule="exact"/>
        <w:rPr>
          <w:rFonts w:ascii="Arial" w:cs="Arial" w:eastAsia="Arial" w:hAnsi="Arial"/>
          <w:sz w:val="19"/>
          <w:szCs w:val="19"/>
          <w:color w:val="auto"/>
        </w:rPr>
      </w:pPr>
    </w:p>
    <w:p>
      <w:pPr>
        <w:ind w:left="-20" w:firstLine="656"/>
        <w:spacing w:after="0" w:line="236" w:lineRule="auto"/>
        <w:tabs>
          <w:tab w:leader="none" w:pos="14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Deloitte &amp; Touche LLP, who has audited the consolidated financial statements of Academy Sports and Outdoors, Inc. and its subsidiaries as of January 30, 2021 and February 1, 2020 and for each of the three years in the period ended January 30, 2021, each included in the Disclosure Package and the Prospectus, are independent registered public accountants with respect to the Company within the meaning of the Exchange Act and the rules of the Public Company Accounting Oversight Board.</w:t>
      </w:r>
    </w:p>
    <w:p>
      <w:pPr>
        <w:spacing w:after="0" w:line="214" w:lineRule="exact"/>
        <w:rPr>
          <w:rFonts w:ascii="Arial" w:cs="Arial" w:eastAsia="Arial" w:hAnsi="Arial"/>
          <w:sz w:val="22"/>
          <w:szCs w:val="22"/>
          <w:color w:val="auto"/>
        </w:rPr>
      </w:pPr>
    </w:p>
    <w:p>
      <w:pPr>
        <w:ind w:left="-20" w:right="40" w:firstLine="656"/>
        <w:spacing w:after="0" w:line="234" w:lineRule="auto"/>
        <w:tabs>
          <w:tab w:leader="none" w:pos="14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7" w:lineRule="exact"/>
        <w:rPr>
          <w:rFonts w:ascii="Arial" w:cs="Arial" w:eastAsia="Arial" w:hAnsi="Arial"/>
          <w:sz w:val="22"/>
          <w:szCs w:val="22"/>
          <w:color w:val="auto"/>
        </w:rPr>
      </w:pPr>
    </w:p>
    <w:p>
      <w:pPr>
        <w:ind w:left="-20" w:right="260" w:firstLine="656"/>
        <w:spacing w:after="0"/>
        <w:tabs>
          <w:tab w:leader="none" w:pos="14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72" w:name="page73"/>
    <w:bookmarkEnd w:id="72"/>
    <w:p>
      <w:pPr>
        <w:ind w:left="-8" w:right="160" w:firstLine="656"/>
        <w:spacing w:after="0" w:line="282" w:lineRule="auto"/>
        <w:tabs>
          <w:tab w:leader="none" w:pos="14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75" w:lineRule="exact"/>
        <w:rPr>
          <w:sz w:val="20"/>
          <w:szCs w:val="20"/>
          <w:color w:val="auto"/>
        </w:rPr>
      </w:pPr>
    </w:p>
    <w:p>
      <w:pPr>
        <w:ind w:left="-8" w:right="180" w:firstLine="656"/>
        <w:spacing w:after="0" w:line="275" w:lineRule="auto"/>
        <w:tabs>
          <w:tab w:leader="none" w:pos="1516"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Debt Documents.</w:t>
      </w:r>
    </w:p>
    <w:p>
      <w:pPr>
        <w:spacing w:after="0" w:line="184" w:lineRule="exact"/>
        <w:rPr>
          <w:rFonts w:ascii="Arial" w:cs="Arial" w:eastAsia="Arial" w:hAnsi="Arial"/>
          <w:sz w:val="19"/>
          <w:szCs w:val="19"/>
          <w:color w:val="auto"/>
        </w:rPr>
      </w:pPr>
    </w:p>
    <w:p>
      <w:pPr>
        <w:ind w:left="-8" w:right="20" w:firstLine="656"/>
        <w:spacing w:after="0" w:line="277" w:lineRule="auto"/>
        <w:tabs>
          <w:tab w:leader="none" w:pos="15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78" w:lineRule="exact"/>
        <w:rPr>
          <w:rFonts w:ascii="Arial" w:cs="Arial" w:eastAsia="Arial" w:hAnsi="Arial"/>
          <w:sz w:val="19"/>
          <w:szCs w:val="19"/>
          <w:color w:val="auto"/>
        </w:rPr>
      </w:pPr>
    </w:p>
    <w:p>
      <w:pPr>
        <w:ind w:left="-8" w:right="60" w:firstLine="656"/>
        <w:spacing w:after="0" w:line="246" w:lineRule="auto"/>
        <w:tabs>
          <w:tab w:leader="none" w:pos="1516"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206" w:lineRule="exact"/>
        <w:rPr>
          <w:rFonts w:ascii="Arial" w:cs="Arial" w:eastAsia="Arial" w:hAnsi="Arial"/>
          <w:sz w:val="21"/>
          <w:szCs w:val="21"/>
          <w:color w:val="auto"/>
        </w:rPr>
      </w:pPr>
    </w:p>
    <w:p>
      <w:pPr>
        <w:ind w:left="-8" w:right="380" w:firstLine="656"/>
        <w:spacing w:after="0" w:line="250" w:lineRule="auto"/>
        <w:tabs>
          <w:tab w:leader="none" w:pos="15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Company and its subsidiaries maintain “disclosure controls and procedures” (as such term is defined in Rule 13a-15(e) under the Exchange Act); such disclosure controls and procedures are effective.</w:t>
      </w:r>
    </w:p>
    <w:p>
      <w:pPr>
        <w:spacing w:after="0" w:line="201" w:lineRule="exact"/>
        <w:rPr>
          <w:rFonts w:ascii="Arial" w:cs="Arial" w:eastAsia="Arial" w:hAnsi="Arial"/>
          <w:sz w:val="22"/>
          <w:szCs w:val="22"/>
          <w:color w:val="auto"/>
        </w:rPr>
      </w:pPr>
    </w:p>
    <w:p>
      <w:pPr>
        <w:ind w:left="-8" w:firstLine="656"/>
        <w:spacing w:after="0" w:line="269" w:lineRule="auto"/>
        <w:tabs>
          <w:tab w:leader="none" w:pos="1516"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w:t>
      </w:r>
    </w:p>
    <w:p>
      <w:pPr>
        <w:spacing w:after="0" w:line="4" w:lineRule="exact"/>
        <w:rPr>
          <w:rFonts w:ascii="Arial" w:cs="Arial" w:eastAsia="Arial" w:hAnsi="Arial"/>
          <w:sz w:val="19"/>
          <w:szCs w:val="19"/>
          <w:color w:val="auto"/>
        </w:rPr>
      </w:pPr>
    </w:p>
    <w:p>
      <w:pPr>
        <w:ind w:left="-8" w:right="40" w:firstLine="8"/>
        <w:spacing w:after="0" w:line="280" w:lineRule="auto"/>
        <w:tabs>
          <w:tab w:leader="none" w:pos="358" w:val="left"/>
        </w:tabs>
        <w:numPr>
          <w:ilvl w:val="0"/>
          <w:numId w:val="52"/>
        </w:numPr>
        <w:rPr>
          <w:rFonts w:ascii="Arial" w:cs="Arial" w:eastAsia="Arial" w:hAnsi="Arial"/>
          <w:sz w:val="19"/>
          <w:szCs w:val="19"/>
          <w:color w:val="auto"/>
        </w:rPr>
      </w:pPr>
      <w:r>
        <w:rPr>
          <w:rFonts w:ascii="Arial" w:cs="Arial" w:eastAsia="Arial" w:hAnsi="Arial"/>
          <w:sz w:val="19"/>
          <w:szCs w:val="19"/>
          <w:color w:val="auto"/>
        </w:rPr>
        <w:t>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73" w:name="page74"/>
    <w:bookmarkEnd w:id="73"/>
    <w:p>
      <w:pPr>
        <w:jc w:val="both"/>
        <w:ind w:left="-40" w:right="380" w:firstLine="656"/>
        <w:spacing w:after="0" w:line="258" w:lineRule="auto"/>
        <w:tabs>
          <w:tab w:leader="none" w:pos="1432" w:val="left"/>
        </w:tabs>
        <w:numPr>
          <w:ilvl w:val="0"/>
          <w:numId w:val="53"/>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93" w:lineRule="exact"/>
        <w:rPr>
          <w:rFonts w:ascii="Arial" w:cs="Arial" w:eastAsia="Arial" w:hAnsi="Arial"/>
          <w:sz w:val="21"/>
          <w:szCs w:val="21"/>
          <w:color w:val="auto"/>
        </w:rPr>
      </w:pPr>
    </w:p>
    <w:p>
      <w:pPr>
        <w:ind w:left="-40" w:right="20" w:firstLine="656"/>
        <w:spacing w:after="0" w:line="271" w:lineRule="auto"/>
        <w:tabs>
          <w:tab w:leader="none" w:pos="1508"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Debt Documents;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1260" w:hanging="644"/>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44" w:lineRule="exact"/>
        <w:rPr>
          <w:rFonts w:ascii="Arial" w:cs="Arial" w:eastAsia="Arial" w:hAnsi="Arial"/>
          <w:sz w:val="18"/>
          <w:szCs w:val="18"/>
          <w:color w:val="auto"/>
        </w:rPr>
      </w:pPr>
    </w:p>
    <w:p>
      <w:pPr>
        <w:ind w:left="-40" w:right="200" w:firstLine="656"/>
        <w:spacing w:after="0"/>
        <w:tabs>
          <w:tab w:leader="none" w:pos="1412"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w:t>
      </w:r>
    </w:p>
    <w:p>
      <w:pPr>
        <w:spacing w:after="0" w:line="213" w:lineRule="exact"/>
        <w:rPr>
          <w:rFonts w:ascii="Arial" w:cs="Arial" w:eastAsia="Arial" w:hAnsi="Arial"/>
          <w:sz w:val="22"/>
          <w:szCs w:val="22"/>
          <w:color w:val="auto"/>
        </w:rPr>
      </w:pPr>
    </w:p>
    <w:p>
      <w:pPr>
        <w:jc w:val="both"/>
        <w:ind w:left="-40" w:right="40" w:firstLine="656"/>
        <w:spacing w:after="0" w:line="297" w:lineRule="auto"/>
        <w:tabs>
          <w:tab w:leader="none" w:pos="1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160" w:lineRule="exact"/>
        <w:rPr>
          <w:rFonts w:ascii="Arial" w:cs="Arial" w:eastAsia="Arial" w:hAnsi="Arial"/>
          <w:sz w:val="19"/>
          <w:szCs w:val="19"/>
          <w:color w:val="auto"/>
        </w:rPr>
      </w:pPr>
    </w:p>
    <w:p>
      <w:pPr>
        <w:ind w:left="-40" w:firstLine="656"/>
        <w:spacing w:after="0" w:line="275" w:lineRule="auto"/>
        <w:tabs>
          <w:tab w:leader="none" w:pos="1508"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74" w:name="page75"/>
    <w:bookmarkEnd w:id="74"/>
    <w:p>
      <w:pPr>
        <w:ind w:left="-20" w:right="60" w:firstLine="656"/>
        <w:spacing w:after="0" w:line="273" w:lineRule="auto"/>
        <w:tabs>
          <w:tab w:leader="none" w:pos="14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82" w:lineRule="exact"/>
        <w:rPr>
          <w:rFonts w:ascii="Arial" w:cs="Arial" w:eastAsia="Arial" w:hAnsi="Arial"/>
          <w:sz w:val="19"/>
          <w:szCs w:val="19"/>
          <w:color w:val="auto"/>
        </w:rPr>
      </w:pPr>
    </w:p>
    <w:p>
      <w:pPr>
        <w:ind w:left="-20" w:firstLine="656"/>
        <w:spacing w:after="0" w:line="270" w:lineRule="auto"/>
        <w:tabs>
          <w:tab w:leader="none" w:pos="16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20" w:firstLine="656"/>
        <w:spacing w:after="0" w:line="270" w:lineRule="auto"/>
        <w:tabs>
          <w:tab w:leader="none" w:pos="1528"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 (Chapter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 (1) 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75" w:name="page76"/>
    <w:bookmarkEnd w:id="75"/>
    <w:p>
      <w:pPr>
        <w:ind w:right="20" w:firstLine="656"/>
        <w:spacing w:after="0" w:line="271" w:lineRule="auto"/>
        <w:tabs>
          <w:tab w:leader="none" w:pos="1548" w:val="left"/>
        </w:tabs>
        <w:numPr>
          <w:ilvl w:val="0"/>
          <w:numId w:val="55"/>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238"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213" w:lineRule="exact"/>
        <w:rPr>
          <w:sz w:val="20"/>
          <w:szCs w:val="20"/>
          <w:color w:val="auto"/>
        </w:rPr>
      </w:pPr>
    </w:p>
    <w:p>
      <w:pPr>
        <w:ind w:right="240" w:firstLine="656"/>
        <w:spacing w:after="0" w:line="250" w:lineRule="auto"/>
        <w:tabs>
          <w:tab w:leader="none" w:pos="135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Selling Stockholders.</w:t>
      </w:r>
      <w:r>
        <w:rPr>
          <w:rFonts w:ascii="Arial" w:cs="Arial" w:eastAsia="Arial" w:hAnsi="Arial"/>
          <w:sz w:val="22"/>
          <w:szCs w:val="22"/>
          <w:color w:val="auto"/>
        </w:rPr>
        <w:t xml:space="preserve"> Each Selling Stockholder represents, warrants and covenants to the Company and the Underwriters, severally and not jointly, as follows:</w:t>
      </w:r>
    </w:p>
    <w:p>
      <w:pPr>
        <w:spacing w:after="0" w:line="202" w:lineRule="exact"/>
        <w:rPr>
          <w:sz w:val="20"/>
          <w:szCs w:val="20"/>
          <w:color w:val="auto"/>
        </w:rPr>
      </w:pPr>
    </w:p>
    <w:p>
      <w:pPr>
        <w:ind w:left="1440" w:hanging="784"/>
        <w:spacing w:after="0"/>
        <w:tabs>
          <w:tab w:leader="none" w:pos="14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or on behalf of such Selling Stockholder.</w:t>
      </w:r>
    </w:p>
    <w:p>
      <w:pPr>
        <w:spacing w:after="0" w:line="267" w:lineRule="exact"/>
        <w:rPr>
          <w:rFonts w:ascii="Arial" w:cs="Arial" w:eastAsia="Arial" w:hAnsi="Arial"/>
          <w:sz w:val="19"/>
          <w:szCs w:val="19"/>
          <w:color w:val="auto"/>
        </w:rPr>
      </w:pPr>
    </w:p>
    <w:p>
      <w:pPr>
        <w:ind w:firstLine="656"/>
        <w:spacing w:after="0" w:line="273" w:lineRule="auto"/>
        <w:tabs>
          <w:tab w:leader="none" w:pos="14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such Selling Stockholder is a Gochman Selling Stockholder, (i) book-entry entitlements representing all of the Securities to be sold by such Selling Stockholder hereunder have been placed in custody under a Custody Agreement, in the form heretofore furnished to you (the “Custody Agreement”), duly executed and delivered by such Selling Stockholder to Broadridge Corporate Issuer Solutions, Inc., as custodian (the “Custodian”), and (ii) such Selling Stockholder shall have duly executed and delivered a Power of Attorney, in the form heretofore furnished to you (the “Power of Attorney”), appointing Ken Hicks, Michael Mullican, and Rene Casares,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3 hereof, to execute and deliver a Stock Power relating to the Underwritten Securities to be sold by such Selling Stockholder (the “Stock Power”), to authorize the delivery of the Securities to be sold by such Selling Stockholder hereunder and to otherwise to act on behalf of such Selling Stockholder in connection with the transactions contemplated by this Agreement and the Custody Agreement.</w:t>
      </w:r>
    </w:p>
    <w:p>
      <w:pPr>
        <w:spacing w:after="0" w:line="182" w:lineRule="exact"/>
        <w:rPr>
          <w:rFonts w:ascii="Arial" w:cs="Arial" w:eastAsia="Arial" w:hAnsi="Arial"/>
          <w:sz w:val="19"/>
          <w:szCs w:val="19"/>
          <w:color w:val="auto"/>
        </w:rPr>
      </w:pPr>
    </w:p>
    <w:p>
      <w:pPr>
        <w:ind w:right="40" w:firstLine="656"/>
        <w:spacing w:after="0" w:line="271" w:lineRule="auto"/>
        <w:tabs>
          <w:tab w:leader="none" w:pos="1428" w:val="left"/>
        </w:tabs>
        <w:numPr>
          <w:ilvl w:val="0"/>
          <w:numId w:val="57"/>
        </w:numPr>
        <w:rPr>
          <w:rFonts w:ascii="Arial" w:cs="Arial" w:eastAsia="Arial" w:hAnsi="Arial"/>
          <w:sz w:val="19"/>
          <w:szCs w:val="19"/>
          <w:color w:val="auto"/>
        </w:rPr>
      </w:pPr>
      <w:r>
        <w:rPr>
          <w:rFonts w:ascii="Arial" w:cs="Arial" w:eastAsia="Arial" w:hAnsi="Arial"/>
          <w:sz w:val="19"/>
          <w:szCs w:val="19"/>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Securities on the books of DTC to the securities account of the Underwriters (assuming that neither DTC nor the Underwriters has notice of any adverse claim (within the meaning of Section 8-105 of the New York Uniform Commercial Code (the “UCC”)) to such Securities),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successfully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firstLine="656"/>
        <w:spacing w:after="0" w:line="270" w:lineRule="auto"/>
        <w:tabs>
          <w:tab w:leader="none" w:pos="1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execution and delivery by such Selling Stockholder, or such Selling Stockholder’s Attorneys-in-Fact, as applicable, of, and the performance by such Selling Stockholder of its obligations under, this Agreement, and, if such Selling Stockholder is a Gochman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Stockholders, the limited partnership agreement or the limited liability company agreement, as applicable, of the KKR Selling Stockholders, (ii) in the case of the Gochman Selling Stockholders, the limited partnership agreement or limited liability company agreement, as applicable, of the Gochman Selling Stockholders,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Gochman Selling Stockholder, under the Power of Attorney, the Custody Agreement and the Stock Power, except such as may be required under the Securities Act, the Exchange Act, applicable state securities or blue sky laws and from the FINRA and such other approvals as have been or will be made or obtained on or prior to the Closing Date.</w:t>
      </w:r>
    </w:p>
    <w:p>
      <w:pPr>
        <w:spacing w:after="0" w:line="195" w:lineRule="exact"/>
        <w:rPr>
          <w:rFonts w:ascii="Arial" w:cs="Arial" w:eastAsia="Arial" w:hAnsi="Arial"/>
          <w:sz w:val="19"/>
          <w:szCs w:val="19"/>
          <w:color w:val="auto"/>
        </w:rPr>
      </w:pPr>
    </w:p>
    <w:p>
      <w:pPr>
        <w:ind w:right="60" w:firstLine="656"/>
        <w:spacing w:after="0" w:line="275" w:lineRule="auto"/>
        <w:tabs>
          <w:tab w:leader="none" w:pos="14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the “Selling Stockholders Information”).</w:t>
      </w:r>
    </w:p>
    <w:p>
      <w:pPr>
        <w:spacing w:after="0" w:line="184" w:lineRule="exact"/>
        <w:rPr>
          <w:rFonts w:ascii="Arial" w:cs="Arial" w:eastAsia="Arial" w:hAnsi="Arial"/>
          <w:sz w:val="19"/>
          <w:szCs w:val="19"/>
          <w:color w:val="auto"/>
        </w:rPr>
      </w:pPr>
    </w:p>
    <w:p>
      <w:pPr>
        <w:ind w:right="140" w:firstLine="656"/>
        <w:spacing w:after="0" w:line="246" w:lineRule="auto"/>
        <w:tabs>
          <w:tab w:leader="none" w:pos="1404" w:val="left"/>
        </w:tabs>
        <w:numPr>
          <w:ilvl w:val="0"/>
          <w:numId w:val="58"/>
        </w:numPr>
        <w:rPr>
          <w:rFonts w:ascii="Arial" w:cs="Arial" w:eastAsia="Arial" w:hAnsi="Arial"/>
          <w:sz w:val="21"/>
          <w:szCs w:val="21"/>
          <w:color w:val="auto"/>
        </w:rPr>
      </w:pPr>
      <w:r>
        <w:rPr>
          <w:rFonts w:ascii="Arial" w:cs="Arial" w:eastAsia="Arial" w:hAnsi="Arial"/>
          <w:sz w:val="21"/>
          <w:szCs w:val="21"/>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in Schedule II hereto, each electronic road show and any other written communications approved in writing in advance by the Company and the Representatives.</w:t>
      </w:r>
    </w:p>
    <w:p>
      <w:pPr>
        <w:spacing w:after="0" w:line="211" w:lineRule="exact"/>
        <w:rPr>
          <w:rFonts w:ascii="Arial" w:cs="Arial" w:eastAsia="Arial" w:hAnsi="Arial"/>
          <w:sz w:val="21"/>
          <w:szCs w:val="21"/>
          <w:color w:val="auto"/>
        </w:rPr>
      </w:pPr>
    </w:p>
    <w:p>
      <w:pPr>
        <w:ind w:right="160" w:firstLine="656"/>
        <w:spacing w:after="0"/>
        <w:tabs>
          <w:tab w:leader="none" w:pos="14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13" w:lineRule="exact"/>
        <w:rPr>
          <w:sz w:val="20"/>
          <w:szCs w:val="20"/>
          <w:color w:val="auto"/>
        </w:rPr>
      </w:pPr>
    </w:p>
    <w:p>
      <w:pPr>
        <w:ind w:right="320"/>
        <w:spacing w:after="0" w:line="277" w:lineRule="auto"/>
        <w:rPr>
          <w:sz w:val="20"/>
          <w:szCs w:val="20"/>
          <w:color w:val="auto"/>
        </w:rPr>
      </w:pPr>
      <w:r>
        <w:rPr>
          <w:rFonts w:ascii="Arial" w:cs="Arial" w:eastAsia="Arial" w:hAnsi="Arial"/>
          <w:sz w:val="19"/>
          <w:szCs w:val="19"/>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 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77" w:name="page78"/>
    <w:bookmarkEnd w:id="77"/>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45" w:lineRule="exact"/>
        <w:rPr>
          <w:sz w:val="20"/>
          <w:szCs w:val="20"/>
          <w:color w:val="auto"/>
        </w:rPr>
      </w:pPr>
    </w:p>
    <w:p>
      <w:pPr>
        <w:ind w:right="40" w:firstLine="656"/>
        <w:spacing w:after="0" w:line="273" w:lineRule="auto"/>
        <w:tabs>
          <w:tab w:leader="none" w:pos="1428"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 ● ]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 Contemporaneously with and, subject to the sale of the Underwritten Securities by the Selling Stockholders to the Underwriters in compliance with the terms of this Agreement, the Underwriters agree to sell to the Company, and the Company agrees to purchase from the Underwriters, an aggregate of [ ● ] shares of Common Stock at a purchase price per share set forth above in this Section 3.</w:t>
      </w:r>
    </w:p>
    <w:p>
      <w:pPr>
        <w:spacing w:after="0" w:line="182" w:lineRule="exact"/>
        <w:rPr>
          <w:rFonts w:ascii="Arial" w:cs="Arial" w:eastAsia="Arial" w:hAnsi="Arial"/>
          <w:sz w:val="19"/>
          <w:szCs w:val="19"/>
          <w:color w:val="auto"/>
        </w:rPr>
      </w:pPr>
    </w:p>
    <w:p>
      <w:pPr>
        <w:ind w:right="100" w:firstLine="656"/>
        <w:spacing w:after="0" w:line="273" w:lineRule="auto"/>
        <w:tabs>
          <w:tab w:leader="none" w:pos="14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Subject to the terms and conditions and in reliance upon the representations and warranties herein set forth, the KKR Selling Stockholders hereby grant an option to the several Underwriters to purchase, severally and not jointly, up to [ ● ]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KKR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firstLine="656"/>
        <w:spacing w:after="0" w:line="270" w:lineRule="auto"/>
        <w:tabs>
          <w:tab w:leader="none" w:pos="1428" w:val="left"/>
        </w:tabs>
        <w:numPr>
          <w:ilvl w:val="0"/>
          <w:numId w:val="60"/>
        </w:numPr>
        <w:rPr>
          <w:rFonts w:ascii="Arial" w:cs="Arial" w:eastAsia="Arial" w:hAnsi="Arial"/>
          <w:sz w:val="19"/>
          <w:szCs w:val="19"/>
          <w:color w:val="auto"/>
        </w:rPr>
      </w:pPr>
      <w:r>
        <w:rPr>
          <w:rFonts w:ascii="Arial" w:cs="Arial" w:eastAsia="Arial" w:hAnsi="Arial"/>
          <w:sz w:val="19"/>
          <w:szCs w:val="19"/>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Underwritten Securities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Shareholder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Stockholders to participate in the offering, enter into a “lock-up” agreement, or sell any Securities at the price determined in the offering, and nothing set forth in such disclosures is intended to suggest that the Representatives or any Underwriter is making such a recommendation.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ind w:firstLine="656"/>
        <w:spacing w:after="0" w:line="270" w:lineRule="auto"/>
        <w:tabs>
          <w:tab w:leader="none" w:pos="135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 ● ],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 On the Closing Date, subject to the sale of the Underwritten Securities by the Selling Stockholders to the Underwriters in compliance with the terms of this Agreement, and in consideration for the Repurchase Securities, the Company shall pay the purchase price set forth in Section 3(a) hereof for each Repurchase Securities by wire transfer of federal (same-day) funds to the account specified by the Underwriters to the Company at least twenty-four hours in advance. Payment for the Repurchase Securities shall be made against delivery by the Underwriters of the Repurchase Securities to the Company through the facilities of the DTC for the account of the Company on the Closing Date.</w:t>
      </w:r>
    </w:p>
    <w:p>
      <w:pPr>
        <w:spacing w:after="0" w:line="19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If the option provided for in Section 3(b) hereof is exercised after the second Business Day immediately preceding the Closing Date, the KKR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KKR Selling Stockholders) for the respective accounts of the several Underwriters, against payment by the several Underwriters through the Representatives of the purchase price thereof to or upon the order of the KKR Selling Stockholders by wire transfer payable in same-day funds to the account(s) specified by the KKR Selling Stockholders. If settlement for the Option Securities occurs after the Closing Date, the KKR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188" w:lineRule="exact"/>
        <w:rPr>
          <w:sz w:val="20"/>
          <w:szCs w:val="20"/>
          <w:color w:val="auto"/>
        </w:rPr>
      </w:pPr>
    </w:p>
    <w:p>
      <w:pPr>
        <w:ind w:right="20" w:firstLine="656"/>
        <w:spacing w:after="0" w:line="250" w:lineRule="auto"/>
        <w:tabs>
          <w:tab w:leader="none" w:pos="135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Prospectus.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ind w:left="1292" w:hanging="644"/>
        <w:spacing w:after="0"/>
        <w:tabs>
          <w:tab w:leader="none" w:pos="129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45" w:lineRule="exact"/>
        <w:rPr>
          <w:sz w:val="20"/>
          <w:szCs w:val="20"/>
          <w:color w:val="auto"/>
        </w:rPr>
      </w:pPr>
    </w:p>
    <w:p>
      <w:pPr>
        <w:ind w:left="-8" w:firstLine="656"/>
        <w:spacing w:after="0" w:line="268" w:lineRule="auto"/>
        <w:tabs>
          <w:tab w:leader="none" w:pos="14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w:t>
      </w:r>
    </w:p>
    <w:p>
      <w:pPr>
        <w:spacing w:after="0" w:line="7" w:lineRule="exact"/>
        <w:rPr>
          <w:rFonts w:ascii="Arial" w:cs="Arial" w:eastAsia="Arial" w:hAnsi="Arial"/>
          <w:sz w:val="19"/>
          <w:szCs w:val="19"/>
          <w:color w:val="auto"/>
        </w:rPr>
      </w:pPr>
    </w:p>
    <w:p>
      <w:pPr>
        <w:ind w:left="-8" w:right="40" w:firstLine="8"/>
        <w:spacing w:after="0" w:line="272" w:lineRule="auto"/>
        <w:tabs>
          <w:tab w:leader="none" w:pos="358" w:val="left"/>
        </w:tabs>
        <w:numPr>
          <w:ilvl w:val="0"/>
          <w:numId w:val="65"/>
        </w:numPr>
        <w:rPr>
          <w:rFonts w:ascii="Arial" w:cs="Arial" w:eastAsia="Arial" w:hAnsi="Arial"/>
          <w:sz w:val="19"/>
          <w:szCs w:val="19"/>
          <w:color w:val="auto"/>
        </w:rPr>
      </w:pPr>
      <w:r>
        <w:rPr>
          <w:rFonts w:ascii="Arial" w:cs="Arial" w:eastAsia="Arial" w:hAnsi="Arial"/>
          <w:sz w:val="19"/>
          <w:szCs w:val="19"/>
          <w:color w:val="auto"/>
        </w:rPr>
        <w:t>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83" w:lineRule="exact"/>
        <w:rPr>
          <w:rFonts w:ascii="Arial" w:cs="Arial" w:eastAsia="Arial" w:hAnsi="Arial"/>
          <w:sz w:val="19"/>
          <w:szCs w:val="19"/>
          <w:color w:val="auto"/>
        </w:rPr>
      </w:pPr>
    </w:p>
    <w:p>
      <w:pPr>
        <w:ind w:left="-8" w:firstLine="656"/>
        <w:spacing w:after="0" w:line="234" w:lineRule="auto"/>
        <w:tabs>
          <w:tab w:leader="none" w:pos="1432" w:val="left"/>
        </w:tabs>
        <w:numPr>
          <w:ilvl w:val="1"/>
          <w:numId w:val="65"/>
        </w:numPr>
        <w:rPr>
          <w:rFonts w:ascii="Arial" w:cs="Arial" w:eastAsia="Arial" w:hAnsi="Arial"/>
          <w:sz w:val="22"/>
          <w:szCs w:val="22"/>
          <w:color w:val="auto"/>
        </w:rPr>
      </w:pPr>
      <w:r>
        <w:rPr>
          <w:rFonts w:ascii="Arial" w:cs="Arial" w:eastAsia="Arial" w:hAnsi="Arial"/>
          <w:sz w:val="22"/>
          <w:szCs w:val="22"/>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subject to paragraph (a) of this Section 6,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213" w:lineRule="exact"/>
        <w:rPr>
          <w:rFonts w:ascii="Arial" w:cs="Arial" w:eastAsia="Arial" w:hAnsi="Arial"/>
          <w:sz w:val="22"/>
          <w:szCs w:val="22"/>
          <w:color w:val="auto"/>
        </w:rPr>
      </w:pPr>
    </w:p>
    <w:p>
      <w:pPr>
        <w:ind w:left="-8" w:right="60" w:firstLine="656"/>
        <w:spacing w:after="0" w:line="273" w:lineRule="auto"/>
        <w:tabs>
          <w:tab w:leader="none" w:pos="14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89" w:lineRule="exact"/>
        <w:rPr>
          <w:rFonts w:ascii="Arial" w:cs="Arial" w:eastAsia="Arial" w:hAnsi="Arial"/>
          <w:sz w:val="19"/>
          <w:szCs w:val="19"/>
          <w:color w:val="auto"/>
        </w:rPr>
      </w:pPr>
    </w:p>
    <w:p>
      <w:pPr>
        <w:ind w:left="1292" w:hanging="644"/>
        <w:spacing w:after="0"/>
        <w:tabs>
          <w:tab w:leader="none" w:pos="1292"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44" w:lineRule="exact"/>
        <w:rPr>
          <w:rFonts w:ascii="Arial" w:cs="Arial" w:eastAsia="Arial" w:hAnsi="Arial"/>
          <w:sz w:val="18"/>
          <w:szCs w:val="18"/>
          <w:color w:val="auto"/>
        </w:rPr>
      </w:pPr>
    </w:p>
    <w:p>
      <w:pPr>
        <w:ind w:left="-8" w:right="20" w:firstLine="656"/>
        <w:spacing w:after="0" w:line="297" w:lineRule="auto"/>
        <w:tabs>
          <w:tab w:leader="none" w:pos="14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80" w:name="page81"/>
    <w:bookmarkEnd w:id="80"/>
    <w:p>
      <w:pPr>
        <w:ind w:left="-20" w:right="160" w:firstLine="656"/>
        <w:spacing w:after="0" w:line="251" w:lineRule="auto"/>
        <w:tabs>
          <w:tab w:leader="none" w:pos="138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will cooperate with the Representatives and use its commercially reasonable efforts to permit the Securities to be eligible for clearance and settlement through DTC.</w:t>
      </w:r>
    </w:p>
    <w:p>
      <w:pPr>
        <w:spacing w:after="0" w:line="200" w:lineRule="exact"/>
        <w:rPr>
          <w:rFonts w:ascii="Arial" w:cs="Arial" w:eastAsia="Arial" w:hAnsi="Arial"/>
          <w:sz w:val="22"/>
          <w:szCs w:val="22"/>
          <w:color w:val="auto"/>
        </w:rPr>
      </w:pPr>
    </w:p>
    <w:p>
      <w:pPr>
        <w:ind w:left="-20" w:right="140" w:firstLine="656"/>
        <w:spacing w:after="0" w:line="246" w:lineRule="auto"/>
        <w:tabs>
          <w:tab w:leader="none" w:pos="142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11" w:lineRule="exact"/>
        <w:rPr>
          <w:rFonts w:ascii="Arial" w:cs="Arial" w:eastAsia="Arial" w:hAnsi="Arial"/>
          <w:sz w:val="21"/>
          <w:szCs w:val="21"/>
          <w:color w:val="auto"/>
        </w:rPr>
      </w:pPr>
    </w:p>
    <w:p>
      <w:pPr>
        <w:ind w:left="-20" w:right="60" w:firstLine="656"/>
        <w:spacing w:after="0" w:line="234" w:lineRule="auto"/>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17" w:lineRule="exact"/>
        <w:rPr>
          <w:rFonts w:ascii="Arial" w:cs="Arial" w:eastAsia="Arial" w:hAnsi="Arial"/>
          <w:sz w:val="22"/>
          <w:szCs w:val="22"/>
          <w:color w:val="auto"/>
        </w:rPr>
      </w:pPr>
    </w:p>
    <w:p>
      <w:pPr>
        <w:ind w:left="-20" w:firstLine="656"/>
        <w:spacing w:after="0" w:line="269" w:lineRule="auto"/>
        <w:tabs>
          <w:tab w:leader="none" w:pos="1372"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Company will not, without the prior written consent of the Representatives,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45 days after the date of the Underwriting Agreement. The foregoing sentence shall not apply to (A)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 (B) the grant of awards pursuant to the Company’s incentive plans or otherwise pursuant to equity compensation arrangements with directors, officers, employees and consultants of the Company and its subsidiaries, in each case, as described in the Disclosure Package and the Prospectus, (C)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(E) the issuance of shares of Common Stock, of restricted stock awards or of options to purchase shares of Common Stock, in each case, in connection with joint ventures, commercial relationships or other strategic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 or (F) the Share Repurchase.</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1280" w:hanging="644"/>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44" w:lineRule="exact"/>
        <w:rPr>
          <w:rFonts w:ascii="Arial" w:cs="Arial" w:eastAsia="Arial" w:hAnsi="Arial"/>
          <w:sz w:val="18"/>
          <w:szCs w:val="18"/>
          <w:color w:val="auto"/>
        </w:rPr>
      </w:pPr>
    </w:p>
    <w:p>
      <w:pPr>
        <w:jc w:val="both"/>
        <w:ind w:left="-20" w:right="160" w:firstLine="656"/>
        <w:spacing w:after="0" w:line="257" w:lineRule="auto"/>
        <w:tabs>
          <w:tab w:leader="none" w:pos="142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81" w:name="page82"/>
    <w:bookmarkEnd w:id="81"/>
    <w:p>
      <w:pPr>
        <w:ind w:firstLine="656"/>
        <w:spacing w:after="0" w:line="269" w:lineRule="auto"/>
        <w:tabs>
          <w:tab w:leader="none" w:pos="1392"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6(h)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fees and the reasonable and documented fees and expenses of counsel for the Underwriters relating to such filings in an amount not to exceed $35,000);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one counsel for the Selling Stockholders and (x) all other costs and expenses incident to the performance by the Company of its obligations hereunder. Notwithstanding the forgoing, except as specifically provided in this paragraph (l)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agrees with the Underwriters to pay (directly or by reimbursement) all fees and expenses incident to the performance of such Selling Stockholder’s obligations under this Agreement with respect to stock transfer taxes, stamp duties and other similar taxes incident to the sale and delivery of the Underwritten Securities to be sold by such Selling Stockholder to the Underwriters hereunder. This Section 6(l) shall not affect or modify any separate, valid agreement relating to the allocation of payment of expenses between the Company, on the one hand, and any Selling Stockholder, on the other hand.</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244" w:lineRule="exact"/>
        <w:rPr>
          <w:rFonts w:ascii="Arial" w:cs="Arial" w:eastAsia="Arial" w:hAnsi="Arial"/>
          <w:sz w:val="18"/>
          <w:szCs w:val="18"/>
          <w:color w:val="auto"/>
        </w:rPr>
      </w:pPr>
    </w:p>
    <w:p>
      <w:pPr>
        <w:ind w:firstLine="656"/>
        <w:spacing w:after="0" w:line="271" w:lineRule="auto"/>
        <w:tabs>
          <w:tab w:leader="none" w:pos="14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ind w:right="480" w:firstLine="656"/>
        <w:spacing w:after="0" w:line="251" w:lineRule="auto"/>
        <w:tabs>
          <w:tab w:leader="none" w:pos="135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Agreements of the Selling Stockholders</w:t>
      </w:r>
      <w:r>
        <w:rPr>
          <w:rFonts w:ascii="Arial" w:cs="Arial" w:eastAsia="Arial" w:hAnsi="Arial"/>
          <w:sz w:val="22"/>
          <w:szCs w:val="22"/>
          <w:color w:val="auto"/>
        </w:rPr>
        <w:t>. Each Selling Stockholder agrees with the Company and the several Underwriters as follows:</w:t>
      </w:r>
    </w:p>
    <w:p>
      <w:pPr>
        <w:spacing w:after="0" w:line="200" w:lineRule="exact"/>
        <w:rPr>
          <w:sz w:val="20"/>
          <w:szCs w:val="20"/>
          <w:color w:val="auto"/>
        </w:rPr>
      </w:pPr>
    </w:p>
    <w:p>
      <w:pPr>
        <w:ind w:right="60" w:firstLine="656"/>
        <w:spacing w:after="0" w:line="249" w:lineRule="auto"/>
        <w:tabs>
          <w:tab w:leader="none" w:pos="1428" w:val="left"/>
        </w:tabs>
        <w:numPr>
          <w:ilvl w:val="0"/>
          <w:numId w:val="69"/>
        </w:numPr>
        <w:rPr>
          <w:rFonts w:ascii="Arial" w:cs="Arial" w:eastAsia="Arial" w:hAnsi="Arial"/>
          <w:sz w:val="21"/>
          <w:szCs w:val="21"/>
          <w:color w:val="auto"/>
        </w:rPr>
      </w:pPr>
      <w:r>
        <w:rPr>
          <w:rFonts w:ascii="Arial" w:cs="Arial" w:eastAsia="Arial" w:hAnsi="Arial"/>
          <w:sz w:val="21"/>
          <w:szCs w:val="21"/>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05" w:lineRule="exact"/>
        <w:rPr>
          <w:rFonts w:ascii="Arial" w:cs="Arial" w:eastAsia="Arial" w:hAnsi="Arial"/>
          <w:sz w:val="21"/>
          <w:szCs w:val="21"/>
          <w:color w:val="auto"/>
        </w:rPr>
      </w:pPr>
    </w:p>
    <w:p>
      <w:pPr>
        <w:ind w:right="340" w:firstLine="656"/>
        <w:spacing w:after="0"/>
        <w:tabs>
          <w:tab w:leader="none" w:pos="14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deliver to the Underwriters prior to the Closing Date a properly completed and executed United States Treasury Department Form W-9, together with all required attachments, if any, of such Selling Stockholder or, in the case of a Gochman Selling Stockholder, of the Custodian.</w:t>
      </w:r>
    </w:p>
    <w:p>
      <w:pPr>
        <w:spacing w:after="0" w:line="213" w:lineRule="exact"/>
        <w:rPr>
          <w:sz w:val="20"/>
          <w:szCs w:val="20"/>
          <w:color w:val="auto"/>
        </w:rPr>
      </w:pPr>
    </w:p>
    <w:p>
      <w:pPr>
        <w:ind w:right="820" w:firstLine="648"/>
        <w:spacing w:after="0" w:line="274" w:lineRule="auto"/>
        <w:rPr>
          <w:sz w:val="20"/>
          <w:szCs w:val="20"/>
          <w:color w:val="auto"/>
        </w:rPr>
      </w:pPr>
      <w:r>
        <w:rPr>
          <w:rFonts w:ascii="Arial" w:cs="Arial" w:eastAsia="Arial" w:hAnsi="Arial"/>
          <w:sz w:val="21"/>
          <w:szCs w:val="21"/>
          <w:color w:val="auto"/>
        </w:rPr>
        <w:t>The Underwriters, may, in their sole discretion, waive in writing the performance by the Company or any Selling Stockholder of any one or more of the foregoing covenants or extend the time for their performance.</w:t>
      </w:r>
    </w:p>
    <w:p>
      <w:pPr>
        <w:spacing w:after="0" w:line="178" w:lineRule="exact"/>
        <w:rPr>
          <w:sz w:val="20"/>
          <w:szCs w:val="20"/>
          <w:color w:val="auto"/>
        </w:rPr>
      </w:pPr>
    </w:p>
    <w:p>
      <w:pPr>
        <w:ind w:right="20" w:firstLine="656"/>
        <w:spacing w:after="0" w:line="246" w:lineRule="auto"/>
        <w:tabs>
          <w:tab w:leader="none" w:pos="135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Conditions to the Obligations of the Underwriters</w:t>
      </w:r>
      <w:r>
        <w:rPr>
          <w:rFonts w:ascii="Arial" w:cs="Arial" w:eastAsia="Arial" w:hAnsi="Arial"/>
          <w:sz w:val="21"/>
          <w:szCs w:val="21"/>
          <w:color w:val="auto"/>
        </w:rPr>
        <w:t>. The obligations of the Underwriters to purchase the Underwritten Securities and the Option Securities, as the case may be,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207" w:lineRule="exact"/>
        <w:rPr>
          <w:sz w:val="20"/>
          <w:szCs w:val="20"/>
          <w:color w:val="auto"/>
        </w:rPr>
      </w:pPr>
    </w:p>
    <w:p>
      <w:pPr>
        <w:ind w:firstLine="656"/>
        <w:spacing w:after="0" w:line="282" w:lineRule="auto"/>
        <w:tabs>
          <w:tab w:leader="none" w:pos="1428"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174" w:lineRule="exact"/>
        <w:rPr>
          <w:rFonts w:ascii="Arial" w:cs="Arial" w:eastAsia="Arial" w:hAnsi="Arial"/>
          <w:sz w:val="19"/>
          <w:szCs w:val="19"/>
          <w:color w:val="auto"/>
        </w:rPr>
      </w:pPr>
    </w:p>
    <w:p>
      <w:pPr>
        <w:ind w:right="100" w:firstLine="656"/>
        <w:spacing w:after="0" w:line="252" w:lineRule="auto"/>
        <w:tabs>
          <w:tab w:leader="none" w:pos="1440" w:val="left"/>
        </w:tabs>
        <w:numPr>
          <w:ilvl w:val="0"/>
          <w:numId w:val="71"/>
        </w:numPr>
        <w:rPr>
          <w:rFonts w:ascii="Arial" w:cs="Arial" w:eastAsia="Arial" w:hAnsi="Arial"/>
          <w:sz w:val="21"/>
          <w:szCs w:val="21"/>
          <w:color w:val="auto"/>
        </w:rPr>
      </w:pPr>
      <w:r>
        <w:rPr>
          <w:rFonts w:ascii="Arial" w:cs="Arial" w:eastAsia="Arial" w:hAnsi="Arial"/>
          <w:sz w:val="21"/>
          <w:szCs w:val="21"/>
          <w:color w:val="auto"/>
        </w:rPr>
        <w:t>(i) The Company and the KKR Selling Stockholders shall have requested and caused Simpson Thacher &amp; Bartlett LLP, counsel for the Company and the KKR Selling Stockholders, to furnish to the Representatives an opinion letter and a negative assurance letter, each dated the Closing Date or any settlement date, as the case may be, and in form and substance reasonably satisfactory to the Representatives, as set forth in Exhibit B hereto;</w:t>
      </w:r>
    </w:p>
    <w:p>
      <w:pPr>
        <w:spacing w:after="0" w:line="200" w:lineRule="exact"/>
        <w:rPr>
          <w:rFonts w:ascii="Arial" w:cs="Arial" w:eastAsia="Arial" w:hAnsi="Arial"/>
          <w:sz w:val="21"/>
          <w:szCs w:val="21"/>
          <w:color w:val="auto"/>
        </w:rPr>
      </w:pPr>
    </w:p>
    <w:p>
      <w:pPr>
        <w:ind w:left="660" w:right="40" w:firstLine="644"/>
        <w:spacing w:after="0" w:line="297" w:lineRule="auto"/>
        <w:tabs>
          <w:tab w:leader="none" w:pos="16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Company shall have requested and caused the general counsel of the Company to furnish to the Representatives an opinion letter dated the Closing Date or any settlement date, as the case may be, and otherwise in form and substance reasonably satisfactory to the Representatives, as set forth in Exhibit C hereto; and</w:t>
      </w:r>
    </w:p>
    <w:p>
      <w:pPr>
        <w:spacing w:after="0" w:line="160" w:lineRule="exact"/>
        <w:rPr>
          <w:rFonts w:ascii="Arial" w:cs="Arial" w:eastAsia="Arial" w:hAnsi="Arial"/>
          <w:sz w:val="19"/>
          <w:szCs w:val="19"/>
          <w:color w:val="auto"/>
        </w:rPr>
      </w:pPr>
    </w:p>
    <w:p>
      <w:pPr>
        <w:ind w:left="660" w:right="60" w:firstLine="644"/>
        <w:spacing w:after="0"/>
        <w:tabs>
          <w:tab w:leader="none" w:pos="1686"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Gochman Selling Stockholders shall have requested and caused Whalen LLP, counsel for the Gochman Selling Stockholders, to furnish to the Representatives an opinion letter dated the Closing Date and in form and substance reasonably satisfactory to the Representatives.</w:t>
      </w:r>
    </w:p>
    <w:p>
      <w:pPr>
        <w:spacing w:after="0" w:line="213" w:lineRule="exact"/>
        <w:rPr>
          <w:rFonts w:ascii="Arial" w:cs="Arial" w:eastAsia="Arial" w:hAnsi="Arial"/>
          <w:sz w:val="22"/>
          <w:szCs w:val="22"/>
          <w:color w:val="auto"/>
        </w:rPr>
      </w:pPr>
    </w:p>
    <w:p>
      <w:pPr>
        <w:ind w:right="60" w:firstLine="656"/>
        <w:spacing w:after="0" w:line="287" w:lineRule="auto"/>
        <w:tabs>
          <w:tab w:leader="none" w:pos="1428"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Representatives shall have received from Latham &amp; Watkins LLP, counsel for the Underwriters, an opinion letter and negative assurance letter, each dated the Closing Date or any settlement date, as the case may be,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40" w:firstLine="656"/>
        <w:spacing w:after="0" w:line="235" w:lineRule="auto"/>
        <w:tabs>
          <w:tab w:leader="none" w:pos="14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or any settlement date, as the case may be,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15" w:lineRule="exact"/>
        <w:rPr>
          <w:rFonts w:ascii="Arial" w:cs="Arial" w:eastAsia="Arial" w:hAnsi="Arial"/>
          <w:sz w:val="22"/>
          <w:szCs w:val="22"/>
          <w:color w:val="auto"/>
        </w:rPr>
      </w:pPr>
    </w:p>
    <w:p>
      <w:pPr>
        <w:ind w:left="620" w:right="60" w:firstLine="644"/>
        <w:spacing w:after="0" w:line="235" w:lineRule="auto"/>
        <w:tabs>
          <w:tab w:leader="none" w:pos="20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or any settlement date, as the case may be, and the Company has complied in all material respects with all the agreements and satisfied all the conditions on its part to be performed or satisfied hereunder at or prior to the Closing Date or any settlement date, as the case may be;</w:t>
      </w:r>
    </w:p>
    <w:p>
      <w:pPr>
        <w:spacing w:after="0" w:line="214" w:lineRule="exact"/>
        <w:rPr>
          <w:rFonts w:ascii="Arial" w:cs="Arial" w:eastAsia="Arial" w:hAnsi="Arial"/>
          <w:sz w:val="22"/>
          <w:szCs w:val="22"/>
          <w:color w:val="auto"/>
        </w:rPr>
      </w:pPr>
    </w:p>
    <w:p>
      <w:pPr>
        <w:ind w:left="620" w:right="20" w:firstLine="644"/>
        <w:spacing w:after="0" w:line="287" w:lineRule="auto"/>
        <w:tabs>
          <w:tab w:leader="none" w:pos="2060" w:val="left"/>
        </w:tabs>
        <w:numPr>
          <w:ilvl w:val="1"/>
          <w:numId w:val="72"/>
        </w:numPr>
        <w:rPr>
          <w:rFonts w:ascii="Arial" w:cs="Arial" w:eastAsia="Arial" w:hAnsi="Arial"/>
          <w:sz w:val="19"/>
          <w:szCs w:val="19"/>
          <w:color w:val="auto"/>
        </w:rPr>
      </w:pPr>
      <w:r>
        <w:rPr>
          <w:rFonts w:ascii="Arial" w:cs="Arial" w:eastAsia="Arial" w:hAnsi="Arial"/>
          <w:sz w:val="19"/>
          <w:szCs w:val="19"/>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169" w:lineRule="exact"/>
        <w:rPr>
          <w:rFonts w:ascii="Arial" w:cs="Arial" w:eastAsia="Arial" w:hAnsi="Arial"/>
          <w:sz w:val="19"/>
          <w:szCs w:val="19"/>
          <w:color w:val="auto"/>
        </w:rPr>
      </w:pPr>
    </w:p>
    <w:p>
      <w:pPr>
        <w:ind w:left="620" w:firstLine="644"/>
        <w:spacing w:after="0"/>
        <w:tabs>
          <w:tab w:leader="none" w:pos="20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213" w:lineRule="exact"/>
        <w:rPr>
          <w:rFonts w:ascii="Arial" w:cs="Arial" w:eastAsia="Arial" w:hAnsi="Arial"/>
          <w:sz w:val="22"/>
          <w:szCs w:val="22"/>
          <w:color w:val="auto"/>
        </w:rPr>
      </w:pPr>
    </w:p>
    <w:p>
      <w:pPr>
        <w:ind w:left="-40" w:firstLine="656"/>
        <w:spacing w:after="0" w:line="246" w:lineRule="auto"/>
        <w:tabs>
          <w:tab w:leader="none" w:pos="1388" w:val="left"/>
        </w:tabs>
        <w:numPr>
          <w:ilvl w:val="0"/>
          <w:numId w:val="72"/>
        </w:numPr>
        <w:rPr>
          <w:rFonts w:ascii="Arial" w:cs="Arial" w:eastAsia="Arial" w:hAnsi="Arial"/>
          <w:sz w:val="21"/>
          <w:szCs w:val="21"/>
          <w:color w:val="auto"/>
        </w:rPr>
      </w:pPr>
      <w:r>
        <w:rPr>
          <w:rFonts w:ascii="Arial" w:cs="Arial" w:eastAsia="Arial" w:hAnsi="Arial"/>
          <w:sz w:val="21"/>
          <w:szCs w:val="21"/>
          <w:color w:val="auto"/>
        </w:rPr>
        <w:t>At the Execution Time and at the Closing Date or any settlement date, as the case may be, the Company shall have requested and caused Deloitte &amp; Touche LLP to furnish to the Underwriters a “comfort” letter, dated as of the Execution Time, and a bring-down “comfort letter,” dated as of the Closing Date or any settlement date, as the case may be,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206" w:lineRule="exact"/>
        <w:rPr>
          <w:rFonts w:ascii="Arial" w:cs="Arial" w:eastAsia="Arial" w:hAnsi="Arial"/>
          <w:sz w:val="21"/>
          <w:szCs w:val="21"/>
          <w:color w:val="auto"/>
        </w:rPr>
      </w:pPr>
    </w:p>
    <w:p>
      <w:pPr>
        <w:ind w:left="-40" w:right="60" w:firstLine="656"/>
        <w:spacing w:after="0" w:line="238" w:lineRule="auto"/>
        <w:tabs>
          <w:tab w:leader="none" w:pos="1364" w:val="left"/>
        </w:tabs>
        <w:numPr>
          <w:ilvl w:val="0"/>
          <w:numId w:val="72"/>
        </w:numPr>
        <w:rPr>
          <w:rFonts w:ascii="Arial" w:cs="Arial" w:eastAsia="Arial" w:hAnsi="Arial"/>
          <w:sz w:val="22"/>
          <w:szCs w:val="22"/>
          <w:color w:val="auto"/>
        </w:rPr>
      </w:pPr>
      <w:r>
        <w:rPr>
          <w:rFonts w:ascii="Arial" w:cs="Arial" w:eastAsia="Arial" w:hAnsi="Arial"/>
          <w:sz w:val="22"/>
          <w:szCs w:val="22"/>
          <w:color w:val="auto"/>
        </w:rPr>
        <w:t>On the Closing Date or any settlement date, the Underwriters shall receive a written certificate executed by (i) in the case of the KKR Selling Stockholders, the managing member or the general partner of the applicable KKR Selling Stockholder and (ii) in the case of the Gochman Selling Stockholders, an Attorney-in-Fact of such Selling Stockholder, dated as of such date, to the effect that:</w:t>
      </w:r>
    </w:p>
    <w:p>
      <w:pPr>
        <w:spacing w:after="0" w:line="211" w:lineRule="exact"/>
        <w:rPr>
          <w:rFonts w:ascii="Arial" w:cs="Arial" w:eastAsia="Arial" w:hAnsi="Arial"/>
          <w:sz w:val="22"/>
          <w:szCs w:val="22"/>
          <w:color w:val="auto"/>
        </w:rPr>
      </w:pPr>
    </w:p>
    <w:p>
      <w:pPr>
        <w:ind w:left="620" w:right="220" w:firstLine="644"/>
        <w:spacing w:after="0" w:line="252" w:lineRule="auto"/>
        <w:tabs>
          <w:tab w:leader="none" w:pos="2060"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00" w:lineRule="exact"/>
        <w:rPr>
          <w:rFonts w:ascii="Arial" w:cs="Arial" w:eastAsia="Arial" w:hAnsi="Arial"/>
          <w:sz w:val="21"/>
          <w:szCs w:val="21"/>
          <w:color w:val="auto"/>
        </w:rPr>
      </w:pPr>
    </w:p>
    <w:p>
      <w:pPr>
        <w:ind w:left="620" w:right="500" w:firstLine="644"/>
        <w:spacing w:after="0" w:line="274" w:lineRule="auto"/>
        <w:tabs>
          <w:tab w:leader="none" w:pos="2060"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applicable Selling Stockholder has complied in all material respects with all the agreements and satisfied all the conditions on its part to be performed or satisfied at or prior to such date.</w:t>
      </w:r>
    </w:p>
    <w:p>
      <w:pPr>
        <w:spacing w:after="0" w:line="177" w:lineRule="exact"/>
        <w:rPr>
          <w:rFonts w:ascii="Arial" w:cs="Arial" w:eastAsia="Arial" w:hAnsi="Arial"/>
          <w:sz w:val="21"/>
          <w:szCs w:val="21"/>
          <w:color w:val="auto"/>
        </w:rPr>
      </w:pPr>
    </w:p>
    <w:p>
      <w:pPr>
        <w:ind w:left="-40" w:right="80" w:firstLine="656"/>
        <w:spacing w:after="0"/>
        <w:tabs>
          <w:tab w:leader="none" w:pos="14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On or before the Closing Date, the Gochman Selling shall have furnished for review by the Underwriters copies of the Power of Attorney, Stock Power and Custody Agreement, as applicable, and such further information, certificates and documents as the Underwriters may reasonably request.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84" w:name="page85"/>
    <w:bookmarkEnd w:id="84"/>
    <w:p>
      <w:pPr>
        <w:ind w:right="340" w:firstLine="656"/>
        <w:spacing w:after="0" w:line="275" w:lineRule="auto"/>
        <w:tabs>
          <w:tab w:leader="none" w:pos="14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84" w:lineRule="exact"/>
        <w:rPr>
          <w:rFonts w:ascii="Arial" w:cs="Arial" w:eastAsia="Arial" w:hAnsi="Arial"/>
          <w:sz w:val="19"/>
          <w:szCs w:val="19"/>
          <w:color w:val="auto"/>
        </w:rPr>
      </w:pPr>
    </w:p>
    <w:p>
      <w:pPr>
        <w:ind w:right="120" w:firstLine="656"/>
        <w:spacing w:after="0" w:line="246" w:lineRule="auto"/>
        <w:tabs>
          <w:tab w:leader="none" w:pos="1392"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Subsequent to the earlier of (A) the Execution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211" w:lineRule="exact"/>
        <w:rPr>
          <w:rFonts w:ascii="Arial" w:cs="Arial" w:eastAsia="Arial" w:hAnsi="Arial"/>
          <w:sz w:val="21"/>
          <w:szCs w:val="21"/>
          <w:color w:val="auto"/>
        </w:rPr>
      </w:pPr>
    </w:p>
    <w:p>
      <w:pPr>
        <w:ind w:right="240" w:firstLine="656"/>
        <w:spacing w:after="0" w:line="257" w:lineRule="auto"/>
        <w:tabs>
          <w:tab w:leader="none" w:pos="1392" w:val="left"/>
        </w:tabs>
        <w:numPr>
          <w:ilvl w:val="0"/>
          <w:numId w:val="73"/>
        </w:numPr>
        <w:rPr>
          <w:rFonts w:ascii="Arial" w:cs="Arial" w:eastAsia="Arial" w:hAnsi="Arial"/>
          <w:sz w:val="21"/>
          <w:szCs w:val="21"/>
          <w:color w:val="auto"/>
        </w:rPr>
      </w:pPr>
      <w:r>
        <w:rPr>
          <w:rFonts w:ascii="Arial" w:cs="Arial" w:eastAsia="Arial" w:hAnsi="Arial"/>
          <w:sz w:val="21"/>
          <w:szCs w:val="21"/>
          <w:color w:val="auto"/>
        </w:rPr>
        <w:t>At or prior to the Execution Time, the Selling Stockholders shall have furnished to the Representatives, and the Company shall have caused each executive officer and director of the Company listed on Exhibit A-1 hereto to furnish to the Representatives, a letter addressed to the Representatives substantially in the form of Exhibit A hereto.</w:t>
      </w:r>
    </w:p>
    <w:p>
      <w:pPr>
        <w:spacing w:after="0" w:line="196" w:lineRule="exact"/>
        <w:rPr>
          <w:rFonts w:ascii="Arial" w:cs="Arial" w:eastAsia="Arial" w:hAnsi="Arial"/>
          <w:sz w:val="21"/>
          <w:szCs w:val="21"/>
          <w:color w:val="auto"/>
        </w:rPr>
      </w:pPr>
    </w:p>
    <w:p>
      <w:pPr>
        <w:ind w:right="400" w:firstLine="656"/>
        <w:spacing w:after="0" w:line="328" w:lineRule="auto"/>
        <w:tabs>
          <w:tab w:leader="none" w:pos="14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Prior to the Closing Date or any settlement date, as the case may be, the Company shall have taken all action reasonably required to be taken by it to have the Securities declared eligible for clearance and settlement through DTC.</w:t>
      </w:r>
    </w:p>
    <w:p>
      <w:pPr>
        <w:spacing w:after="0" w:line="131" w:lineRule="exact"/>
        <w:rPr>
          <w:rFonts w:ascii="Arial" w:cs="Arial" w:eastAsia="Arial" w:hAnsi="Arial"/>
          <w:sz w:val="19"/>
          <w:szCs w:val="19"/>
          <w:color w:val="auto"/>
        </w:rPr>
      </w:pPr>
    </w:p>
    <w:p>
      <w:pPr>
        <w:ind w:right="400" w:firstLine="656"/>
        <w:spacing w:after="0" w:line="328" w:lineRule="auto"/>
        <w:tabs>
          <w:tab w:leader="none" w:pos="1392" w:val="left"/>
        </w:tabs>
        <w:numPr>
          <w:ilvl w:val="0"/>
          <w:numId w:val="73"/>
        </w:numPr>
        <w:rPr>
          <w:rFonts w:ascii="Arial" w:cs="Arial" w:eastAsia="Arial" w:hAnsi="Arial"/>
          <w:sz w:val="19"/>
          <w:szCs w:val="19"/>
          <w:color w:val="auto"/>
        </w:rPr>
      </w:pPr>
      <w:r>
        <w:rPr>
          <w:rFonts w:ascii="Arial" w:cs="Arial" w:eastAsia="Arial" w:hAnsi="Arial"/>
          <w:sz w:val="19"/>
          <w:szCs w:val="19"/>
          <w:color w:val="auto"/>
        </w:rPr>
        <w:t>Prior to the Closing Date or any settlement date, as the case may be, the Company shall have furnished to the Representatives such further information, certificates and documents as the Representatives may reasonably request.</w:t>
      </w:r>
    </w:p>
    <w:p>
      <w:pPr>
        <w:spacing w:after="0" w:line="132"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213"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The documents required to be delivered by this Section 8 will be available for inspection at the office of Simpson Thacher &amp; Bartlett LLP, at 425 Lexington Avenue, New York, New York 10017, on the Business Day prior to the Closing Date or any settlement date, as the case may be.</w:t>
      </w:r>
    </w:p>
    <w:p>
      <w:pPr>
        <w:spacing w:after="0" w:line="213" w:lineRule="exact"/>
        <w:rPr>
          <w:sz w:val="20"/>
          <w:szCs w:val="20"/>
          <w:color w:val="auto"/>
        </w:rPr>
      </w:pPr>
    </w:p>
    <w:p>
      <w:pPr>
        <w:ind w:right="60" w:firstLine="656"/>
        <w:spacing w:after="0" w:line="246" w:lineRule="auto"/>
        <w:tabs>
          <w:tab w:leader="none" w:pos="135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Reimbursement of Underwriters’ Expenses</w:t>
      </w:r>
      <w:r>
        <w:rPr>
          <w:rFonts w:ascii="Arial" w:cs="Arial" w:eastAsia="Arial" w:hAnsi="Arial"/>
          <w:sz w:val="21"/>
          <w:szCs w:val="21"/>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45" w:lineRule="exact"/>
        <w:rPr>
          <w:sz w:val="20"/>
          <w:szCs w:val="20"/>
          <w:color w:val="auto"/>
        </w:rPr>
      </w:pPr>
    </w:p>
    <w:p>
      <w:pPr>
        <w:ind w:left="-8" w:right="20" w:firstLine="656"/>
        <w:spacing w:after="0" w:line="269" w:lineRule="auto"/>
        <w:tabs>
          <w:tab w:leader="none" w:pos="14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201" w:lineRule="exact"/>
        <w:rPr>
          <w:rFonts w:ascii="Arial" w:cs="Arial" w:eastAsia="Arial" w:hAnsi="Arial"/>
          <w:sz w:val="19"/>
          <w:szCs w:val="19"/>
          <w:color w:val="auto"/>
        </w:rPr>
      </w:pPr>
    </w:p>
    <w:p>
      <w:pPr>
        <w:ind w:left="-8" w:right="20" w:firstLine="656"/>
        <w:spacing w:after="0" w:line="271" w:lineRule="auto"/>
        <w:tabs>
          <w:tab w:leader="none" w:pos="1432"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Each of the Selling Stockholders, severally, and not jointly, agrees to indemnify and hold harmless (x) each Underwriter, the directors, officers, selling agents and Affiliates of each Underwriter and each person who controls any Underwriter within the meaning of either the Act or the Exchange Act and (y) the Company, each person, if any, who controls the Company within the meaning of either the Act or the Exchange Act, each of directors of the Company who signed the Registration Statement and each of the officers of the Company who signs the Registration Statement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8" w:right="60" w:firstLine="656"/>
        <w:spacing w:after="0" w:line="276" w:lineRule="auto"/>
        <w:tabs>
          <w:tab w:leader="none" w:pos="14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Each Underwriter severally, and not jointly, agrees to indemnify and hold harmless (i) the Company, (ii) each person, if any, who controls (within the meaning of either the Act or the Exchange Act) the Company or any Selling Stockholder,</w:t>
      </w:r>
    </w:p>
    <w:p>
      <w:pPr>
        <w:spacing w:after="0" w:line="1" w:lineRule="exact"/>
        <w:rPr>
          <w:rFonts w:ascii="Arial" w:cs="Arial" w:eastAsia="Arial" w:hAnsi="Arial"/>
          <w:sz w:val="19"/>
          <w:szCs w:val="19"/>
          <w:color w:val="auto"/>
        </w:rPr>
      </w:pPr>
    </w:p>
    <w:p>
      <w:pPr>
        <w:ind w:left="-8" w:firstLine="8"/>
        <w:spacing w:after="0" w:line="243" w:lineRule="auto"/>
        <w:tabs>
          <w:tab w:leader="none" w:pos="370" w:val="left"/>
        </w:tabs>
        <w:numPr>
          <w:ilvl w:val="0"/>
          <w:numId w:val="77"/>
        </w:numPr>
        <w:rPr>
          <w:rFonts w:ascii="Arial" w:cs="Arial" w:eastAsia="Arial" w:hAnsi="Arial"/>
          <w:sz w:val="21"/>
          <w:szCs w:val="21"/>
          <w:color w:val="auto"/>
        </w:rPr>
      </w:pPr>
      <w:r>
        <w:rPr>
          <w:rFonts w:ascii="Arial" w:cs="Arial" w:eastAsia="Arial" w:hAnsi="Arial"/>
          <w:sz w:val="21"/>
          <w:szCs w:val="21"/>
          <w:color w:val="auto"/>
        </w:rPr>
        <w:t>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sixth paragraph, the twelfth paragraph and the thirteenth paragraph under the heading “Underwriting (Conflicts of Interest)”, constitute the only information furnished in writing by or on behalf of the several Underwriters for inclusion in the Registration Statement, Preliminary Prospectus, the Prospectus, any Issuer Free Writing Prospectus or any road show.</w:t>
      </w:r>
    </w:p>
    <w:p>
      <w:pPr>
        <w:spacing w:after="0" w:line="14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86" w:name="page87"/>
    <w:bookmarkEnd w:id="86"/>
    <w:p>
      <w:pPr>
        <w:ind w:firstLine="656"/>
        <w:spacing w:after="0" w:line="268" w:lineRule="auto"/>
        <w:tabs>
          <w:tab w:leader="none" w:pos="14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such counsel shall be reasonably satisfactory to the indemnified party. Notwithstanding the indemnifying</w:t>
      </w:r>
      <w:r>
        <w:rPr>
          <w:rFonts w:ascii="Arial" w:cs="Arial" w:eastAsia="Arial" w:hAnsi="Arial"/>
          <w:sz w:val="19"/>
          <w:szCs w:val="19"/>
          <w:i w:val="1"/>
          <w:iCs w:val="1"/>
          <w:color w:val="auto"/>
        </w:rPr>
        <w:t xml:space="preserve"> </w:t>
      </w:r>
      <w:r>
        <w:rPr>
          <w:rFonts w:ascii="Arial" w:cs="Arial" w:eastAsia="Arial" w:hAnsi="Arial"/>
          <w:sz w:val="19"/>
          <w:szCs w:val="19"/>
          <w:color w:val="auto"/>
        </w:rPr>
        <w:t>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Underwriters, its Affiliates, directors, selling agents and officers and any control persons of such Underwriters shall be designated in writing by Credit Suisse Securities (USA) LLC and J.P. Morgan Securities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and J.P. Morgan Securities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firstLine="656"/>
        <w:spacing w:after="0" w:line="268" w:lineRule="auto"/>
        <w:tabs>
          <w:tab w:leader="none" w:pos="14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The Selling Stockholder’s obligations in this Section 10 to contribute are several in proportion to their Selling Stockholder Net Proceeds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ind w:right="20" w:firstLine="656"/>
        <w:spacing w:after="0" w:line="270" w:lineRule="auto"/>
        <w:tabs>
          <w:tab w:leader="none" w:pos="145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90" w:lineRule="exact"/>
        <w:rPr>
          <w:rFonts w:ascii="Arial" w:cs="Arial" w:eastAsia="Arial" w:hAnsi="Arial"/>
          <w:sz w:val="19"/>
          <w:szCs w:val="19"/>
          <w:color w:val="auto"/>
        </w:rPr>
      </w:pPr>
    </w:p>
    <w:p>
      <w:pPr>
        <w:ind w:firstLine="656"/>
        <w:spacing w:after="0" w:line="272" w:lineRule="auto"/>
        <w:tabs>
          <w:tab w:leader="none" w:pos="145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182" w:lineRule="exact"/>
        <w:rPr>
          <w:rFonts w:ascii="Arial" w:cs="Arial" w:eastAsia="Arial" w:hAnsi="Arial"/>
          <w:sz w:val="19"/>
          <w:szCs w:val="19"/>
          <w:color w:val="auto"/>
        </w:rPr>
      </w:pPr>
    </w:p>
    <w:p>
      <w:pPr>
        <w:ind w:right="80" w:firstLine="656"/>
        <w:spacing w:after="0" w:line="277" w:lineRule="auto"/>
        <w:tabs>
          <w:tab w:leader="none" w:pos="145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Affiliated Underwriter</w:t>
      </w:r>
      <w:r>
        <w:rPr>
          <w:rFonts w:ascii="Arial" w:cs="Arial" w:eastAsia="Arial" w:hAnsi="Arial"/>
          <w:sz w:val="19"/>
          <w:szCs w:val="19"/>
          <w:color w:val="auto"/>
        </w:rPr>
        <w:t>. With respect to any Underwriter (the “Affiliated Underwriter”) who is affiliated with any person or entity engaged to act as an investment adviser on behalf of an investor who has a direct or indirect interest in the Securities being sold by the Selling Shareholder, the Securities which such Affiliated Underwriter shall procure purchasers for or failing which shall underwrite, shall not include any Securities attributable to such investor (with any such Securities instead being allocated and sold to purchasers procured by, failing which underwritten by, the other Underwriters) and, accordingly, the fees or other amounts received by such Affiliated Underwriter in connection with the transactions contemplated hereby shall not include any fees or other amounts attributable to the Securities attributable to such investor.</w:t>
      </w:r>
    </w:p>
    <w:p>
      <w:pPr>
        <w:spacing w:after="0" w:line="178" w:lineRule="exact"/>
        <w:rPr>
          <w:rFonts w:ascii="Arial" w:cs="Arial" w:eastAsia="Arial" w:hAnsi="Arial"/>
          <w:sz w:val="19"/>
          <w:szCs w:val="19"/>
          <w:color w:val="auto"/>
        </w:rPr>
      </w:pPr>
    </w:p>
    <w:p>
      <w:pPr>
        <w:ind w:firstLine="656"/>
        <w:spacing w:after="0" w:line="248" w:lineRule="auto"/>
        <w:tabs>
          <w:tab w:leader="none" w:pos="145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Representations and Indemnities to Survive</w:t>
      </w:r>
      <w:r>
        <w:rPr>
          <w:rFonts w:ascii="Arial" w:cs="Arial" w:eastAsia="Arial" w:hAnsi="Arial"/>
          <w:sz w:val="21"/>
          <w:szCs w:val="21"/>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left="-20" w:right="20" w:firstLine="656"/>
        <w:spacing w:after="0" w:line="272" w:lineRule="auto"/>
        <w:tabs>
          <w:tab w:leader="none" w:pos="1438"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will be in writing and effective only on receipt, and, if sent to the Representatives, will be mailed, delivered or telefaxed to c/o Credit Suisse Securities (USA) LLC, Eleven Madison Avenue, New York, NY 10010-3629, Attention: LCD-IBD and c/o J.P. Morgan Securities LLC, 383 Madison Avenue, New York, New York 10179, Attention: IBCM-Legal,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or if to the KKR Selling Stockholders , c/o Kohlberg Kravis Roberts &amp; Co. L.P., 30 Hudson Yards, Suite 7500, New York, NY 10001, with a copy to Joseph H. Kaufman and Sunny Cheong, Simpson Thacher &amp; Bartlett LLP, at 425 Lexington Avenue, New York, New York (fax no. (212) 455-2502), or, if to the Gochman Selling Stockholders, to each of the Attorneys-in Fact named in the Power of Attorney, c/o the Company at the address set forth on the cover of the Registration Statement, Attention: General Counsel with a copy, which shall not constitute notice, to Whalen LLP, 1601 Dove Street, Suite 270, Newport Beach, California 92660. The Company and the Selling Stockholders shall be entitled to act and rely upon any request, consent, notice or agreement given or made on behalf of the Underwriters by the Representatives.</w:t>
      </w:r>
    </w:p>
    <w:p>
      <w:pPr>
        <w:spacing w:after="0" w:line="190" w:lineRule="exact"/>
        <w:rPr>
          <w:rFonts w:ascii="Arial" w:cs="Arial" w:eastAsia="Arial" w:hAnsi="Arial"/>
          <w:sz w:val="19"/>
          <w:szCs w:val="19"/>
          <w:color w:val="auto"/>
        </w:rPr>
      </w:pPr>
    </w:p>
    <w:p>
      <w:pPr>
        <w:ind w:left="1280" w:hanging="644"/>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45" w:lineRule="exact"/>
        <w:rPr>
          <w:sz w:val="20"/>
          <w:szCs w:val="20"/>
          <w:color w:val="auto"/>
        </w:rPr>
      </w:pPr>
    </w:p>
    <w:p>
      <w:pPr>
        <w:ind w:left="-20" w:right="140" w:firstLine="656"/>
        <w:spacing w:after="0" w:line="236" w:lineRule="auto"/>
        <w:tabs>
          <w:tab w:leader="none" w:pos="1408"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14" w:lineRule="exact"/>
        <w:rPr>
          <w:rFonts w:ascii="Arial" w:cs="Arial" w:eastAsia="Arial" w:hAnsi="Arial"/>
          <w:sz w:val="22"/>
          <w:szCs w:val="22"/>
          <w:color w:val="auto"/>
        </w:rPr>
      </w:pPr>
    </w:p>
    <w:p>
      <w:pPr>
        <w:ind w:left="-20" w:right="40" w:firstLine="656"/>
        <w:spacing w:after="0" w:line="287" w:lineRule="auto"/>
        <w:tabs>
          <w:tab w:leader="none" w:pos="14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9" w:lineRule="exact"/>
        <w:rPr>
          <w:rFonts w:ascii="Arial" w:cs="Arial" w:eastAsia="Arial" w:hAnsi="Arial"/>
          <w:sz w:val="19"/>
          <w:szCs w:val="19"/>
          <w:color w:val="auto"/>
        </w:rPr>
      </w:pPr>
    </w:p>
    <w:p>
      <w:pPr>
        <w:ind w:left="-20" w:right="40" w:firstLine="656"/>
        <w:spacing w:after="0" w:line="275" w:lineRule="auto"/>
        <w:tabs>
          <w:tab w:leader="none" w:pos="1408" w:val="left"/>
        </w:tabs>
        <w:numPr>
          <w:ilvl w:val="0"/>
          <w:numId w:val="82"/>
        </w:numPr>
        <w:rPr>
          <w:rFonts w:ascii="Arial" w:cs="Arial" w:eastAsia="Arial" w:hAnsi="Arial"/>
          <w:sz w:val="19"/>
          <w:szCs w:val="19"/>
          <w:color w:val="auto"/>
        </w:rPr>
      </w:pPr>
      <w:r>
        <w:rPr>
          <w:rFonts w:ascii="Arial" w:cs="Arial" w:eastAsia="Arial" w:hAnsi="Arial"/>
          <w:sz w:val="19"/>
          <w:szCs w:val="19"/>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ind w:left="-20" w:right="360" w:firstLine="656"/>
        <w:spacing w:after="0" w:line="238" w:lineRule="auto"/>
        <w:tabs>
          <w:tab w:leader="none" w:pos="143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indemnified parties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1" w:lineRule="exact"/>
        <w:rPr>
          <w:rFonts w:ascii="Arial" w:cs="Arial" w:eastAsia="Arial" w:hAnsi="Arial"/>
          <w:sz w:val="22"/>
          <w:szCs w:val="22"/>
          <w:color w:val="auto"/>
        </w:rPr>
      </w:pPr>
    </w:p>
    <w:p>
      <w:pPr>
        <w:ind w:left="-20" w:firstLine="656"/>
        <w:spacing w:after="0" w:line="238" w:lineRule="auto"/>
        <w:tabs>
          <w:tab w:leader="none" w:pos="143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211" w:lineRule="exact"/>
        <w:rPr>
          <w:rFonts w:ascii="Arial" w:cs="Arial" w:eastAsia="Arial" w:hAnsi="Arial"/>
          <w:sz w:val="22"/>
          <w:szCs w:val="22"/>
          <w:color w:val="auto"/>
        </w:rPr>
      </w:pPr>
    </w:p>
    <w:p>
      <w:pPr>
        <w:ind w:left="-20" w:right="40" w:firstLine="656"/>
        <w:spacing w:after="0" w:line="252" w:lineRule="auto"/>
        <w:tabs>
          <w:tab w:leader="none" w:pos="143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90" w:name="page91"/>
    <w:bookmarkEnd w:id="90"/>
    <w:p>
      <w:pPr>
        <w:ind w:firstLine="656"/>
        <w:spacing w:after="0" w:line="271" w:lineRule="auto"/>
        <w:tabs>
          <w:tab w:leader="none" w:pos="145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Representatives and the other Underwriters of the Company, the Selling Stockholders, the transactions contemplated hereby or other matters relating to such transactions will be performed solely for the benefit of the Underwriters and shall not be on behalf of the Company or the Selling Stockholders.</w:t>
      </w:r>
    </w:p>
    <w:p>
      <w:pPr>
        <w:spacing w:after="0" w:line="191" w:lineRule="exact"/>
        <w:rPr>
          <w:rFonts w:ascii="Arial" w:cs="Arial" w:eastAsia="Arial" w:hAnsi="Arial"/>
          <w:sz w:val="19"/>
          <w:szCs w:val="19"/>
          <w:color w:val="auto"/>
        </w:rPr>
      </w:pPr>
    </w:p>
    <w:p>
      <w:pPr>
        <w:ind w:right="320" w:firstLine="656"/>
        <w:spacing w:after="0" w:line="328" w:lineRule="auto"/>
        <w:tabs>
          <w:tab w:leader="none" w:pos="145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all prior agreements and understandings (whether written or oral) among the Company, the Selling Stockholders and the Underwriters, or any of them, with respect to the subject matter hereof.</w:t>
      </w:r>
    </w:p>
    <w:p>
      <w:pPr>
        <w:spacing w:after="0" w:line="131" w:lineRule="exact"/>
        <w:rPr>
          <w:rFonts w:ascii="Arial" w:cs="Arial" w:eastAsia="Arial" w:hAnsi="Arial"/>
          <w:sz w:val="19"/>
          <w:szCs w:val="19"/>
          <w:color w:val="auto"/>
        </w:rPr>
      </w:pPr>
    </w:p>
    <w:p>
      <w:pPr>
        <w:ind w:firstLine="656"/>
        <w:spacing w:after="0" w:line="238" w:lineRule="auto"/>
        <w:tabs>
          <w:tab w:leader="none" w:pos="145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1" w:lineRule="exact"/>
        <w:rPr>
          <w:rFonts w:ascii="Arial" w:cs="Arial" w:eastAsia="Arial" w:hAnsi="Arial"/>
          <w:sz w:val="22"/>
          <w:szCs w:val="22"/>
          <w:color w:val="auto"/>
        </w:rPr>
      </w:pPr>
    </w:p>
    <w:p>
      <w:pPr>
        <w:ind w:right="20" w:firstLine="656"/>
        <w:spacing w:after="0" w:line="282" w:lineRule="auto"/>
        <w:tabs>
          <w:tab w:leader="none" w:pos="145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174" w:lineRule="exact"/>
        <w:rPr>
          <w:rFonts w:ascii="Arial" w:cs="Arial" w:eastAsia="Arial" w:hAnsi="Arial"/>
          <w:sz w:val="19"/>
          <w:szCs w:val="19"/>
          <w:color w:val="auto"/>
        </w:rPr>
      </w:pPr>
    </w:p>
    <w:p>
      <w:pPr>
        <w:ind w:right="20" w:firstLine="656"/>
        <w:spacing w:after="0" w:line="234" w:lineRule="auto"/>
        <w:tabs>
          <w:tab w:leader="none" w:pos="145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Electronic Signatures</w:t>
      </w:r>
      <w:r>
        <w:rPr>
          <w:rFonts w:ascii="Arial" w:cs="Arial" w:eastAsia="Arial" w:hAnsi="Arial"/>
          <w:sz w:val="22"/>
          <w:szCs w:val="22"/>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213" w:lineRule="exact"/>
        <w:rPr>
          <w:rFonts w:ascii="Arial" w:cs="Arial" w:eastAsia="Arial" w:hAnsi="Arial"/>
          <w:sz w:val="22"/>
          <w:szCs w:val="22"/>
          <w:color w:val="auto"/>
        </w:rPr>
      </w:pPr>
    </w:p>
    <w:p>
      <w:pPr>
        <w:ind w:left="1460" w:hanging="804"/>
        <w:spacing w:after="0"/>
        <w:tabs>
          <w:tab w:leader="none" w:pos="146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ind w:left="1460" w:hanging="804"/>
        <w:spacing w:after="0"/>
        <w:tabs>
          <w:tab w:leader="none" w:pos="14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33" w:lineRule="exact"/>
        <w:rPr>
          <w:sz w:val="20"/>
          <w:szCs w:val="20"/>
          <w:color w:val="auto"/>
        </w:rPr>
      </w:pPr>
    </w:p>
    <w:p>
      <w:pPr>
        <w:ind w:right="700" w:firstLine="1296"/>
        <w:spacing w:after="0" w:line="250"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“Affiliate” shall have the meaning specified in Rule 501(b) of Regulation 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shall mean this Underwriting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ind w:right="880" w:firstLine="1296"/>
        <w:spacing w:after="0" w:line="329" w:lineRule="auto"/>
        <w:rPr>
          <w:sz w:val="20"/>
          <w:szCs w:val="20"/>
          <w:color w:val="auto"/>
        </w:rPr>
      </w:pPr>
      <w:r>
        <w:rPr>
          <w:rFonts w:ascii="Arial" w:cs="Arial" w:eastAsia="Arial" w:hAnsi="Arial"/>
          <w:sz w:val="19"/>
          <w:szCs w:val="19"/>
          <w:color w:val="auto"/>
        </w:rPr>
        <w:t>“Business Day” shall mean any day other than a Saturday, a Sunday or a legal holiday or a day on which commercial banking institutions or trust companies are authorized or required by law to close in New York City.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33" w:lineRule="exact"/>
        <w:rPr>
          <w:sz w:val="20"/>
          <w:szCs w:val="20"/>
          <w:color w:val="auto"/>
        </w:rPr>
      </w:pPr>
    </w:p>
    <w:p>
      <w:pPr>
        <w:ind w:right="80" w:firstLine="1296"/>
        <w:spacing w:after="0" w:line="252" w:lineRule="auto"/>
        <w:rPr>
          <w:sz w:val="20"/>
          <w:szCs w:val="20"/>
          <w:color w:val="auto"/>
        </w:rPr>
      </w:pPr>
      <w:r>
        <w:rPr>
          <w:rFonts w:ascii="Arial" w:cs="Arial" w:eastAsia="Arial" w:hAnsi="Arial"/>
          <w:sz w:val="21"/>
          <w:szCs w:val="21"/>
          <w:color w:val="auto"/>
        </w:rPr>
        <w:t>“Disclosure Package” shall mean (i) the Preliminary Prospectus that is generally distributed to investors and used to offer the Securities, (ii) 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201"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“Effective Date” shall mean each date and time that the Registration Statement, any post-effective amendment or amendments thereto and any Rule 462(b) Registration Statement became or becomes effective.</w:t>
      </w:r>
    </w:p>
    <w:p>
      <w:pPr>
        <w:spacing w:after="0" w:line="202"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“Execution Time” shall mean [ ● ] p.m. on [ ● ], 2021.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33" w:lineRule="exact"/>
        <w:rPr>
          <w:sz w:val="20"/>
          <w:szCs w:val="20"/>
          <w:color w:val="auto"/>
        </w:rPr>
      </w:pPr>
    </w:p>
    <w:p>
      <w:pPr>
        <w:ind w:right="500" w:firstLine="1296"/>
        <w:spacing w:after="0" w:line="250" w:lineRule="auto"/>
        <w:rPr>
          <w:sz w:val="20"/>
          <w:szCs w:val="20"/>
          <w:color w:val="auto"/>
        </w:rPr>
      </w:pPr>
      <w:r>
        <w:rPr>
          <w:rFonts w:ascii="Arial" w:cs="Arial" w:eastAsia="Arial" w:hAnsi="Arial"/>
          <w:sz w:val="22"/>
          <w:szCs w:val="22"/>
          <w:color w:val="auto"/>
        </w:rPr>
        <w:t>“Investment Company Act” shall mean the Investment Company Act of 1940,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“Issuer Free Writing Prospectus” shall mean an issuer free writing prospectus, as defined in Rule 433.</w:t>
      </w:r>
    </w:p>
    <w:p>
      <w:pPr>
        <w:spacing w:after="0" w:line="233" w:lineRule="exact"/>
        <w:rPr>
          <w:sz w:val="20"/>
          <w:szCs w:val="20"/>
          <w:color w:val="auto"/>
        </w:rPr>
      </w:pPr>
    </w:p>
    <w:p>
      <w:pPr>
        <w:ind w:right="520" w:firstLine="1296"/>
        <w:spacing w:after="0" w:line="328" w:lineRule="auto"/>
        <w:rPr>
          <w:sz w:val="20"/>
          <w:szCs w:val="20"/>
          <w:color w:val="auto"/>
        </w:rPr>
      </w:pPr>
      <w:r>
        <w:rPr>
          <w:rFonts w:ascii="Arial" w:cs="Arial" w:eastAsia="Arial" w:hAnsi="Arial"/>
          <w:sz w:val="19"/>
          <w:szCs w:val="19"/>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32"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“Prospectus” shall mean the prospectus relating to the Securities that is first filed pursuant to Rule 424(b) after the Execution Time.</w:t>
      </w:r>
    </w:p>
    <w:p>
      <w:pPr>
        <w:spacing w:after="0" w:line="202"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ind w:right="260" w:firstLine="1296"/>
        <w:spacing w:after="0" w:line="250" w:lineRule="auto"/>
        <w:rPr>
          <w:sz w:val="20"/>
          <w:szCs w:val="20"/>
          <w:color w:val="auto"/>
        </w:rPr>
      </w:pPr>
      <w:r>
        <w:rPr>
          <w:rFonts w:ascii="Arial" w:cs="Arial" w:eastAsia="Arial" w:hAnsi="Arial"/>
          <w:sz w:val="22"/>
          <w:szCs w:val="22"/>
          <w:color w:val="auto"/>
        </w:rPr>
        <w:t>“Rule 158”, “Rule 163”, “Rule 164”, “Rule 172”, “Rule 405”, “Rule 415”, “Rule 424”, “Rule 430A” and “Rule 433” refer to such rules under the Act.</w:t>
      </w:r>
    </w:p>
    <w:p>
      <w:pPr>
        <w:spacing w:after="0" w:line="202"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“Rule 430A Information” shall mean information with respect to the Securities and the offering thereof permitted to be omitted from the Registration Statement when it becomes effective pursuant to Rule 430A.</w:t>
      </w:r>
    </w:p>
    <w:p>
      <w:pPr>
        <w:spacing w:after="0" w:line="202" w:lineRule="exact"/>
        <w:rPr>
          <w:sz w:val="20"/>
          <w:szCs w:val="20"/>
          <w:color w:val="auto"/>
        </w:rPr>
      </w:pPr>
    </w:p>
    <w:p>
      <w:pPr>
        <w:ind w:right="620" w:firstLine="1296"/>
        <w:spacing w:after="0" w:line="328" w:lineRule="auto"/>
        <w:rPr>
          <w:sz w:val="20"/>
          <w:szCs w:val="20"/>
          <w:color w:val="auto"/>
        </w:rPr>
      </w:pPr>
      <w:r>
        <w:rPr>
          <w:rFonts w:ascii="Arial" w:cs="Arial" w:eastAsia="Arial" w:hAnsi="Arial"/>
          <w:sz w:val="19"/>
          <w:szCs w:val="19"/>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2" w:lineRule="exact"/>
        <w:rPr>
          <w:sz w:val="20"/>
          <w:szCs w:val="20"/>
          <w:color w:val="auto"/>
        </w:rPr>
      </w:pPr>
    </w:p>
    <w:p>
      <w:pPr>
        <w:ind w:right="680" w:firstLine="1296"/>
        <w:spacing w:after="0" w:line="250" w:lineRule="auto"/>
        <w:rPr>
          <w:sz w:val="20"/>
          <w:szCs w:val="20"/>
          <w:color w:val="auto"/>
        </w:rPr>
      </w:pPr>
      <w:r>
        <w:rPr>
          <w:rFonts w:ascii="Arial" w:cs="Arial" w:eastAsia="Arial" w:hAnsi="Arial"/>
          <w:sz w:val="22"/>
          <w:szCs w:val="22"/>
          <w:color w:val="auto"/>
        </w:rPr>
        <w:t>“Testing-the-Waters Communication” means any oral or written communication with potential investors in reliance on Rule 163B under of the Act.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ind w:right="420" w:firstLine="1296"/>
        <w:spacing w:after="0" w:line="251" w:lineRule="auto"/>
        <w:rPr>
          <w:sz w:val="20"/>
          <w:szCs w:val="20"/>
          <w:color w:val="auto"/>
        </w:rPr>
      </w:pPr>
      <w:r>
        <w:rPr>
          <w:rFonts w:ascii="Arial" w:cs="Arial" w:eastAsia="Arial" w:hAnsi="Arial"/>
          <w:sz w:val="22"/>
          <w:szCs w:val="22"/>
          <w:color w:val="auto"/>
        </w:rPr>
        <w:t>“Written Testing-the-Waters Communication” means any Testing-the-Waters Communication that is a written communication within the meaning of Rule 405 under the Act.</w:t>
      </w:r>
    </w:p>
    <w:p>
      <w:pPr>
        <w:spacing w:after="0" w:line="200" w:lineRule="exact"/>
        <w:rPr>
          <w:sz w:val="20"/>
          <w:szCs w:val="20"/>
          <w:color w:val="auto"/>
        </w:rPr>
      </w:pPr>
    </w:p>
    <w:p>
      <w:pPr>
        <w:ind w:right="680" w:firstLine="1296"/>
        <w:spacing w:after="0"/>
        <w:rPr>
          <w:sz w:val="20"/>
          <w:szCs w:val="20"/>
          <w:color w:val="auto"/>
        </w:rPr>
      </w:pPr>
      <w:r>
        <w:rPr>
          <w:rFonts w:ascii="Arial" w:cs="Arial" w:eastAsia="Arial" w:hAnsi="Arial"/>
          <w:sz w:val="22"/>
          <w:szCs w:val="22"/>
          <w:color w:val="auto"/>
        </w:rPr>
        <w:t>As used herein, the terms “Registration Statement,” “Preliminary Prospectus,” “Disclosure Package” and “Prospectus” shall include documents filed under the Exchange Act, which are incorporated by reference therein as of the applicable date.</w:t>
      </w:r>
    </w:p>
    <w:p>
      <w:pPr>
        <w:spacing w:after="0" w:line="213" w:lineRule="exact"/>
        <w:rPr>
          <w:sz w:val="20"/>
          <w:szCs w:val="20"/>
          <w:color w:val="auto"/>
        </w:rPr>
      </w:pPr>
    </w:p>
    <w:p>
      <w:pPr>
        <w:ind w:firstLine="656"/>
        <w:spacing w:after="0" w:line="275" w:lineRule="auto"/>
        <w:tabs>
          <w:tab w:leader="none" w:pos="145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Allocation of Selling Stockholder Shares</w:t>
      </w:r>
      <w:r>
        <w:rPr>
          <w:rFonts w:ascii="Arial" w:cs="Arial" w:eastAsia="Arial" w:hAnsi="Arial"/>
          <w:sz w:val="19"/>
          <w:szCs w:val="19"/>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184" w:lineRule="exact"/>
        <w:rPr>
          <w:sz w:val="20"/>
          <w:szCs w:val="20"/>
          <w:color w:val="auto"/>
        </w:rPr>
      </w:pPr>
    </w:p>
    <w:p>
      <w:pPr>
        <w:ind w:right="220" w:firstLine="1296"/>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Signatures follow</w:t>
      </w:r>
      <w:r>
        <w:rPr>
          <w:rFonts w:ascii="Arial" w:cs="Arial" w:eastAsia="Arial" w:hAnsi="Arial"/>
          <w:sz w:val="22"/>
          <w:szCs w:val="22"/>
          <w:color w:val="auto"/>
        </w:rPr>
        <w: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Academy Sports and Outdoors, Inc.</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On behalf of the Gochman Selling Stockholders:</w:t>
      </w: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32061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Attorney-in-Fact</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95" w:name="page96"/>
    <w:bookmarkEnd w:id="95"/>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ALLSTAR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ALLSTAR CO-INVEST BLOCKER L.P.</w:t>
      </w:r>
    </w:p>
    <w:p>
      <w:pPr>
        <w:spacing w:after="0" w:line="229"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By: Allstar Co-Invest GP LLC, its general partner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2006 ALLSTAR BLOCKER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KKR 2006 AIV GP LLC, its general partner</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foregoing Agreement is hereby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accepted 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559"/>
        <w:spacing w:after="0" w:line="277" w:lineRule="auto"/>
        <w:rPr>
          <w:sz w:val="20"/>
          <w:szCs w:val="20"/>
          <w:color w:val="auto"/>
        </w:rPr>
      </w:pPr>
      <w:r>
        <w:rPr>
          <w:rFonts w:ascii="Arial" w:cs="Arial" w:eastAsia="Arial" w:hAnsi="Arial"/>
          <w:sz w:val="18"/>
          <w:szCs w:val="18"/>
          <w:color w:val="auto"/>
        </w:rPr>
        <w:t>For themselves and the other several Underwriters named in Schedule I(A) to the foregoing Agreement.</w:t>
      </w:r>
    </w:p>
    <w:p>
      <w:pPr>
        <w:spacing w:after="0" w:line="200" w:lineRule="exact"/>
        <w:rPr>
          <w:sz w:val="20"/>
          <w:szCs w:val="20"/>
          <w:color w:val="auto"/>
        </w:rPr>
      </w:pPr>
    </w:p>
    <w:p>
      <w:pPr>
        <w:spacing w:after="0" w:line="233"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color w:val="auto"/>
        </w:rPr>
        <w:t>SCHEDULE I(A)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Number of Underwritten Securities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1"/>
              </w:rPr>
              <w:t>Number of Option Securities</w:t>
            </w: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w w:val="92"/>
              </w:rPr>
              <w:t>Underwriters</w:t>
            </w:r>
          </w:p>
        </w:tc>
        <w:tc>
          <w:tcPr>
            <w:tcW w:w="28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gridSpan w:val="2"/>
          </w:tcPr>
          <w:p>
            <w:pPr>
              <w:jc w:val="center"/>
              <w:ind w:right="840"/>
              <w:spacing w:after="0" w:line="190" w:lineRule="exact"/>
              <w:rPr>
                <w:sz w:val="20"/>
                <w:szCs w:val="20"/>
                <w:color w:val="auto"/>
              </w:rPr>
            </w:pPr>
            <w:r>
              <w:rPr>
                <w:rFonts w:ascii="Arial" w:cs="Arial" w:eastAsia="Arial" w:hAnsi="Arial"/>
                <w:sz w:val="18"/>
                <w:szCs w:val="18"/>
                <w:color w:val="auto"/>
                <w:w w:val="86"/>
              </w:rPr>
              <w:t>to be Purchased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60" w:type="dxa"/>
            <w:vAlign w:val="bottom"/>
            <w:gridSpan w:val="2"/>
          </w:tcPr>
          <w:p>
            <w:pPr>
              <w:jc w:val="center"/>
              <w:ind w:right="1130"/>
              <w:spacing w:after="0" w:line="190" w:lineRule="exact"/>
              <w:rPr>
                <w:sz w:val="20"/>
                <w:szCs w:val="20"/>
                <w:color w:val="auto"/>
              </w:rPr>
            </w:pPr>
            <w:r>
              <w:rPr>
                <w:rFonts w:ascii="Arial" w:cs="Arial" w:eastAsia="Arial" w:hAnsi="Arial"/>
                <w:sz w:val="18"/>
                <w:szCs w:val="18"/>
                <w:color w:val="auto"/>
                <w:w w:val="86"/>
              </w:rPr>
              <w:t>to be Purchased</w:t>
            </w:r>
          </w:p>
        </w:tc>
      </w:tr>
      <w:tr>
        <w:trPr>
          <w:trHeight w:val="20"/>
        </w:trPr>
        <w:tc>
          <w:tcPr>
            <w:tcW w:w="960" w:type="dxa"/>
            <w:vAlign w:val="bottom"/>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 ● ]</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 ● ]</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 ● ]</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 ● ]</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KKR Capital Markets LLC</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 ● ]</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 ● ]</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 ● ]</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 ● ]</w:t>
            </w:r>
          </w:p>
        </w:tc>
      </w:tr>
      <w:tr>
        <w:trPr>
          <w:trHeight w:val="251"/>
        </w:trPr>
        <w:tc>
          <w:tcPr>
            <w:tcW w:w="3840" w:type="dxa"/>
            <w:vAlign w:val="bottom"/>
            <w:gridSpan w:val="3"/>
          </w:tcPr>
          <w:p>
            <w:pPr>
              <w:spacing w:after="0"/>
              <w:rPr>
                <w:sz w:val="20"/>
                <w:szCs w:val="20"/>
                <w:color w:val="auto"/>
              </w:rPr>
            </w:pPr>
            <w:r>
              <w:rPr>
                <w:rFonts w:ascii="Arial" w:cs="Arial" w:eastAsia="Arial" w:hAnsi="Arial"/>
                <w:sz w:val="18"/>
                <w:szCs w:val="18"/>
                <w:color w:val="auto"/>
              </w:rPr>
              <w:t>[ ● ]</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 ● ]</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96"/>
              </w:rPr>
              <w:t>[ ● ]</w:t>
            </w:r>
          </w:p>
        </w:tc>
      </w:tr>
      <w:tr>
        <w:trPr>
          <w:trHeight w:val="230"/>
        </w:trPr>
        <w:tc>
          <w:tcPr>
            <w:tcW w:w="37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6"/>
              </w:rPr>
              <w:t>[ ● ]</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96"/>
              </w:rPr>
              <w:t>[ ● ]</w:t>
            </w:r>
          </w:p>
        </w:tc>
      </w:tr>
      <w:tr>
        <w:trPr>
          <w:trHeight w:val="168"/>
        </w:trPr>
        <w:tc>
          <w:tcPr>
            <w:tcW w:w="9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SCHEDULE I(B)</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160" w:type="dxa"/>
            <w:vAlign w:val="bottom"/>
          </w:tcPr>
          <w:p>
            <w:pPr>
              <w:jc w:val="center"/>
              <w:ind w:left="250"/>
              <w:spacing w:after="0"/>
              <w:rPr>
                <w:sz w:val="20"/>
                <w:szCs w:val="20"/>
                <w:color w:val="auto"/>
              </w:rPr>
            </w:pPr>
            <w:r>
              <w:rPr>
                <w:rFonts w:ascii="Arial" w:cs="Arial" w:eastAsia="Arial" w:hAnsi="Arial"/>
                <w:sz w:val="18"/>
                <w:szCs w:val="18"/>
                <w:color w:val="auto"/>
                <w:w w:val="93"/>
              </w:rPr>
              <w:t>Number of Underwritten</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0"/>
              </w:rPr>
              <w:t>Number of Option Shares to be</w:t>
            </w:r>
          </w:p>
        </w:tc>
      </w:tr>
      <w:tr>
        <w:trPr>
          <w:trHeight w:val="190"/>
        </w:trPr>
        <w:tc>
          <w:tcPr>
            <w:tcW w:w="5120" w:type="dxa"/>
            <w:vAlign w:val="bottom"/>
            <w:gridSpan w:val="2"/>
          </w:tcPr>
          <w:p>
            <w:pPr>
              <w:spacing w:after="0" w:line="190" w:lineRule="exact"/>
              <w:rPr>
                <w:sz w:val="20"/>
                <w:szCs w:val="20"/>
                <w:color w:val="auto"/>
              </w:rPr>
            </w:pPr>
            <w:r>
              <w:rPr>
                <w:rFonts w:ascii="Arial" w:cs="Arial" w:eastAsia="Arial" w:hAnsi="Arial"/>
                <w:sz w:val="18"/>
                <w:szCs w:val="18"/>
                <w:color w:val="auto"/>
              </w:rPr>
              <w:t>Selling Stockholders</w:t>
            </w:r>
          </w:p>
        </w:tc>
        <w:tc>
          <w:tcPr>
            <w:tcW w:w="3160" w:type="dxa"/>
            <w:vAlign w:val="bottom"/>
          </w:tcPr>
          <w:p>
            <w:pPr>
              <w:jc w:val="center"/>
              <w:ind w:left="250"/>
              <w:spacing w:after="0" w:line="190" w:lineRule="exact"/>
              <w:rPr>
                <w:sz w:val="20"/>
                <w:szCs w:val="20"/>
                <w:color w:val="auto"/>
              </w:rPr>
            </w:pPr>
            <w:r>
              <w:rPr>
                <w:rFonts w:ascii="Arial" w:cs="Arial" w:eastAsia="Arial" w:hAnsi="Arial"/>
                <w:sz w:val="18"/>
                <w:szCs w:val="18"/>
                <w:color w:val="auto"/>
                <w:w w:val="88"/>
              </w:rPr>
              <w:t>Shares to be Sold</w:t>
            </w:r>
          </w:p>
        </w:tc>
        <w:tc>
          <w:tcPr>
            <w:tcW w:w="2960" w:type="dxa"/>
            <w:vAlign w:val="bottom"/>
          </w:tcPr>
          <w:p>
            <w:pPr>
              <w:jc w:val="center"/>
              <w:ind w:left="250"/>
              <w:spacing w:after="0" w:line="190" w:lineRule="exact"/>
              <w:rPr>
                <w:sz w:val="20"/>
                <w:szCs w:val="20"/>
                <w:color w:val="auto"/>
              </w:rPr>
            </w:pPr>
            <w:r>
              <w:rPr>
                <w:rFonts w:ascii="Arial" w:cs="Arial" w:eastAsia="Arial" w:hAnsi="Arial"/>
                <w:sz w:val="18"/>
                <w:szCs w:val="18"/>
                <w:color w:val="auto"/>
                <w:w w:val="94"/>
              </w:rPr>
              <w:t>Sold</w:t>
            </w:r>
          </w:p>
        </w:tc>
      </w:tr>
      <w:tr>
        <w:trPr>
          <w:trHeight w:val="222"/>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Allstar LLC</w:t>
            </w:r>
          </w:p>
        </w:tc>
        <w:tc>
          <w:tcPr>
            <w:tcW w:w="3620" w:type="dxa"/>
            <w:vAlign w:val="bottom"/>
          </w:tcPr>
          <w:p>
            <w:pPr>
              <w:spacing w:after="0"/>
              <w:rPr>
                <w:sz w:val="19"/>
                <w:szCs w:val="19"/>
                <w:color w:val="auto"/>
              </w:rPr>
            </w:pPr>
          </w:p>
        </w:tc>
        <w:tc>
          <w:tcPr>
            <w:tcW w:w="3160" w:type="dxa"/>
            <w:vAlign w:val="bottom"/>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Allstar Co-Invest Blocker L.P.</w:t>
            </w:r>
          </w:p>
        </w:tc>
        <w:tc>
          <w:tcPr>
            <w:tcW w:w="3160" w:type="dxa"/>
            <w:vAlign w:val="bottom"/>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KKR 2006 Allstar Blocker L.P.</w:t>
            </w:r>
          </w:p>
        </w:tc>
        <w:tc>
          <w:tcPr>
            <w:tcW w:w="3160" w:type="dxa"/>
            <w:vAlign w:val="bottom"/>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MSI 2011 LLC</w:t>
            </w:r>
          </w:p>
        </w:tc>
        <w:tc>
          <w:tcPr>
            <w:tcW w:w="3160" w:type="dxa"/>
            <w:vAlign w:val="bottom"/>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237"/>
        </w:trPr>
        <w:tc>
          <w:tcPr>
            <w:tcW w:w="5120" w:type="dxa"/>
            <w:vAlign w:val="bottom"/>
            <w:gridSpan w:val="2"/>
          </w:tcPr>
          <w:p>
            <w:pPr>
              <w:spacing w:after="0"/>
              <w:rPr>
                <w:sz w:val="20"/>
                <w:szCs w:val="20"/>
                <w:color w:val="auto"/>
              </w:rPr>
            </w:pPr>
            <w:r>
              <w:rPr>
                <w:rFonts w:ascii="Arial" w:cs="Arial" w:eastAsia="Arial" w:hAnsi="Arial"/>
                <w:sz w:val="18"/>
                <w:szCs w:val="18"/>
                <w:color w:val="auto"/>
              </w:rPr>
              <w:t>MG Family Limited Partnership</w:t>
            </w:r>
          </w:p>
        </w:tc>
        <w:tc>
          <w:tcPr>
            <w:tcW w:w="31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230"/>
        </w:trPr>
        <w:tc>
          <w:tcPr>
            <w:tcW w:w="512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Total</w:t>
            </w:r>
          </w:p>
        </w:tc>
        <w:tc>
          <w:tcPr>
            <w:tcW w:w="3160" w:type="dxa"/>
            <w:vAlign w:val="bottom"/>
          </w:tcPr>
          <w:p>
            <w:pPr>
              <w:jc w:val="center"/>
              <w:ind w:left="230"/>
              <w:spacing w:after="0"/>
              <w:rPr>
                <w:sz w:val="20"/>
                <w:szCs w:val="20"/>
                <w:color w:val="auto"/>
              </w:rPr>
            </w:pPr>
            <w:r>
              <w:rPr>
                <w:rFonts w:ascii="Arial" w:cs="Arial" w:eastAsia="Arial" w:hAnsi="Arial"/>
                <w:sz w:val="18"/>
                <w:szCs w:val="18"/>
                <w:color w:val="auto"/>
              </w:rPr>
              <w:t>[ ● ]</w:t>
            </w:r>
          </w:p>
        </w:tc>
        <w:tc>
          <w:tcPr>
            <w:tcW w:w="2960" w:type="dxa"/>
            <w:vAlign w:val="bottom"/>
          </w:tcPr>
          <w:p>
            <w:pPr>
              <w:jc w:val="center"/>
              <w:ind w:left="250"/>
              <w:spacing w:after="0"/>
              <w:rPr>
                <w:sz w:val="20"/>
                <w:szCs w:val="20"/>
                <w:color w:val="auto"/>
              </w:rPr>
            </w:pPr>
            <w:r>
              <w:rPr>
                <w:rFonts w:ascii="Arial" w:cs="Arial" w:eastAsia="Arial" w:hAnsi="Arial"/>
                <w:sz w:val="18"/>
                <w:szCs w:val="18"/>
                <w:color w:val="auto"/>
                <w:w w:val="96"/>
              </w:rPr>
              <w:t>[ ● ]</w:t>
            </w:r>
          </w:p>
        </w:tc>
      </w:tr>
      <w:tr>
        <w:trPr>
          <w:trHeight w:val="168"/>
        </w:trPr>
        <w:tc>
          <w:tcPr>
            <w:tcW w:w="15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61"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2"/>
          <w:szCs w:val="22"/>
          <w:color w:val="auto"/>
        </w:rPr>
        <w:t>SCHEDULE II</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Schedule of Free Writing Prospectuses included in the Disclosure Package</w:t>
      </w:r>
    </w:p>
    <w:p>
      <w:pPr>
        <w:spacing w:after="0" w:line="240"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None.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Pricing information provided orally by Underwriters</w:t>
      </w:r>
    </w:p>
    <w:p>
      <w:pPr>
        <w:spacing w:after="0" w:line="240"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Number of Underwritten Securities: [ ● ]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Number of Option Securities: [ ● ] shares of Common Stock</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Price: $[ ● ] per share</w:t>
      </w:r>
    </w:p>
    <w:p>
      <w:pPr>
        <w:spacing w:after="0" w:line="9" w:lineRule="exact"/>
        <w:rPr>
          <w:rFonts w:ascii="Arial" w:cs="Arial" w:eastAsia="Arial" w:hAnsi="Arial"/>
          <w:sz w:val="18"/>
          <w:szCs w:val="18"/>
          <w:color w:val="auto"/>
        </w:rPr>
      </w:pPr>
    </w:p>
    <w:p>
      <w:pPr>
        <w:ind w:left="980" w:hanging="486"/>
        <w:spacing w:after="0" w:line="260"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Repurchase Securities is [ ● ] shares of Common Stock to be purchased at a price per share equal to the price per share paid by the Underwriters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jc w:val="center"/>
        <w:ind w:right="-1120"/>
        <w:spacing w:after="0"/>
        <w:rPr>
          <w:sz w:val="20"/>
          <w:szCs w:val="20"/>
          <w:color w:val="auto"/>
        </w:rPr>
      </w:pPr>
      <w:r>
        <w:rPr>
          <w:rFonts w:ascii="Arial" w:cs="Arial" w:eastAsia="Arial" w:hAnsi="Arial"/>
          <w:sz w:val="22"/>
          <w:szCs w:val="22"/>
          <w:color w:val="auto"/>
        </w:rPr>
        <w:t>SCHEDULE III</w:t>
      </w:r>
    </w:p>
    <w:p>
      <w:pPr>
        <w:spacing w:after="0" w:line="234" w:lineRule="exact"/>
        <w:rPr>
          <w:sz w:val="20"/>
          <w:szCs w:val="20"/>
          <w:color w:val="auto"/>
        </w:rPr>
      </w:pPr>
    </w:p>
    <w:p>
      <w:pPr>
        <w:jc w:val="right"/>
        <w:ind w:right="2759"/>
        <w:spacing w:after="0"/>
        <w:rPr>
          <w:sz w:val="20"/>
          <w:szCs w:val="20"/>
          <w:color w:val="auto"/>
        </w:rPr>
      </w:pPr>
      <w:r>
        <w:rPr>
          <w:rFonts w:ascii="Arial" w:cs="Arial" w:eastAsia="Arial" w:hAnsi="Arial"/>
          <w:sz w:val="22"/>
          <w:szCs w:val="22"/>
          <w:color w:val="auto"/>
        </w:rPr>
        <w:t>Significant Subsidiaries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ACADEMY,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1" w:name="page102"/>
    <w:bookmarkEnd w:id="101"/>
    <w:p>
      <w:pPr>
        <w:spacing w:after="0"/>
        <w:tabs>
          <w:tab w:leader="none" w:pos="1032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[Letterhead of officer, director or major shareholder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AND OUTDOORS, INC.]</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Academy Sports and Outdoors, Inc.</w:t>
      </w:r>
    </w:p>
    <w:p>
      <w:pPr>
        <w:spacing w:after="0" w:line="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Public Offering of Common Stock</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 ],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c/o Credit Suisse Securities (USA) LLC,</w:t>
      </w:r>
    </w:p>
    <w:p>
      <w:pPr>
        <w:ind w:left="500"/>
        <w:spacing w:after="0" w:line="238" w:lineRule="auto"/>
        <w:rPr>
          <w:sz w:val="20"/>
          <w:szCs w:val="20"/>
          <w:color w:val="auto"/>
        </w:rPr>
      </w:pPr>
      <w:r>
        <w:rPr>
          <w:rFonts w:ascii="Arial" w:cs="Arial" w:eastAsia="Arial" w:hAnsi="Arial"/>
          <w:sz w:val="22"/>
          <w:szCs w:val="22"/>
          <w:color w:val="auto"/>
        </w:rPr>
        <w:t>Eleven Madison Avenue,</w:t>
      </w:r>
    </w:p>
    <w:p>
      <w:pPr>
        <w:ind w:left="500"/>
        <w:spacing w:after="0"/>
        <w:rPr>
          <w:sz w:val="20"/>
          <w:szCs w:val="20"/>
          <w:color w:val="auto"/>
        </w:rPr>
      </w:pPr>
      <w:r>
        <w:rPr>
          <w:rFonts w:ascii="Arial" w:cs="Arial" w:eastAsia="Arial" w:hAnsi="Arial"/>
          <w:sz w:val="22"/>
          <w:szCs w:val="22"/>
          <w:color w:val="auto"/>
        </w:rPr>
        <w:t>New York, N.Y. 10010-3629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c/o J.P. Morgan Securities LLC,</w:t>
      </w:r>
    </w:p>
    <w:p>
      <w:pPr>
        <w:ind w:left="500"/>
        <w:spacing w:after="0" w:line="238" w:lineRule="auto"/>
        <w:rPr>
          <w:sz w:val="20"/>
          <w:szCs w:val="20"/>
          <w:color w:val="auto"/>
        </w:rPr>
      </w:pPr>
      <w:r>
        <w:rPr>
          <w:rFonts w:ascii="Arial" w:cs="Arial" w:eastAsia="Arial" w:hAnsi="Arial"/>
          <w:sz w:val="22"/>
          <w:szCs w:val="22"/>
          <w:color w:val="auto"/>
        </w:rPr>
        <w:t>383 Madison Avenue</w:t>
      </w:r>
    </w:p>
    <w:p>
      <w:pPr>
        <w:ind w:left="500"/>
        <w:spacing w:after="0"/>
        <w:rPr>
          <w:sz w:val="20"/>
          <w:szCs w:val="20"/>
          <w:color w:val="auto"/>
        </w:rPr>
      </w:pPr>
      <w:r>
        <w:rPr>
          <w:rFonts w:ascii="Arial" w:cs="Arial" w:eastAsia="Arial" w:hAnsi="Arial"/>
          <w:sz w:val="22"/>
          <w:szCs w:val="22"/>
          <w:color w:val="auto"/>
        </w:rPr>
        <w:t>New York, New York 10179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This letter agreement (this “Letter Agreement”) is being delivered to you in connection with the proposed Underwriting Agreement (the “Underwriting Agreement”), among Academy Sports and Outdoors,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05"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In order to induce you and the other Underwriters to enter into the Underwriting Agreement, the undersigned will not, without the prior written consent of Credit Suisse Securities (USA) LLC and J.P. Morgan Securities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45 days after the date of the Underwriting Agreement (the “lock-up period”). Capitalized terms used but not defined herein shall have the meanings assigned thereto in the Underwriting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ind w:left="644"/>
        <w:spacing w:after="0"/>
        <w:rPr>
          <w:sz w:val="20"/>
          <w:szCs w:val="20"/>
          <w:color w:val="auto"/>
        </w:rPr>
      </w:pPr>
      <w:r>
        <w:rPr>
          <w:rFonts w:ascii="Arial" w:cs="Arial" w:eastAsia="Arial" w:hAnsi="Arial"/>
          <w:sz w:val="22"/>
          <w:szCs w:val="22"/>
          <w:color w:val="auto"/>
        </w:rPr>
        <w:t>The foregoing restrictions shall not apply:</w:t>
      </w:r>
    </w:p>
    <w:p>
      <w:pPr>
        <w:spacing w:after="0" w:line="241" w:lineRule="exact"/>
        <w:rPr>
          <w:sz w:val="20"/>
          <w:szCs w:val="20"/>
          <w:color w:val="auto"/>
        </w:rPr>
      </w:pPr>
    </w:p>
    <w:p>
      <w:pPr>
        <w:ind w:left="644" w:hanging="644"/>
        <w:spacing w:after="0"/>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644" w:right="440" w:hanging="644"/>
        <w:spacing w:after="0" w:line="308" w:lineRule="auto"/>
        <w:tabs>
          <w:tab w:leader="none" w:pos="64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73" w:lineRule="exact"/>
        <w:rPr>
          <w:rFonts w:ascii="Arial" w:cs="Arial" w:eastAsia="Arial" w:hAnsi="Arial"/>
          <w:sz w:val="17"/>
          <w:szCs w:val="17"/>
          <w:color w:val="auto"/>
        </w:rPr>
      </w:pPr>
    </w:p>
    <w:p>
      <w:pPr>
        <w:ind w:left="644" w:right="220" w:hanging="644"/>
        <w:spacing w:after="0" w:line="25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214" w:lineRule="exact"/>
        <w:rPr>
          <w:rFonts w:ascii="Arial" w:cs="Arial" w:eastAsia="Arial" w:hAnsi="Arial"/>
          <w:sz w:val="18"/>
          <w:szCs w:val="18"/>
          <w:color w:val="auto"/>
        </w:rPr>
      </w:pPr>
    </w:p>
    <w:p>
      <w:pPr>
        <w:ind w:left="644" w:hanging="644"/>
        <w:spacing w:after="0"/>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right="180"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that controls or manages, or is controlled or managed by, or is under common control or management with, the undersigned;</w:t>
      </w:r>
    </w:p>
    <w:p>
      <w:pPr>
        <w:spacing w:after="0" w:line="197" w:lineRule="exact"/>
        <w:rPr>
          <w:rFonts w:ascii="Arial" w:cs="Arial" w:eastAsia="Arial" w:hAnsi="Arial"/>
          <w:sz w:val="18"/>
          <w:szCs w:val="18"/>
          <w:color w:val="auto"/>
        </w:rPr>
      </w:pPr>
    </w:p>
    <w:p>
      <w:pPr>
        <w:ind w:left="644" w:right="440" w:hanging="644"/>
        <w:spacing w:after="0" w:line="277"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80" w:hanging="644"/>
        <w:spacing w:after="0" w:line="269" w:lineRule="auto"/>
        <w:tabs>
          <w:tab w:leader="none" w:pos="64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5" w:lineRule="exact"/>
        <w:rPr>
          <w:rFonts w:ascii="Arial" w:cs="Arial" w:eastAsia="Arial" w:hAnsi="Arial"/>
          <w:sz w:val="17"/>
          <w:szCs w:val="17"/>
          <w:color w:val="auto"/>
        </w:rPr>
      </w:pPr>
    </w:p>
    <w:p>
      <w:pPr>
        <w:ind w:left="644" w:hanging="644"/>
        <w:spacing w:after="0" w:line="273" w:lineRule="auto"/>
        <w:tabs>
          <w:tab w:leader="none" w:pos="64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4" w:lineRule="exact"/>
        <w:rPr>
          <w:rFonts w:ascii="Arial" w:cs="Arial" w:eastAsia="Arial" w:hAnsi="Arial"/>
          <w:sz w:val="17"/>
          <w:szCs w:val="17"/>
          <w:color w:val="auto"/>
        </w:rPr>
      </w:pPr>
    </w:p>
    <w:p>
      <w:pPr>
        <w:ind w:left="644" w:right="60" w:hanging="644"/>
        <w:spacing w:after="0" w:line="259" w:lineRule="auto"/>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142" w:lineRule="exact"/>
        <w:rPr>
          <w:sz w:val="20"/>
          <w:szCs w:val="20"/>
          <w:color w:val="auto"/>
        </w:rPr>
      </w:pPr>
    </w:p>
    <w:p>
      <w:pPr>
        <w:ind w:left="4584"/>
        <w:spacing w:after="0"/>
        <w:rPr>
          <w:sz w:val="20"/>
          <w:szCs w:val="20"/>
          <w:color w:val="auto"/>
        </w:rPr>
      </w:pPr>
      <w:r>
        <w:rPr>
          <w:rFonts w:ascii="Arial" w:cs="Arial" w:eastAsia="Arial" w:hAnsi="Arial"/>
          <w:sz w:val="14"/>
          <w:szCs w:val="14"/>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3" w:name="page104"/>
    <w:bookmarkEnd w:id="103"/>
    <w:p>
      <w:pPr>
        <w:ind w:left="1300" w:right="280" w:hanging="644"/>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consolidation or other such transaction is not completed, the undersigned’s Shares shall remain subject to the terms of this Letter Agreement. For purposes of this clause (xii), “change of control” means the consummation of any bona fide third party tender offer, merger, consolidation or other similar transaction the result of which is that any “person” (as defined in Section 13 (d)(3) of the Exchange Act), or group of persons, other than the Company, becomes the beneficial owner (as defined in Rules 13d-3 and 13d-5 of the Exchange Act) of at least 51% of total voting power of the voting stock of the Company;</w:t>
      </w:r>
    </w:p>
    <w:p>
      <w:pPr>
        <w:spacing w:after="0" w:line="205" w:lineRule="exact"/>
        <w:rPr>
          <w:rFonts w:ascii="Arial" w:cs="Arial" w:eastAsia="Arial" w:hAnsi="Arial"/>
          <w:sz w:val="17"/>
          <w:szCs w:val="17"/>
          <w:color w:val="auto"/>
        </w:rPr>
      </w:pPr>
    </w:p>
    <w:p>
      <w:pPr>
        <w:ind w:left="1300" w:right="80" w:hanging="644"/>
        <w:spacing w:after="0" w:line="259"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(1) the entry into a written plan meeting the requirements of Rule 10b5-l under the Exchange Act for the transfer of Shares or Related Securities that does not in any case provide for the transfer of Shares or Related Securities during the lock-up period or (2) to the transfer of Shares or Related Securities pursuant to a written plan in effect on the date hereof of meeting the requirements of Rule 10b5-1 under the Exchange Act; or</w:t>
      </w:r>
    </w:p>
    <w:p>
      <w:pPr>
        <w:spacing w:after="0" w:line="213" w:lineRule="exact"/>
        <w:rPr>
          <w:rFonts w:ascii="Arial" w:cs="Arial" w:eastAsia="Arial" w:hAnsi="Arial"/>
          <w:sz w:val="18"/>
          <w:szCs w:val="18"/>
          <w:color w:val="auto"/>
        </w:rPr>
      </w:pPr>
    </w:p>
    <w:p>
      <w:pPr>
        <w:ind w:left="1300" w:right="100" w:hanging="644"/>
        <w:spacing w:after="0" w:line="293" w:lineRule="auto"/>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any sales in open market transactions to generate such amount of net proceeds to the undersigned from such sales (after deducting commissions) in an aggregate amount up to the total amount of (i) the exercise price and/or (ii) taxes or estimated taxes (as applicable) that become due as a result of (A) the exercise of options held by the undersigned and/or (B) the vesting and/or settlement of restricted stock awards or restricted stock units held by the undersigned, in each case, issued pursuant to any incentive plans or otherwise pursuant to equity compensation plans or arrangements described in or filed as an exhibit to the registration statement with respect to the Offering and that are exercisable and/or scheduled to vest and/or settle immediately prior to or during the lock-up.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w:t>
      </w:r>
    </w:p>
    <w:p>
      <w:pPr>
        <w:spacing w:after="0" w:line="240" w:lineRule="exact"/>
        <w:rPr>
          <w:sz w:val="20"/>
          <w:szCs w:val="20"/>
          <w:color w:val="auto"/>
        </w:rPr>
      </w:pPr>
    </w:p>
    <w:p>
      <w:pPr>
        <w:ind w:left="1800" w:hanging="496"/>
        <w:spacing w:after="0" w:line="254"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above, it shall be a condition to such transfer that each transferee executes and delivers to Credit Suisse Securities (USA) LLC and J.P. Morgan Securities LLC an agreement in form and substance satisfactory to Credit Suisse Securities (USA) LLC and J.P. Morgan Securities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221" w:lineRule="exact"/>
        <w:rPr>
          <w:rFonts w:ascii="Arial" w:cs="Arial" w:eastAsia="Arial" w:hAnsi="Arial"/>
          <w:sz w:val="18"/>
          <w:szCs w:val="18"/>
          <w:color w:val="auto"/>
        </w:rPr>
      </w:pPr>
    </w:p>
    <w:p>
      <w:pPr>
        <w:ind w:left="1800" w:right="80" w:hanging="496"/>
        <w:spacing w:after="0" w:line="259"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ind w:right="80" w:firstLine="1620"/>
        <w:spacing w:after="0" w:line="234" w:lineRule="auto"/>
        <w:rPr>
          <w:sz w:val="20"/>
          <w:szCs w:val="20"/>
          <w:color w:val="auto"/>
        </w:rPr>
      </w:pPr>
      <w:r>
        <w:rPr>
          <w:rFonts w:ascii="Arial" w:cs="Arial" w:eastAsia="Arial" w:hAnsi="Arial"/>
          <w:sz w:val="22"/>
          <w:szCs w:val="22"/>
          <w:color w:val="auto"/>
        </w:rPr>
        <w:t xml:space="preserve">Notwithstanding anything to the contrary in this agreement, the restrictions set forth in this Letter Agreement shall not apply to the exercise of any right with respect to a registration of any Shares or Related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transfer of the undersigned’s 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218" w:lineRule="exact"/>
        <w:rPr>
          <w:sz w:val="20"/>
          <w:szCs w:val="20"/>
          <w:color w:val="auto"/>
        </w:rPr>
      </w:pPr>
    </w:p>
    <w:p>
      <w:pPr>
        <w:jc w:val="both"/>
        <w:ind w:right="120" w:firstLine="1620"/>
        <w:spacing w:after="0"/>
        <w:rPr>
          <w:sz w:val="20"/>
          <w:szCs w:val="20"/>
          <w:color w:val="auto"/>
        </w:rPr>
      </w:pPr>
      <w:r>
        <w:rPr>
          <w:rFonts w:ascii="Arial" w:cs="Arial" w:eastAsia="Arial" w:hAnsi="Arial"/>
          <w:sz w:val="22"/>
          <w:szCs w:val="22"/>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213" w:lineRule="exact"/>
        <w:rPr>
          <w:sz w:val="20"/>
          <w:szCs w:val="20"/>
          <w:color w:val="auto"/>
        </w:rPr>
      </w:pPr>
    </w:p>
    <w:p>
      <w:pPr>
        <w:ind w:right="180" w:firstLine="1620"/>
        <w:spacing w:after="0" w:line="277"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79" w:lineRule="exact"/>
        <w:rPr>
          <w:sz w:val="20"/>
          <w:szCs w:val="20"/>
          <w:color w:val="auto"/>
        </w:rPr>
      </w:pPr>
    </w:p>
    <w:p>
      <w:pPr>
        <w:ind w:firstLine="1620"/>
        <w:spacing w:after="0" w:line="250" w:lineRule="auto"/>
        <w:rPr>
          <w:sz w:val="20"/>
          <w:szCs w:val="20"/>
          <w:color w:val="auto"/>
        </w:rPr>
      </w:pPr>
      <w:r>
        <w:rPr>
          <w:rFonts w:ascii="Arial" w:cs="Arial" w:eastAsia="Arial" w:hAnsi="Arial"/>
          <w:sz w:val="22"/>
          <w:szCs w:val="22"/>
          <w:color w:val="auto"/>
        </w:rPr>
        <w:t>If for any reason the Underwriting Agreement shall be terminated prior to the Closing Date, the agreement set forth above shall likewise be terminated.</w:t>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05" w:name="page106"/>
    <w:bookmarkEnd w:id="105"/>
    <w:p>
      <w:pPr>
        <w:spacing w:after="0"/>
        <w:tabs>
          <w:tab w:leader="none" w:pos="1012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283210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106" w:name="page107"/>
    <w:bookmarkEnd w:id="106"/>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4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Academy Sports and Outdoors, Inc.</w:t>
      </w:r>
    </w:p>
    <w:p>
      <w:pPr>
        <w:spacing w:after="0" w:line="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Public Offering of Common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w:t>
      </w:r>
    </w:p>
    <w:p>
      <w:pPr>
        <w:spacing w:after="0" w:line="238" w:lineRule="auto"/>
        <w:rPr>
          <w:sz w:val="20"/>
          <w:szCs w:val="20"/>
          <w:color w:val="auto"/>
        </w:rPr>
      </w:pPr>
      <w:r>
        <w:rPr>
          <w:rFonts w:ascii="Arial" w:cs="Arial" w:eastAsia="Arial" w:hAnsi="Arial"/>
          <w:sz w:val="22"/>
          <w:szCs w:val="22"/>
          <w:color w:val="auto"/>
        </w:rPr>
        <w:t>Officer or Director</w:t>
      </w:r>
    </w:p>
    <w:p>
      <w:pPr>
        <w:spacing w:after="0"/>
        <w:rPr>
          <w:sz w:val="20"/>
          <w:szCs w:val="20"/>
          <w:color w:val="auto"/>
        </w:rPr>
      </w:pPr>
      <w:r>
        <w:rPr>
          <w:rFonts w:ascii="Arial" w:cs="Arial" w:eastAsia="Arial" w:hAnsi="Arial"/>
          <w:sz w:val="22"/>
          <w:szCs w:val="22"/>
          <w:color w:val="auto"/>
        </w:rPr>
        <w:t>Requesting Waiver]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Mr./Ms. [Name]:</w:t>
      </w:r>
    </w:p>
    <w:p>
      <w:pPr>
        <w:spacing w:after="0" w:line="23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This letter is being delivered to you in connection with the offering by Academy Sports and Outdoors, Inc., a Delaware corporation (the “Company”) of [ ● ] shares of Common Stock, $0.01 par value (the “Common Stock”), of the Company and the lock-up letter dated [ ● ], 2021 (the “Lock-up Letter”), executed by you in connection with such offering, and your request for a [waiver] [release] dated [ ● ], 20[ ● ], with respect to [ ● ] shares of Common Stock (the “Shares”).</w:t>
      </w:r>
    </w:p>
    <w:p>
      <w:pPr>
        <w:spacing w:after="0" w:line="170" w:lineRule="exact"/>
        <w:rPr>
          <w:sz w:val="20"/>
          <w:szCs w:val="20"/>
          <w:color w:val="auto"/>
        </w:rPr>
      </w:pPr>
    </w:p>
    <w:p>
      <w:pPr>
        <w:ind w:right="700" w:firstLine="648"/>
        <w:spacing w:after="0" w:line="274" w:lineRule="auto"/>
        <w:rPr>
          <w:sz w:val="20"/>
          <w:szCs w:val="20"/>
          <w:color w:val="auto"/>
        </w:rPr>
      </w:pPr>
      <w:r>
        <w:rPr>
          <w:rFonts w:ascii="Arial" w:cs="Arial" w:eastAsia="Arial" w:hAnsi="Arial"/>
          <w:sz w:val="21"/>
          <w:szCs w:val="21"/>
          <w:color w:val="auto"/>
        </w:rPr>
        <w:t>Credit Suisse Securities (USA) LLC and J.P. Morgan Securities LLC hereby agree to [waive] [release] the transfer restrictions set forth in the Lock-up Letter, but only with respect to the Shares, effective [ ● ], 20[ ● ].</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expressly [waived] [released] hereby, the Lock-up Letter shall remain in full force and effect.</w:t>
      </w:r>
    </w:p>
    <w:p>
      <w:pPr>
        <w:spacing w:after="0" w:line="240"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Credit Suisse Securities (USA) LLC and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tabs>
          <w:tab w:leader="none" w:pos="1034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Attached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8" w:name="page109"/>
    <w:bookmarkEnd w:id="108"/>
    <w:p>
      <w:pPr>
        <w:spacing w:after="0"/>
        <w:tabs>
          <w:tab w:leader="none" w:pos="1034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Attached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9" w:name="page110"/>
    <w:bookmarkEnd w:id="109"/>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560" w:type="dxa"/>
            <w:vAlign w:val="bottom"/>
          </w:tcPr>
          <w:p>
            <w:pPr>
              <w:spacing w:after="0"/>
              <w:rPr>
                <w:sz w:val="24"/>
                <w:szCs w:val="24"/>
                <w:color w:val="auto"/>
              </w:rPr>
            </w:pPr>
          </w:p>
        </w:tc>
        <w:tc>
          <w:tcPr>
            <w:tcW w:w="7680" w:type="dxa"/>
            <w:vAlign w:val="bottom"/>
            <w:gridSpan w:val="3"/>
          </w:tcPr>
          <w:p>
            <w:pPr>
              <w:jc w:val="center"/>
              <w:ind w:right="3456"/>
              <w:spacing w:after="0"/>
              <w:rPr>
                <w:sz w:val="20"/>
                <w:szCs w:val="20"/>
                <w:color w:val="auto"/>
              </w:rPr>
            </w:pPr>
            <w:r>
              <w:rPr>
                <w:rFonts w:ascii="Arial" w:cs="Arial" w:eastAsia="Arial" w:hAnsi="Arial"/>
                <w:sz w:val="25"/>
                <w:szCs w:val="25"/>
                <w:color w:val="493728"/>
                <w:w w:val="93"/>
              </w:rPr>
              <w:t xml:space="preserve">Simpson Thacher &amp; Bartlett </w:t>
            </w:r>
            <w:r>
              <w:rPr>
                <w:rFonts w:ascii="Arial" w:cs="Arial" w:eastAsia="Arial" w:hAnsi="Arial"/>
                <w:sz w:val="17"/>
                <w:szCs w:val="17"/>
                <w:color w:val="493728"/>
                <w:w w:val="93"/>
              </w:rPr>
              <w:t>LLP</w:t>
            </w:r>
          </w:p>
        </w:tc>
      </w:tr>
      <w:tr>
        <w:trPr>
          <w:trHeight w:val="148"/>
        </w:trPr>
        <w:tc>
          <w:tcPr>
            <w:tcW w:w="3560" w:type="dxa"/>
            <w:vAlign w:val="bottom"/>
          </w:tcPr>
          <w:p>
            <w:pPr>
              <w:spacing w:after="0"/>
              <w:rPr>
                <w:sz w:val="12"/>
                <w:szCs w:val="12"/>
                <w:color w:val="auto"/>
              </w:rPr>
            </w:pPr>
          </w:p>
        </w:tc>
        <w:tc>
          <w:tcPr>
            <w:tcW w:w="7680" w:type="dxa"/>
            <w:vAlign w:val="bottom"/>
            <w:gridSpan w:val="3"/>
          </w:tcPr>
          <w:p>
            <w:pPr>
              <w:jc w:val="center"/>
              <w:ind w:right="3476"/>
              <w:spacing w:after="0" w:line="149" w:lineRule="exact"/>
              <w:rPr>
                <w:sz w:val="20"/>
                <w:szCs w:val="20"/>
                <w:color w:val="auto"/>
              </w:rPr>
            </w:pPr>
            <w:r>
              <w:rPr>
                <w:rFonts w:ascii="Arial" w:cs="Arial" w:eastAsia="Arial" w:hAnsi="Arial"/>
                <w:sz w:val="14"/>
                <w:szCs w:val="14"/>
                <w:color w:val="493728"/>
              </w:rPr>
              <w:t xml:space="preserve">425 </w:t>
            </w:r>
            <w:r>
              <w:rPr>
                <w:rFonts w:ascii="Arial" w:cs="Arial" w:eastAsia="Arial" w:hAnsi="Arial"/>
                <w:sz w:val="9"/>
                <w:szCs w:val="9"/>
                <w:color w:val="493728"/>
              </w:rPr>
              <w:t>LEXINGTON AVENUE</w:t>
            </w:r>
          </w:p>
        </w:tc>
      </w:tr>
      <w:tr>
        <w:trPr>
          <w:trHeight w:val="182"/>
        </w:trPr>
        <w:tc>
          <w:tcPr>
            <w:tcW w:w="3560" w:type="dxa"/>
            <w:vAlign w:val="bottom"/>
          </w:tcPr>
          <w:p>
            <w:pPr>
              <w:spacing w:after="0"/>
              <w:rPr>
                <w:sz w:val="15"/>
                <w:szCs w:val="15"/>
                <w:color w:val="auto"/>
              </w:rPr>
            </w:pPr>
          </w:p>
        </w:tc>
        <w:tc>
          <w:tcPr>
            <w:tcW w:w="7680" w:type="dxa"/>
            <w:vAlign w:val="bottom"/>
            <w:gridSpan w:val="3"/>
          </w:tcPr>
          <w:p>
            <w:pPr>
              <w:jc w:val="center"/>
              <w:ind w:right="3456"/>
              <w:spacing w:after="0"/>
              <w:rPr>
                <w:sz w:val="20"/>
                <w:szCs w:val="20"/>
                <w:color w:val="auto"/>
              </w:rPr>
            </w:pPr>
            <w:r>
              <w:rPr>
                <w:rFonts w:ascii="Arial" w:cs="Arial" w:eastAsia="Arial" w:hAnsi="Arial"/>
                <w:sz w:val="9"/>
                <w:szCs w:val="9"/>
                <w:color w:val="493728"/>
              </w:rPr>
              <w:t>NEW YORK</w:t>
            </w:r>
            <w:r>
              <w:rPr>
                <w:rFonts w:ascii="Arial" w:cs="Arial" w:eastAsia="Arial" w:hAnsi="Arial"/>
                <w:sz w:val="14"/>
                <w:szCs w:val="14"/>
                <w:color w:val="493728"/>
              </w:rPr>
              <w:t>,</w:t>
            </w:r>
            <w:r>
              <w:rPr>
                <w:rFonts w:ascii="Arial" w:cs="Arial" w:eastAsia="Arial" w:hAnsi="Arial"/>
                <w:sz w:val="9"/>
                <w:szCs w:val="9"/>
                <w:color w:val="493728"/>
              </w:rPr>
              <w:t xml:space="preserve"> NY </w:t>
            </w:r>
            <w:r>
              <w:rPr>
                <w:rFonts w:ascii="Arial" w:cs="Arial" w:eastAsia="Arial" w:hAnsi="Arial"/>
                <w:sz w:val="14"/>
                <w:szCs w:val="14"/>
                <w:color w:val="493728"/>
              </w:rPr>
              <w:t>10017-3954</w:t>
            </w:r>
          </w:p>
        </w:tc>
      </w:tr>
      <w:tr>
        <w:trPr>
          <w:trHeight w:val="60"/>
        </w:trPr>
        <w:tc>
          <w:tcPr>
            <w:tcW w:w="35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040" w:type="dxa"/>
            <w:vAlign w:val="bottom"/>
          </w:tcPr>
          <w:p>
            <w:pPr>
              <w:spacing w:after="0"/>
              <w:rPr>
                <w:sz w:val="5"/>
                <w:szCs w:val="5"/>
                <w:color w:val="auto"/>
              </w:rPr>
            </w:pPr>
          </w:p>
        </w:tc>
      </w:tr>
      <w:tr>
        <w:trPr>
          <w:trHeight w:val="197"/>
        </w:trPr>
        <w:tc>
          <w:tcPr>
            <w:tcW w:w="3560" w:type="dxa"/>
            <w:vAlign w:val="bottom"/>
          </w:tcPr>
          <w:p>
            <w:pPr>
              <w:spacing w:after="0"/>
              <w:rPr>
                <w:sz w:val="17"/>
                <w:szCs w:val="17"/>
                <w:color w:val="auto"/>
              </w:rPr>
            </w:pPr>
          </w:p>
        </w:tc>
        <w:tc>
          <w:tcPr>
            <w:tcW w:w="7680" w:type="dxa"/>
            <w:vAlign w:val="bottom"/>
            <w:gridSpan w:val="3"/>
          </w:tcPr>
          <w:p>
            <w:pPr>
              <w:jc w:val="center"/>
              <w:ind w:right="3476"/>
              <w:spacing w:after="0"/>
              <w:rPr>
                <w:sz w:val="20"/>
                <w:szCs w:val="20"/>
                <w:color w:val="auto"/>
              </w:rPr>
            </w:pPr>
            <w:r>
              <w:rPr>
                <w:rFonts w:ascii="Arial" w:cs="Arial" w:eastAsia="Arial" w:hAnsi="Arial"/>
                <w:sz w:val="9"/>
                <w:szCs w:val="9"/>
                <w:color w:val="65656A"/>
                <w:w w:val="96"/>
              </w:rPr>
              <w:t>TELEPHONE</w:t>
            </w:r>
            <w:r>
              <w:rPr>
                <w:rFonts w:ascii="Arial" w:cs="Arial" w:eastAsia="Arial" w:hAnsi="Arial"/>
                <w:sz w:val="14"/>
                <w:szCs w:val="14"/>
                <w:color w:val="65656A"/>
                <w:w w:val="96"/>
              </w:rPr>
              <w:t>: +1-212-455-2000</w:t>
            </w:r>
          </w:p>
        </w:tc>
      </w:tr>
      <w:tr>
        <w:trPr>
          <w:trHeight w:val="148"/>
        </w:trPr>
        <w:tc>
          <w:tcPr>
            <w:tcW w:w="3560" w:type="dxa"/>
            <w:vAlign w:val="bottom"/>
          </w:tcPr>
          <w:p>
            <w:pPr>
              <w:spacing w:after="0"/>
              <w:rPr>
                <w:sz w:val="12"/>
                <w:szCs w:val="12"/>
                <w:color w:val="auto"/>
              </w:rPr>
            </w:pPr>
          </w:p>
        </w:tc>
        <w:tc>
          <w:tcPr>
            <w:tcW w:w="7680" w:type="dxa"/>
            <w:vAlign w:val="bottom"/>
            <w:gridSpan w:val="3"/>
          </w:tcPr>
          <w:p>
            <w:pPr>
              <w:jc w:val="center"/>
              <w:ind w:right="3456"/>
              <w:spacing w:after="0" w:line="149" w:lineRule="exact"/>
              <w:rPr>
                <w:sz w:val="20"/>
                <w:szCs w:val="20"/>
                <w:color w:val="auto"/>
              </w:rPr>
            </w:pPr>
            <w:r>
              <w:rPr>
                <w:rFonts w:ascii="Arial" w:cs="Arial" w:eastAsia="Arial" w:hAnsi="Arial"/>
                <w:sz w:val="9"/>
                <w:szCs w:val="9"/>
                <w:color w:val="65656A"/>
                <w:w w:val="96"/>
              </w:rPr>
              <w:t>FACSIMILE</w:t>
            </w:r>
            <w:r>
              <w:rPr>
                <w:rFonts w:ascii="Arial" w:cs="Arial" w:eastAsia="Arial" w:hAnsi="Arial"/>
                <w:sz w:val="14"/>
                <w:szCs w:val="14"/>
                <w:color w:val="65656A"/>
                <w:w w:val="96"/>
              </w:rPr>
              <w:t>: +1-212-455-2502</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493728"/>
              </w:rPr>
              <w:t>Direct Dial Number</w:t>
            </w: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jc w:val="right"/>
              <w:spacing w:after="0" w:line="149" w:lineRule="exact"/>
              <w:rPr>
                <w:sz w:val="20"/>
                <w:szCs w:val="20"/>
                <w:color w:val="auto"/>
              </w:rPr>
            </w:pPr>
            <w:r>
              <w:rPr>
                <w:rFonts w:ascii="Arial" w:cs="Arial" w:eastAsia="Arial" w:hAnsi="Arial"/>
                <w:sz w:val="14"/>
                <w:szCs w:val="14"/>
                <w:color w:val="493728"/>
              </w:rPr>
              <w:t>E-mail Address</w:t>
            </w:r>
          </w:p>
        </w:tc>
      </w:tr>
      <w:tr>
        <w:trPr>
          <w:trHeight w:val="182"/>
        </w:trPr>
        <w:tc>
          <w:tcPr>
            <w:tcW w:w="3560" w:type="dxa"/>
            <w:vAlign w:val="bottom"/>
          </w:tcPr>
          <w:p>
            <w:pPr>
              <w:spacing w:after="0"/>
              <w:rPr>
                <w:sz w:val="20"/>
                <w:szCs w:val="20"/>
                <w:color w:val="auto"/>
              </w:rPr>
            </w:pPr>
            <w:r>
              <w:rPr>
                <w:rFonts w:ascii="Arial" w:cs="Arial" w:eastAsia="Arial" w:hAnsi="Arial"/>
                <w:sz w:val="14"/>
                <w:szCs w:val="14"/>
                <w:color w:val="493728"/>
              </w:rPr>
              <w:t>+1-212-455-2485</w:t>
            </w: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4"/>
                <w:szCs w:val="14"/>
                <w:color w:val="493728"/>
              </w:rPr>
              <w:t>scheong@stblaw.com</w:t>
            </w:r>
          </w:p>
        </w:tc>
      </w:tr>
      <w:tr>
        <w:trPr>
          <w:trHeight w:val="967"/>
        </w:trPr>
        <w:tc>
          <w:tcPr>
            <w:tcW w:w="3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jc w:val="right"/>
              <w:ind w:right="2496"/>
              <w:spacing w:after="0"/>
              <w:rPr>
                <w:sz w:val="20"/>
                <w:szCs w:val="20"/>
                <w:color w:val="auto"/>
              </w:rPr>
            </w:pPr>
            <w:r>
              <w:rPr>
                <w:rFonts w:ascii="Arial" w:cs="Arial" w:eastAsia="Arial" w:hAnsi="Arial"/>
                <w:sz w:val="22"/>
                <w:szCs w:val="22"/>
                <w:color w:val="auto"/>
              </w:rPr>
              <w:t>May 3, 2021</w:t>
            </w:r>
          </w:p>
        </w:tc>
      </w:tr>
      <w:tr>
        <w:trPr>
          <w:trHeight w:val="455"/>
        </w:trPr>
        <w:tc>
          <w:tcPr>
            <w:tcW w:w="3560" w:type="dxa"/>
            <w:vAlign w:val="bottom"/>
          </w:tcPr>
          <w:p>
            <w:pPr>
              <w:spacing w:after="0"/>
              <w:rPr>
                <w:sz w:val="20"/>
                <w:szCs w:val="20"/>
                <w:color w:val="auto"/>
              </w:rPr>
            </w:pPr>
            <w:r>
              <w:rPr>
                <w:rFonts w:ascii="Arial" w:cs="Arial" w:eastAsia="Arial" w:hAnsi="Arial"/>
                <w:sz w:val="22"/>
                <w:szCs w:val="22"/>
                <w:color w:val="auto"/>
              </w:rPr>
              <w:t>Academy Sports and Outdoors, Inc.</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3"/>
        </w:trPr>
        <w:tc>
          <w:tcPr>
            <w:tcW w:w="3560" w:type="dxa"/>
            <w:vAlign w:val="bottom"/>
          </w:tcPr>
          <w:p>
            <w:pPr>
              <w:spacing w:after="0" w:line="243" w:lineRule="exact"/>
              <w:rPr>
                <w:sz w:val="20"/>
                <w:szCs w:val="20"/>
                <w:color w:val="auto"/>
              </w:rPr>
            </w:pPr>
            <w:r>
              <w:rPr>
                <w:rFonts w:ascii="Arial" w:cs="Arial" w:eastAsia="Arial" w:hAnsi="Arial"/>
                <w:sz w:val="22"/>
                <w:szCs w:val="22"/>
                <w:color w:val="auto"/>
              </w:rPr>
              <w:t>1800 North Mason Road</w:t>
            </w:r>
          </w:p>
        </w:tc>
        <w:tc>
          <w:tcPr>
            <w:tcW w:w="1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274"/>
        </w:trPr>
        <w:tc>
          <w:tcPr>
            <w:tcW w:w="3560" w:type="dxa"/>
            <w:vAlign w:val="bottom"/>
          </w:tcPr>
          <w:p>
            <w:pPr>
              <w:spacing w:after="0"/>
              <w:rPr>
                <w:sz w:val="20"/>
                <w:szCs w:val="20"/>
                <w:color w:val="auto"/>
              </w:rPr>
            </w:pPr>
            <w:r>
              <w:rPr>
                <w:rFonts w:ascii="Arial" w:cs="Arial" w:eastAsia="Arial" w:hAnsi="Arial"/>
                <w:sz w:val="22"/>
                <w:szCs w:val="22"/>
                <w:color w:val="auto"/>
              </w:rPr>
              <w:t>Katy, Texas 77449</w:t>
            </w:r>
          </w:p>
        </w:tc>
        <w:tc>
          <w:tcPr>
            <w:tcW w:w="1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486"/>
        </w:trPr>
        <w:tc>
          <w:tcPr>
            <w:tcW w:w="3560" w:type="dxa"/>
            <w:vAlign w:val="bottom"/>
          </w:tcPr>
          <w:p>
            <w:pPr>
              <w:spacing w:after="0"/>
              <w:rPr>
                <w:sz w:val="20"/>
                <w:szCs w:val="20"/>
                <w:color w:val="auto"/>
              </w:rPr>
            </w:pPr>
            <w:r>
              <w:rPr>
                <w:rFonts w:ascii="Arial" w:cs="Arial" w:eastAsia="Arial" w:hAnsi="Arial"/>
                <w:sz w:val="22"/>
                <w:szCs w:val="22"/>
                <w:color w:val="auto"/>
              </w:rPr>
              <w:t>Ladies and Gentlemen:</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have acted as counsel to Academy Sports and Outdoors,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Registration Statement on Form S-1 (as amended,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filed by the Company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relating to the sale by the selling stockholders referred to in the Registration Statement (the “</w:t>
      </w:r>
      <w:r>
        <w:rPr>
          <w:rFonts w:ascii="Arial" w:cs="Arial" w:eastAsia="Arial" w:hAnsi="Arial"/>
          <w:sz w:val="19"/>
          <w:szCs w:val="19"/>
          <w:u w:val="single" w:color="auto"/>
          <w:color w:val="auto"/>
        </w:rPr>
        <w:t>Selling Stockholders</w:t>
      </w:r>
      <w:r>
        <w:rPr>
          <w:rFonts w:ascii="Arial" w:cs="Arial" w:eastAsia="Arial" w:hAnsi="Arial"/>
          <w:sz w:val="19"/>
          <w:szCs w:val="19"/>
          <w:color w:val="auto"/>
        </w:rPr>
        <w:t>”) of up to an aggregate of 16,100,000 shares of common stock, par value $0.01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of the Company (together with any additional shares of such Common Stock that may be sold by the Selling Stockholders pursuant to Rule 462(b) (as prescribed by the Commission pursuant to the Act) in connection with the offering described in the Registration Statement,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examined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Based upon the foregoing, and subject to the qualifications, assumptions and limitations stated herein, we are of the opinion that the Shares have been validly issued and are fully paid and nonassessable.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do not express any opinion herein concerning any law other than the Delaware General Corporation Law.</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hereby consent to the filing of this opinion letter as Exhibit 5.1 to the Registration Statement and to the use of our name under the caption “Legal Matters” in the prospectus included in the Registration Statement.</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SIMPSON THACHER &amp; BARTLETT LLP</w:t>
      </w:r>
    </w:p>
    <w:p>
      <w:pPr>
        <w:spacing w:after="0" w:line="200" w:lineRule="exact"/>
        <w:rPr>
          <w:sz w:val="20"/>
          <w:szCs w:val="20"/>
          <w:color w:val="auto"/>
        </w:rPr>
      </w:pPr>
    </w:p>
    <w:p>
      <w:pPr>
        <w:spacing w:after="0" w:line="291" w:lineRule="exact"/>
        <w:rPr>
          <w:sz w:val="20"/>
          <w:szCs w:val="20"/>
          <w:color w:val="auto"/>
        </w:rPr>
      </w:pPr>
    </w:p>
    <w:p>
      <w:pPr>
        <w:ind w:left="260"/>
        <w:spacing w:after="0"/>
        <w:tabs>
          <w:tab w:leader="none" w:pos="1260" w:val="left"/>
          <w:tab w:leader="none" w:pos="2660" w:val="left"/>
          <w:tab w:leader="none" w:pos="3900" w:val="left"/>
          <w:tab w:leader="none" w:pos="5020" w:val="left"/>
          <w:tab w:leader="none" w:pos="6500" w:val="left"/>
          <w:tab w:leader="none" w:pos="7720" w:val="left"/>
          <w:tab w:leader="none" w:pos="8900" w:val="left"/>
          <w:tab w:leader="none" w:pos="9760" w:val="left"/>
        </w:tabs>
        <w:rPr>
          <w:sz w:val="20"/>
          <w:szCs w:val="20"/>
          <w:color w:val="auto"/>
        </w:rPr>
      </w:pPr>
      <w:r>
        <w:rPr>
          <w:rFonts w:ascii="Arial" w:cs="Arial" w:eastAsia="Arial" w:hAnsi="Arial"/>
          <w:sz w:val="14"/>
          <w:szCs w:val="14"/>
          <w:color w:val="65656A"/>
        </w:rPr>
        <w:t>BEIJING</w:t>
      </w:r>
      <w:r>
        <w:rPr>
          <w:sz w:val="20"/>
          <w:szCs w:val="20"/>
          <w:color w:val="auto"/>
        </w:rPr>
        <w:tab/>
      </w:r>
      <w:r>
        <w:rPr>
          <w:rFonts w:ascii="Arial" w:cs="Arial" w:eastAsia="Arial" w:hAnsi="Arial"/>
          <w:sz w:val="14"/>
          <w:szCs w:val="14"/>
          <w:color w:val="65656A"/>
        </w:rPr>
        <w:t>HONG KONG</w:t>
      </w:r>
      <w:r>
        <w:rPr>
          <w:sz w:val="20"/>
          <w:szCs w:val="20"/>
          <w:color w:val="auto"/>
        </w:rPr>
        <w:tab/>
      </w:r>
      <w:r>
        <w:rPr>
          <w:rFonts w:ascii="Arial" w:cs="Arial" w:eastAsia="Arial" w:hAnsi="Arial"/>
          <w:sz w:val="14"/>
          <w:szCs w:val="14"/>
          <w:color w:val="65656A"/>
        </w:rPr>
        <w:t>HOUSTON</w:t>
      </w:r>
      <w:r>
        <w:rPr>
          <w:sz w:val="20"/>
          <w:szCs w:val="20"/>
          <w:color w:val="auto"/>
        </w:rPr>
        <w:tab/>
      </w:r>
      <w:r>
        <w:rPr>
          <w:rFonts w:ascii="Arial" w:cs="Arial" w:eastAsia="Arial" w:hAnsi="Arial"/>
          <w:sz w:val="14"/>
          <w:szCs w:val="14"/>
          <w:color w:val="65656A"/>
        </w:rPr>
        <w:t>LONDON</w:t>
      </w:r>
      <w:r>
        <w:rPr>
          <w:sz w:val="20"/>
          <w:szCs w:val="20"/>
          <w:color w:val="auto"/>
        </w:rPr>
        <w:tab/>
      </w:r>
      <w:r>
        <w:rPr>
          <w:rFonts w:ascii="Arial" w:cs="Arial" w:eastAsia="Arial" w:hAnsi="Arial"/>
          <w:sz w:val="14"/>
          <w:szCs w:val="14"/>
          <w:color w:val="65656A"/>
        </w:rPr>
        <w:t>LOS ANGELES</w:t>
      </w:r>
      <w:r>
        <w:rPr>
          <w:sz w:val="20"/>
          <w:szCs w:val="20"/>
          <w:color w:val="auto"/>
        </w:rPr>
        <w:tab/>
      </w:r>
      <w:r>
        <w:rPr>
          <w:rFonts w:ascii="Arial" w:cs="Arial" w:eastAsia="Arial" w:hAnsi="Arial"/>
          <w:sz w:val="14"/>
          <w:szCs w:val="14"/>
          <w:color w:val="65656A"/>
        </w:rPr>
        <w:t>PALO ALTO</w:t>
      </w:r>
      <w:r>
        <w:rPr>
          <w:sz w:val="20"/>
          <w:szCs w:val="20"/>
          <w:color w:val="auto"/>
        </w:rPr>
        <w:tab/>
      </w:r>
      <w:r>
        <w:rPr>
          <w:rFonts w:ascii="Arial" w:cs="Arial" w:eastAsia="Arial" w:hAnsi="Arial"/>
          <w:sz w:val="14"/>
          <w:szCs w:val="14"/>
          <w:color w:val="65656A"/>
        </w:rPr>
        <w:t>SÃO PAULO</w:t>
      </w:r>
      <w:r>
        <w:rPr>
          <w:sz w:val="20"/>
          <w:szCs w:val="20"/>
          <w:color w:val="auto"/>
        </w:rPr>
        <w:tab/>
      </w:r>
      <w:r>
        <w:rPr>
          <w:rFonts w:ascii="Arial" w:cs="Arial" w:eastAsia="Arial" w:hAnsi="Arial"/>
          <w:sz w:val="14"/>
          <w:szCs w:val="14"/>
          <w:color w:val="65656A"/>
        </w:rPr>
        <w:t>TOKYO</w:t>
      </w:r>
      <w:r>
        <w:rPr>
          <w:sz w:val="20"/>
          <w:szCs w:val="20"/>
          <w:color w:val="auto"/>
        </w:rPr>
        <w:tab/>
      </w:r>
      <w:r>
        <w:rPr>
          <w:rFonts w:ascii="Arial" w:cs="Arial" w:eastAsia="Arial" w:hAnsi="Arial"/>
          <w:sz w:val="13"/>
          <w:szCs w:val="13"/>
          <w:color w:val="65656A"/>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consent to the incorporation by reference in this Registration Statement on Form S-1 of our report dated April 7, 2021 relating to the financial statements of Academy Sports and Outdoors, Inc. appearing in the Annual Report on Form 10-K of Academy Sports and Outdoors, Inc. for the year ended January 30, 2021. We also consent to the reference to us under the heading "Experts" in such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decimal"/>
      <w:start w:val="3"/>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28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lowerRoman"/>
      <w:start w:val="3"/>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9"/>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Roman"/>
      <w:start w:val="3"/>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lowerRoman"/>
      <w:start w:val="10"/>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Roman"/>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Letter"/>
      <w:start w:val="2"/>
    </w:lvl>
  </w:abstractNum>
  <w:abstractNum w:abstractNumId="39">
    <w:nsid w:val="2F305DEF"/>
    <w:multiLevelType w:val="hybridMultilevel"/>
    <w:lvl w:ilvl="0">
      <w:lvlJc w:val="left"/>
      <w:lvlText w:val="(%1)"/>
      <w:numFmt w:val="decimal"/>
      <w:start w:val="1"/>
    </w:lvl>
    <w:lvl w:ilvl="1">
      <w:lvlJc w:val="left"/>
      <w:lvlText w:val="(%2)"/>
      <w:numFmt w:val="upperLetter"/>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7"/>
    </w:lvl>
  </w:abstractNum>
  <w:abstractNum w:abstractNumId="46">
    <w:nsid w:val="100F8FCA"/>
    <w:multiLevelType w:val="hybridMultilevel"/>
    <w:lvl w:ilvl="0">
      <w:lvlJc w:val="left"/>
      <w:lvlText w:val="%1"/>
      <w:numFmt w:val="lowerLetter"/>
      <w:start w:val="1"/>
    </w:lvl>
    <w:lvl w:ilvl="1">
      <w:lvlJc w:val="left"/>
      <w:lvlText w:val="(%2)"/>
      <w:numFmt w:val="lowerLetter"/>
      <w:start w:val="13"/>
    </w:lvl>
  </w:abstractNum>
  <w:abstractNum w:abstractNumId="47">
    <w:nsid w:val="6590700B"/>
    <w:multiLevelType w:val="hybridMultilevel"/>
    <w:lvl w:ilvl="0">
      <w:lvlJc w:val="left"/>
      <w:lvlText w:val="(%1)"/>
      <w:numFmt w:val="lowerLetter"/>
      <w:start w:val="35"/>
    </w:lvl>
    <w:lvl w:ilvl="1">
      <w:lvlJc w:val="left"/>
      <w:lvlText w:val="(%2)"/>
      <w:numFmt w:val="lowerLetter"/>
      <w:start w:val="15"/>
    </w:lvl>
  </w:abstractNum>
  <w:abstractNum w:abstractNumId="48">
    <w:nsid w:val="15014ACB"/>
    <w:multiLevelType w:val="hybridMultilevel"/>
    <w:lvl w:ilvl="0">
      <w:lvlJc w:val="left"/>
      <w:lvlText w:val="(%1)"/>
      <w:numFmt w:val="lowerLetter"/>
      <w:start w:val="19"/>
    </w:lvl>
  </w:abstractNum>
  <w:abstractNum w:abstractNumId="49">
    <w:nsid w:val="5F5E7FD0"/>
    <w:multiLevelType w:val="hybridMultilevel"/>
    <w:lvl w:ilvl="0">
      <w:lvlJc w:val="left"/>
      <w:lvlText w:val="(%1)"/>
      <w:numFmt w:val="lowerLetter"/>
      <w:start w:val="26"/>
    </w:lvl>
  </w:abstractNum>
  <w:abstractNum w:abstractNumId="50">
    <w:nsid w:val="98A3148"/>
    <w:multiLevelType w:val="hybridMultilevel"/>
    <w:lvl w:ilvl="0">
      <w:lvlJc w:val="left"/>
      <w:lvlText w:val="%1"/>
      <w:numFmt w:val="lowerRoman"/>
      <w:start w:val="1"/>
    </w:lvl>
    <w:lvl w:ilvl="1">
      <w:lvlJc w:val="left"/>
      <w:lvlText w:val="(%2)"/>
      <w:numFmt w:val="lowerLetter"/>
      <w:start w:val="27"/>
    </w:lvl>
  </w:abstractNum>
  <w:abstractNum w:abstractNumId="51">
    <w:nsid w:val="799D0247"/>
    <w:multiLevelType w:val="hybridMultilevel"/>
    <w:lvl w:ilvl="0">
      <w:lvlJc w:val="left"/>
      <w:lvlText w:val="(%1)"/>
      <w:numFmt w:val="lowerRoman"/>
      <w:start w:val="4"/>
    </w:lvl>
    <w:lvl w:ilvl="1">
      <w:lvlJc w:val="left"/>
      <w:lvlText w:val="%2"/>
      <w:numFmt w:val="lowerLetter"/>
      <w:start w:val="1"/>
    </w:lvl>
  </w:abstractNum>
  <w:abstractNum w:abstractNumId="52">
    <w:nsid w:val="6B94764"/>
    <w:multiLevelType w:val="hybridMultilevel"/>
    <w:lvl w:ilvl="0">
      <w:lvlJc w:val="left"/>
      <w:lvlText w:val="(%1)"/>
      <w:numFmt w:val="lowerLetter"/>
      <w:start w:val="32"/>
    </w:lvl>
  </w:abstractNum>
  <w:abstractNum w:abstractNumId="53">
    <w:nsid w:val="42C296BD"/>
    <w:multiLevelType w:val="hybridMultilevel"/>
    <w:lvl w:ilvl="0">
      <w:lvlJc w:val="left"/>
      <w:lvlText w:val="(%1)"/>
      <w:numFmt w:val="lowerLetter"/>
      <w:start w:val="38"/>
    </w:lvl>
  </w:abstractNum>
  <w:abstractNum w:abstractNumId="54">
    <w:nsid w:val="168E121F"/>
    <w:multiLevelType w:val="hybridMultilevel"/>
    <w:lvl w:ilvl="0">
      <w:lvlJc w:val="left"/>
      <w:lvlText w:val="(%1)"/>
      <w:numFmt w:val="lowerLetter"/>
      <w:start w:val="41"/>
    </w:lvl>
  </w:abstractNum>
  <w:abstractNum w:abstractNumId="55">
    <w:nsid w:val="1EBA5D23"/>
    <w:multiLevelType w:val="hybridMultilevel"/>
    <w:lvl w:ilvl="0">
      <w:lvlJc w:val="left"/>
      <w:lvlText w:val="%1."/>
      <w:numFmt w:val="decimal"/>
      <w:start w:val="2"/>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lowerLetter"/>
      <w:start w:val="4"/>
    </w:lvl>
  </w:abstractNum>
  <w:abstractNum w:abstractNumId="58">
    <w:nsid w:val="540A471C"/>
    <w:multiLevelType w:val="hybridMultilevel"/>
    <w:lvl w:ilvl="0">
      <w:lvlJc w:val="left"/>
      <w:lvlText w:val="%1."/>
      <w:numFmt w:val="decimal"/>
      <w:start w:val="3"/>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decimal"/>
      <w:start w:val="4"/>
    </w:lvl>
  </w:abstractNum>
  <w:abstractNum w:abstractNumId="61">
    <w:nsid w:val="613EFDC5"/>
    <w:multiLevelType w:val="hybridMultilevel"/>
    <w:lvl w:ilvl="0">
      <w:lvlJc w:val="left"/>
      <w:lvlText w:val="%1."/>
      <w:numFmt w:val="decimal"/>
      <w:start w:val="5"/>
    </w:lvl>
  </w:abstractNum>
  <w:abstractNum w:abstractNumId="62">
    <w:nsid w:val="BF72B14"/>
    <w:multiLevelType w:val="hybridMultilevel"/>
    <w:lvl w:ilvl="0">
      <w:lvlJc w:val="left"/>
      <w:lvlText w:val="%1."/>
      <w:numFmt w:val="decimal"/>
      <w:start w:val="6"/>
    </w:lvl>
  </w:abstractNum>
  <w:abstractNum w:abstractNumId="63">
    <w:nsid w:val="11447B73"/>
    <w:multiLevelType w:val="hybridMultilevel"/>
    <w:lvl w:ilvl="0">
      <w:lvlJc w:val="left"/>
      <w:lvlText w:val="%1"/>
      <w:numFmt w:val="lowerRoman"/>
      <w:start w:val="1"/>
    </w:lvl>
    <w:lvl w:ilvl="1">
      <w:lvlJc w:val="left"/>
      <w:lvlText w:val="(%2)"/>
      <w:numFmt w:val="lowerLetter"/>
      <w:start w:val="1"/>
    </w:lvl>
  </w:abstractNum>
  <w:abstractNum w:abstractNumId="64">
    <w:nsid w:val="42963E5A"/>
    <w:multiLevelType w:val="hybridMultilevel"/>
    <w:lvl w:ilvl="0">
      <w:lvlJc w:val="left"/>
      <w:lvlText w:val="(%1)"/>
      <w:numFmt w:val="lowerRoman"/>
      <w:start w:val="4"/>
    </w:lvl>
    <w:lvl w:ilvl="1">
      <w:lvlJc w:val="left"/>
      <w:lvlText w:val="(%2)"/>
      <w:numFmt w:val="lowerLetter"/>
      <w:start w:val="2"/>
    </w:lvl>
  </w:abstractNum>
  <w:abstractNum w:abstractNumId="65">
    <w:nsid w:val="A0382C5"/>
    <w:multiLevelType w:val="hybridMultilevel"/>
    <w:lvl w:ilvl="0">
      <w:lvlJc w:val="left"/>
      <w:lvlText w:val="(%1)"/>
      <w:numFmt w:val="lowerLetter"/>
      <w:start w:val="6"/>
    </w:lvl>
  </w:abstractNum>
  <w:abstractNum w:abstractNumId="66">
    <w:nsid w:val="8F2B15E"/>
    <w:multiLevelType w:val="hybridMultilevel"/>
    <w:lvl w:ilvl="0">
      <w:lvlJc w:val="left"/>
      <w:lvlText w:val="(%1)"/>
      <w:numFmt w:val="lowerLetter"/>
      <w:start w:val="12"/>
    </w:lvl>
  </w:abstractNum>
  <w:abstractNum w:abstractNumId="67">
    <w:nsid w:val="1A32234B"/>
    <w:multiLevelType w:val="hybridMultilevel"/>
    <w:lvl w:ilvl="0">
      <w:lvlJc w:val="left"/>
      <w:lvlText w:val="%1."/>
      <w:numFmt w:val="decimal"/>
      <w:start w:val="7"/>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decimal"/>
      <w:start w:val="8"/>
    </w:lvl>
  </w:abstractNum>
  <w:abstractNum w:abstractNumId="70">
    <w:nsid w:val="4962813B"/>
    <w:multiLevelType w:val="hybridMultilevel"/>
    <w:lvl w:ilvl="0">
      <w:lvlJc w:val="left"/>
      <w:lvlText w:val="(%1)"/>
      <w:numFmt w:val="lowerLetter"/>
      <w:start w:val="1"/>
    </w:lvl>
    <w:lvl w:ilvl="1">
      <w:lvlJc w:val="left"/>
      <w:lvlText w:val="(%2)"/>
      <w:numFmt w:val="lowerRoman"/>
      <w:start w:val="2"/>
    </w:lvl>
  </w:abstractNum>
  <w:abstractNum w:abstractNumId="71">
    <w:nsid w:val="60B6DF70"/>
    <w:multiLevelType w:val="hybridMultilevel"/>
    <w:lvl w:ilvl="0">
      <w:lvlJc w:val="left"/>
      <w:lvlText w:val="(%1)"/>
      <w:numFmt w:val="lowerLetter"/>
      <w:start w:val="4"/>
    </w:lvl>
    <w:lvl w:ilvl="1">
      <w:lvlJc w:val="left"/>
      <w:lvlText w:val="(%2)"/>
      <w:numFmt w:val="decimal"/>
      <w:start w:val="1"/>
    </w:lvl>
  </w:abstractNum>
  <w:abstractNum w:abstractNumId="72">
    <w:nsid w:val="6A5EE64"/>
    <w:multiLevelType w:val="hybridMultilevel"/>
    <w:lvl w:ilvl="0">
      <w:lvlJc w:val="left"/>
      <w:lvlText w:val="(%1)"/>
      <w:numFmt w:val="lowerLetter"/>
      <w:start w:val="8"/>
    </w:lvl>
  </w:abstractNum>
  <w:abstractNum w:abstractNumId="73">
    <w:nsid w:val="14330624"/>
    <w:multiLevelType w:val="hybridMultilevel"/>
    <w:lvl w:ilvl="0">
      <w:lvlJc w:val="left"/>
      <w:lvlText w:val="%1."/>
      <w:numFmt w:val="decimal"/>
      <w:start w:val="9"/>
    </w:lvl>
  </w:abstractNum>
  <w:abstractNum w:abstractNumId="74">
    <w:nsid w:val="7FFFCA11"/>
    <w:multiLevelType w:val="hybridMultilevel"/>
    <w:lvl w:ilvl="0">
      <w:lvlJc w:val="left"/>
      <w:lvlText w:val="%1."/>
      <w:numFmt w:val="decimal"/>
      <w:start w:val="10"/>
    </w:lvl>
  </w:abstractNum>
  <w:abstractNum w:abstractNumId="75">
    <w:nsid w:val="1A27709E"/>
    <w:multiLevelType w:val="hybridMultilevel"/>
    <w:lvl w:ilvl="0">
      <w:lvlJc w:val="left"/>
      <w:lvlText w:val="%1"/>
      <w:numFmt w:val="lowerLetter"/>
      <w:start w:val="1"/>
    </w:lvl>
    <w:lvl w:ilvl="1">
      <w:lvlJc w:val="left"/>
      <w:lvlText w:val="(%2)"/>
      <w:numFmt w:val="lowerLetter"/>
      <w:start w:val="1"/>
    </w:lvl>
  </w:abstractNum>
  <w:abstractNum w:abstractNumId="76">
    <w:nsid w:val="71EA1109"/>
    <w:multiLevelType w:val="hybridMultilevel"/>
    <w:lvl w:ilvl="0">
      <w:lvlJc w:val="left"/>
      <w:lvlText w:val="(%1)"/>
      <w:numFmt w:val="lowerLetter"/>
      <w:start w:val="61"/>
    </w:lvl>
    <w:lvl w:ilvl="1">
      <w:lvlJc w:val="left"/>
      <w:lvlText w:val="%2"/>
      <w:numFmt w:val="lowerLetter"/>
      <w:start w:val="1"/>
    </w:lvl>
  </w:abstractNum>
  <w:abstractNum w:abstractNumId="77">
    <w:nsid w:val="100F59DC"/>
    <w:multiLevelType w:val="hybridMultilevel"/>
    <w:lvl w:ilvl="0">
      <w:lvlJc w:val="left"/>
      <w:lvlText w:val="(%1)"/>
      <w:numFmt w:val="lowerLetter"/>
      <w:start w:val="4"/>
    </w:lvl>
  </w:abstractNum>
  <w:abstractNum w:abstractNumId="78">
    <w:nsid w:val="7FB7E0AA"/>
    <w:multiLevelType w:val="hybridMultilevel"/>
    <w:lvl w:ilvl="0">
      <w:lvlJc w:val="left"/>
      <w:lvlText w:val="(%1)"/>
      <w:numFmt w:val="lowerLetter"/>
      <w:start w:val="5"/>
    </w:lvl>
  </w:abstractNum>
  <w:abstractNum w:abstractNumId="79">
    <w:nsid w:val="6EB5BD4"/>
    <w:multiLevelType w:val="hybridMultilevel"/>
    <w:lvl w:ilvl="0">
      <w:lvlJc w:val="left"/>
      <w:lvlText w:val="%1."/>
      <w:numFmt w:val="decimal"/>
      <w:start w:val="11"/>
    </w:lvl>
  </w:abstractNum>
  <w:abstractNum w:abstractNumId="80">
    <w:nsid w:val="6F6DD9AC"/>
    <w:multiLevelType w:val="hybridMultilevel"/>
    <w:lvl w:ilvl="0">
      <w:lvlJc w:val="left"/>
      <w:lvlText w:val="%1."/>
      <w:numFmt w:val="decimal"/>
      <w:start w:val="15"/>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decimal"/>
      <w:start w:val="17"/>
    </w:lvl>
  </w:abstractNum>
  <w:abstractNum w:abstractNumId="83">
    <w:nsid w:val="76272110"/>
    <w:multiLevelType w:val="hybridMultilevel"/>
    <w:lvl w:ilvl="0">
      <w:lvlJc w:val="left"/>
      <w:lvlText w:val="%1."/>
      <w:numFmt w:val="decimal"/>
      <w:start w:val="20"/>
    </w:lvl>
  </w:abstractNum>
  <w:abstractNum w:abstractNumId="84">
    <w:nsid w:val="4C04A8AF"/>
    <w:multiLevelType w:val="hybridMultilevel"/>
    <w:lvl w:ilvl="0">
      <w:lvlJc w:val="left"/>
      <w:lvlText w:val="%1."/>
      <w:numFmt w:val="decimal"/>
      <w:start w:val="26"/>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lowerRoman"/>
      <w:start w:val="1"/>
    </w:lvl>
  </w:abstractNum>
  <w:abstractNum w:abstractNumId="88">
    <w:nsid w:val="74DE0EE3"/>
    <w:multiLevelType w:val="hybridMultilevel"/>
    <w:lvl w:ilvl="0">
      <w:lvlJc w:val="left"/>
      <w:lvlText w:val="(%1)"/>
      <w:numFmt w:val="lowerRoman"/>
      <w:start w:val="10"/>
    </w:lvl>
  </w:abstractNum>
  <w:abstractNum w:abstractNumId="89">
    <w:nsid w:val="68EBC55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jpe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40" Type="http://schemas.openxmlformats.org/officeDocument/2006/relationships/image" Target="media/image120.png"/><Relationship Id="rId142" Type="http://schemas.openxmlformats.org/officeDocument/2006/relationships/image" Target="media/image121.png"/><Relationship Id="rId144" Type="http://schemas.openxmlformats.org/officeDocument/2006/relationships/image" Target="media/image122.png"/><Relationship Id="rId146" Type="http://schemas.openxmlformats.org/officeDocument/2006/relationships/image" Target="media/image123.png"/><Relationship Id="rId148" Type="http://schemas.openxmlformats.org/officeDocument/2006/relationships/image" Target="media/image124.png"/><Relationship Id="rId150"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5" Type="http://schemas.openxmlformats.org/officeDocument/2006/relationships/image" Target="media/image128.png"/><Relationship Id="rId157" Type="http://schemas.openxmlformats.org/officeDocument/2006/relationships/image" Target="media/image129.png"/><Relationship Id="rId159" Type="http://schemas.openxmlformats.org/officeDocument/2006/relationships/image" Target="media/image130.png"/><Relationship Id="rId161" Type="http://schemas.openxmlformats.org/officeDocument/2006/relationships/image" Target="media/image131.png"/><Relationship Id="rId163" Type="http://schemas.openxmlformats.org/officeDocument/2006/relationships/image" Target="media/image132.png"/><Relationship Id="rId165" Type="http://schemas.openxmlformats.org/officeDocument/2006/relationships/image" Target="media/image133.png"/><Relationship Id="rId167" Type="http://schemas.openxmlformats.org/officeDocument/2006/relationships/image" Target="media/image134.png"/><Relationship Id="rId169" Type="http://schemas.openxmlformats.org/officeDocument/2006/relationships/image" Target="media/image135.png"/><Relationship Id="rId171" Type="http://schemas.openxmlformats.org/officeDocument/2006/relationships/image" Target="media/image136.png"/><Relationship Id="rId173"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9" Type="http://schemas.openxmlformats.org/officeDocument/2006/relationships/image" Target="media/image141.png"/><Relationship Id="rId181" Type="http://schemas.openxmlformats.org/officeDocument/2006/relationships/image" Target="media/image142.png"/><Relationship Id="rId183" Type="http://schemas.openxmlformats.org/officeDocument/2006/relationships/image" Target="media/image143.png"/><Relationship Id="rId185" Type="http://schemas.openxmlformats.org/officeDocument/2006/relationships/image" Target="media/image144.png"/><Relationship Id="rId187" Type="http://schemas.openxmlformats.org/officeDocument/2006/relationships/image" Target="media/image145.png"/><Relationship Id="rId189" Type="http://schemas.openxmlformats.org/officeDocument/2006/relationships/image" Target="media/image146.png"/><Relationship Id="rId191" Type="http://schemas.openxmlformats.org/officeDocument/2006/relationships/image" Target="media/image147.png"/><Relationship Id="rId193" Type="http://schemas.openxmlformats.org/officeDocument/2006/relationships/image" Target="media/image148.png"/><Relationship Id="rId195" Type="http://schemas.openxmlformats.org/officeDocument/2006/relationships/image" Target="media/image149.png"/><Relationship Id="rId197" Type="http://schemas.openxmlformats.org/officeDocument/2006/relationships/image" Target="media/image150.png"/><Relationship Id="rId199" Type="http://schemas.openxmlformats.org/officeDocument/2006/relationships/image" Target="media/image151.png"/><Relationship Id="rId201"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6" Type="http://schemas.openxmlformats.org/officeDocument/2006/relationships/image" Target="media/image155.png"/><Relationship Id="rId208" Type="http://schemas.openxmlformats.org/officeDocument/2006/relationships/image" Target="media/image156.png"/><Relationship Id="rId210" Type="http://schemas.openxmlformats.org/officeDocument/2006/relationships/image" Target="media/image157.png"/><Relationship Id="rId212" Type="http://schemas.openxmlformats.org/officeDocument/2006/relationships/image" Target="media/image158.png"/><Relationship Id="rId214" Type="http://schemas.openxmlformats.org/officeDocument/2006/relationships/image" Target="media/image159.png"/><Relationship Id="rId216" Type="http://schemas.openxmlformats.org/officeDocument/2006/relationships/image" Target="media/image160.png"/><Relationship Id="rId218" Type="http://schemas.openxmlformats.org/officeDocument/2006/relationships/image" Target="media/image161.png"/><Relationship Id="rId220"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114" Type="http://schemas.openxmlformats.org/officeDocument/2006/relationships/hyperlink" Target="https://www.sec.gov/ix?doc=/Archives/edgar/data/1817358/000181735821000059/aso-20210130.htm" TargetMode="External"/><Relationship Id="rId115" Type="http://schemas.openxmlformats.org/officeDocument/2006/relationships/hyperlink" Target="https://www.sec.gov/Archives/edgar/data/0001817358/000181735821000064/a2021proxydraft.htm" TargetMode="External"/><Relationship Id="rId116" Type="http://schemas.openxmlformats.org/officeDocument/2006/relationships/hyperlink" Target="https://www.sec.gov/ix?doc=/Archives/edgar/data/0001817358/000119312521024546/d90563d8k.htm" TargetMode="External"/><Relationship Id="rId117" Type="http://schemas.openxmlformats.org/officeDocument/2006/relationships/hyperlink" Target="https://www.sec.gov/Archives/edgar/data/0001817358/000181735821000014/draftmarch21form8k.htm" TargetMode="External"/><Relationship Id="rId128" Type="http://schemas.openxmlformats.org/officeDocument/2006/relationships/hyperlink" Target="https://www.sec.gov/Archives/edgar/data/1817358/000119312520264744/d910645dex31.htm" TargetMode="External"/><Relationship Id="rId129" Type="http://schemas.openxmlformats.org/officeDocument/2006/relationships/hyperlink" Target="https://www.sec.gov/Archives/edgar/data/1817358/000119312520264744/d910645dex32.htm" TargetMode="External"/><Relationship Id="rId130" Type="http://schemas.openxmlformats.org/officeDocument/2006/relationships/hyperlink" Target="https://www.sec.gov/Archives/edgar/data/1817358/000119312520264744/d910645dex41.htm" TargetMode="External"/><Relationship Id="rId131" Type="http://schemas.openxmlformats.org/officeDocument/2006/relationships/hyperlink" Target="https://www.sec.gov/Archives/edgar/data/1817358/000119312520287988/d22150dex41.htm" TargetMode="External"/><Relationship Id="rId132" Type="http://schemas.openxmlformats.org/officeDocument/2006/relationships/hyperlink" Target="https://www.sec.gov/Archives/edgar/data/1817358/000119312520287988/d22150dex101.htm" TargetMode="External"/><Relationship Id="rId133" Type="http://schemas.openxmlformats.org/officeDocument/2006/relationships/hyperlink" Target="https://www.sec.gov/Archives/edgar/data/1817358/000119312520242076/d934024dex102.htm" TargetMode="External"/><Relationship Id="rId134" Type="http://schemas.openxmlformats.org/officeDocument/2006/relationships/hyperlink" Target="https://www.sec.gov/Archives/edgar/data/1817358/000119312520242076/d934024dex103.htm" TargetMode="External"/><Relationship Id="rId135" Type="http://schemas.openxmlformats.org/officeDocument/2006/relationships/hyperlink" Target="https://www.sec.gov/Archives/edgar/data/1817358/000119312520242076/d934024dex104.htm" TargetMode="External"/><Relationship Id="rId139" Type="http://schemas.openxmlformats.org/officeDocument/2006/relationships/hyperlink" Target="https://www.sec.gov/Archives/edgar/data/1817358/000119312521016235/d103203dex105.htm" TargetMode="External"/><Relationship Id="rId141" Type="http://schemas.openxmlformats.org/officeDocument/2006/relationships/hyperlink" Target="https://www.sec.gov/Archives/edgar/data/1817358/000119312521016235/d103203dex106.htm" TargetMode="External"/><Relationship Id="rId143" Type="http://schemas.openxmlformats.org/officeDocument/2006/relationships/hyperlink" Target="https://www.sec.gov/Archives/edgar/data/1817358/000119312521016235/d103203dex107.htm" TargetMode="External"/><Relationship Id="rId145" Type="http://schemas.openxmlformats.org/officeDocument/2006/relationships/hyperlink" Target="https://www.sec.gov/Archives/edgar/data/1817358/000119312520242076/d934024dex105.htm" TargetMode="External"/><Relationship Id="rId147" Type="http://schemas.openxmlformats.org/officeDocument/2006/relationships/hyperlink" Target="https://www.sec.gov/Archives/edgar/data/1817358/000119312520242076/d934024dex106.htm" TargetMode="External"/><Relationship Id="rId149" Type="http://schemas.openxmlformats.org/officeDocument/2006/relationships/hyperlink" Target="https://www.sec.gov/Archives/edgar/data/1817358/000119312520287988/d22150dex102.htm" TargetMode="External"/><Relationship Id="rId151" Type="http://schemas.openxmlformats.org/officeDocument/2006/relationships/hyperlink" Target="https://www.sec.gov/Archives/edgar/data/1817358/000119312520242076/d934024dex107.htm" TargetMode="External"/><Relationship Id="rId154" Type="http://schemas.openxmlformats.org/officeDocument/2006/relationships/hyperlink" Target="https://www.sec.gov/Archives/edgar/data/1817358/000119312520242076/d934024dex108.htm" TargetMode="External"/><Relationship Id="rId156" Type="http://schemas.openxmlformats.org/officeDocument/2006/relationships/hyperlink" Target="https://www.sec.gov/Archives/edgar/data/1817358/000119312521016235/d103203dex1013.htm" TargetMode="External"/><Relationship Id="rId158" Type="http://schemas.openxmlformats.org/officeDocument/2006/relationships/hyperlink" Target="https://www.sec.gov/Archives/edgar/data/1817358/000119312521016235/d103203dex1014.htm" TargetMode="External"/><Relationship Id="rId160" Type="http://schemas.openxmlformats.org/officeDocument/2006/relationships/hyperlink" Target="https://www.sec.gov/Archives/edgar/data/1817358/000181735820000012/exhibit102.htm" TargetMode="External"/><Relationship Id="rId162" Type="http://schemas.openxmlformats.org/officeDocument/2006/relationships/hyperlink" Target="https://www.sec.gov/Archives/edgar/data/1817358/000119312520252290/d934024dex1010.htm" TargetMode="External"/><Relationship Id="rId164" Type="http://schemas.openxmlformats.org/officeDocument/2006/relationships/hyperlink" Target="https://www.sec.gov/Archives/edgar/data/1817358/000119312520252290/d934024dex1011.htm" TargetMode="External"/><Relationship Id="rId166" Type="http://schemas.openxmlformats.org/officeDocument/2006/relationships/hyperlink" Target="https://www.sec.gov/Archives/edgar/data/1817358/000119312520252290/d934024dex1012.htm" TargetMode="External"/><Relationship Id="rId168" Type="http://schemas.openxmlformats.org/officeDocument/2006/relationships/hyperlink" Target="https://www.sec.gov/Archives/edgar/data/1817358/000181735821000059/a1019fy2020.htm" TargetMode="External"/><Relationship Id="rId170" Type="http://schemas.openxmlformats.org/officeDocument/2006/relationships/hyperlink" Target="https://www.sec.gov/Archives/edgar/data/1817358/000119312520242076/d934024dex1013.htm" TargetMode="External"/><Relationship Id="rId172" Type="http://schemas.openxmlformats.org/officeDocument/2006/relationships/hyperlink" Target="https://www.sec.gov/Archives/edgar/data/1817358/000119312520242076/d934024dex1014.htm" TargetMode="External"/><Relationship Id="rId174" Type="http://schemas.openxmlformats.org/officeDocument/2006/relationships/hyperlink" Target="https://www.sec.gov/Archives/edgar/data/1817358/000119312520242076/d934024dex1015.htm" TargetMode="External"/><Relationship Id="rId178" Type="http://schemas.openxmlformats.org/officeDocument/2006/relationships/hyperlink" Target="https://www.sec.gov/Archives/edgar/data/1817358/000119312520242076/d934024dex1017.htm" TargetMode="External"/><Relationship Id="rId180" Type="http://schemas.openxmlformats.org/officeDocument/2006/relationships/hyperlink" Target="https://www.sec.gov/Archives/edgar/data/1817358/000119312520242076/d934024dex1018.htm" TargetMode="External"/><Relationship Id="rId182" Type="http://schemas.openxmlformats.org/officeDocument/2006/relationships/hyperlink" Target="https://www.sec.gov/Archives/edgar/data/1817358/000119312520242076/d934024dex1019.htm" TargetMode="External"/><Relationship Id="rId184" Type="http://schemas.openxmlformats.org/officeDocument/2006/relationships/hyperlink" Target="https://www.sec.gov/Archives/edgar/data/1817358/000181735821000059/exhibit1027.htm" TargetMode="External"/><Relationship Id="rId186" Type="http://schemas.openxmlformats.org/officeDocument/2006/relationships/hyperlink" Target="https://www.sec.gov/Archives/edgar/data/1817358/000119312520242076/d934024dex1020.htm" TargetMode="External"/><Relationship Id="rId188" Type="http://schemas.openxmlformats.org/officeDocument/2006/relationships/hyperlink" Target="https://www.sec.gov/Archives/edgar/data/1817358/000119312520242076/d934024dex1021.htm" TargetMode="External"/><Relationship Id="rId190" Type="http://schemas.openxmlformats.org/officeDocument/2006/relationships/hyperlink" Target="https://www.sec.gov/Archives/edgar/data/1817358/000119312520242076/d934024dex1022.htm" TargetMode="External"/><Relationship Id="rId192" Type="http://schemas.openxmlformats.org/officeDocument/2006/relationships/hyperlink" Target="https://www.sec.gov/Archives/edgar/data/1817358/000119312520242076/d934024dex1023.htm" TargetMode="External"/><Relationship Id="rId194" Type="http://schemas.openxmlformats.org/officeDocument/2006/relationships/hyperlink" Target="https://www.sec.gov/Archives/edgar/data/1817358/000119312520242076/d934024dex1024.htm" TargetMode="External"/><Relationship Id="rId196" Type="http://schemas.openxmlformats.org/officeDocument/2006/relationships/hyperlink" Target="https://www.sec.gov/Archives/edgar/data/1817358/000119312520242076/d934024dex1025.htm" TargetMode="External"/><Relationship Id="rId198" Type="http://schemas.openxmlformats.org/officeDocument/2006/relationships/hyperlink" Target="https://www.sec.gov/Archives/edgar/data/1817358/000119312520242076/d934024dex1026.htm" TargetMode="External"/><Relationship Id="rId200" Type="http://schemas.openxmlformats.org/officeDocument/2006/relationships/hyperlink" Target="https://www.sec.gov/Archives/edgar/data/1817358/000119312520242076/d934024dex1027.htm" TargetMode="External"/><Relationship Id="rId202" Type="http://schemas.openxmlformats.org/officeDocument/2006/relationships/hyperlink" Target="https://www.sec.gov/Archives/edgar/data/1817358/000119312520242076/d934024dex1028.htm" TargetMode="External"/><Relationship Id="rId205" Type="http://schemas.openxmlformats.org/officeDocument/2006/relationships/hyperlink" Target="https://www.sec.gov/Archives/edgar/data/1817358/000119312520242076/d934024dex1029.htm" TargetMode="External"/><Relationship Id="rId207" Type="http://schemas.openxmlformats.org/officeDocument/2006/relationships/hyperlink" Target="https://www.sec.gov/Archives/edgar/data/1817358/000119312520242076/d934024dex1030.htm" TargetMode="External"/><Relationship Id="rId209" Type="http://schemas.openxmlformats.org/officeDocument/2006/relationships/hyperlink" Target="https://www.sec.gov/Archives/edgar/data/1817358/000119312520242076/d934024dex1031.htm" TargetMode="External"/><Relationship Id="rId211" Type="http://schemas.openxmlformats.org/officeDocument/2006/relationships/hyperlink" Target="https://www.sec.gov/Archives/edgar/data/1817358/000119312520242076/d934024dex1032.htm" TargetMode="External"/><Relationship Id="rId213" Type="http://schemas.openxmlformats.org/officeDocument/2006/relationships/hyperlink" Target="https://www.sec.gov/Archives/edgar/data/1817358/000181735821000059/exhibit1041-fy2020.htm" TargetMode="External"/><Relationship Id="rId215" Type="http://schemas.openxmlformats.org/officeDocument/2006/relationships/hyperlink" Target="https://www.sec.gov/Archives/edgar/data/1817358/000119312520252290/d934024dex1034.htm" TargetMode="External"/><Relationship Id="rId217" Type="http://schemas.openxmlformats.org/officeDocument/2006/relationships/hyperlink" Target="https://www.sec.gov/Archives/edgar/data/1817358/000119312520264744/d910645dex101.htm" TargetMode="External"/><Relationship Id="rId219" Type="http://schemas.openxmlformats.org/officeDocument/2006/relationships/hyperlink" Target="https://www.sec.gov/Archives/edgar/data/1817358/000119312520252290/d934024dex1037.htm" TargetMode="External"/><Relationship Id="rId221" Type="http://schemas.openxmlformats.org/officeDocument/2006/relationships/hyperlink" Target="https://www.sec.gov/Archives/edgar/data/1817358/000181735821000059/exhibit211-fy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2021-05-03T15:26:18Z</dcterms:created>
  <dcterms:modified xsi:type="dcterms:W3CDTF">2021-05-03T15:26:18Z</dcterms:modified>
</cp:coreProperties>
</file>