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457200</wp:posOffset>
            </wp:positionH>
            <wp:positionV relativeFrom="page">
              <wp:posOffset>339725</wp:posOffset>
            </wp:positionV>
            <wp:extent cx="6592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364490</wp:posOffset>
            </wp:positionV>
            <wp:extent cx="6592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257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9"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132080</wp:posOffset>
            </wp:positionV>
            <wp:extent cx="1687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45"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687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5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7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145415</wp:posOffset>
            </wp:positionV>
            <wp:extent cx="1687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7830" cy="8255"/>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245745</wp:posOffset>
            </wp:positionV>
            <wp:extent cx="1938655" cy="59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655" cy="593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ectPr>
          <w:pgSz w:w="11900" w:h="16838" w:orient="portrait"/>
          <w:cols w:equalWidth="0" w:num="1">
            <w:col w:w="10126"/>
          </w:cols>
          <w:pgMar w:left="734" w:top="727" w:right="1039" w:bottom="1440" w:gutter="0" w:footer="0" w:header="0"/>
        </w:sectPr>
      </w:pPr>
    </w:p>
    <w:p>
      <w:pPr>
        <w:spacing w:after="0" w:line="86" w:lineRule="exact"/>
        <w:rPr>
          <w:sz w:val="24"/>
          <w:szCs w:val="24"/>
          <w:color w:val="auto"/>
        </w:rPr>
      </w:pPr>
    </w:p>
    <w:tbl>
      <w:tblPr>
        <w:tblLayout w:type="fixed"/>
        <w:tblInd w:w="1406"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3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8"/>
              </w:rPr>
              <w:t>(Exact name of registrant as specified in its charter)</w:t>
            </w:r>
          </w:p>
        </w:tc>
      </w:tr>
      <w:tr>
        <w:trPr>
          <w:trHeight w:val="189"/>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344"/>
        </w:trPr>
        <w:tc>
          <w:tcPr>
            <w:tcW w:w="19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gridSpan w:val="2"/>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001-39589</w:t>
            </w:r>
          </w:p>
        </w:tc>
        <w:tc>
          <w:tcPr>
            <w:tcW w:w="420" w:type="dxa"/>
            <w:vAlign w:val="bottom"/>
          </w:tcPr>
          <w:p>
            <w:pPr>
              <w:spacing w:after="0"/>
              <w:rPr>
                <w:sz w:val="24"/>
                <w:szCs w:val="24"/>
                <w:color w:val="auto"/>
              </w:rPr>
            </w:pPr>
          </w:p>
        </w:tc>
      </w:tr>
      <w:tr>
        <w:trPr>
          <w:trHeight w:val="316"/>
        </w:trPr>
        <w:tc>
          <w:tcPr>
            <w:tcW w:w="198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880" w:type="dxa"/>
            <w:vAlign w:val="bottom"/>
          </w:tcPr>
          <w:p>
            <w:pPr>
              <w:spacing w:after="0"/>
              <w:rPr>
                <w:sz w:val="24"/>
                <w:szCs w:val="24"/>
                <w:color w:val="auto"/>
              </w:rPr>
            </w:pPr>
          </w:p>
        </w:tc>
        <w:tc>
          <w:tcPr>
            <w:tcW w:w="30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(Commission</w:t>
            </w:r>
          </w:p>
        </w:tc>
      </w:tr>
      <w:tr>
        <w:trPr>
          <w:trHeight w:val="303"/>
        </w:trPr>
        <w:tc>
          <w:tcPr>
            <w:tcW w:w="198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incorporation)</w:t>
            </w: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color w:val="auto"/>
              </w:rPr>
              <w:t>File No.)</w:t>
            </w:r>
          </w:p>
        </w:tc>
      </w:tr>
      <w:tr>
        <w:trPr>
          <w:trHeight w:val="329"/>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7"/>
              </w:rPr>
              <w:t>1800 North Mason Road</w:t>
            </w:r>
          </w:p>
        </w:tc>
      </w:tr>
      <w:tr>
        <w:trPr>
          <w:trHeight w:val="237"/>
        </w:trPr>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5"/>
              </w:rPr>
              <w:t>Katy, Texas 77449</w:t>
            </w:r>
          </w:p>
        </w:tc>
      </w:tr>
      <w:tr>
        <w:trPr>
          <w:trHeight w:val="224"/>
        </w:trPr>
        <w:tc>
          <w:tcPr>
            <w:tcW w:w="1980" w:type="dxa"/>
            <w:vAlign w:val="bottom"/>
          </w:tcPr>
          <w:p>
            <w:pPr>
              <w:spacing w:after="0"/>
              <w:rPr>
                <w:sz w:val="19"/>
                <w:szCs w:val="19"/>
                <w:color w:val="auto"/>
              </w:rPr>
            </w:pPr>
          </w:p>
        </w:tc>
        <w:tc>
          <w:tcPr>
            <w:tcW w:w="3960" w:type="dxa"/>
            <w:vAlign w:val="bottom"/>
            <w:gridSpan w:val="3"/>
          </w:tcPr>
          <w:p>
            <w:pPr>
              <w:ind w:left="200"/>
              <w:spacing w:after="0"/>
              <w:rPr>
                <w:sz w:val="20"/>
                <w:szCs w:val="20"/>
                <w:color w:val="auto"/>
              </w:rPr>
            </w:pPr>
            <w:r>
              <w:rPr>
                <w:rFonts w:ascii="Times New Roman" w:cs="Times New Roman" w:eastAsia="Times New Roman" w:hAnsi="Times New Roman"/>
                <w:sz w:val="16"/>
                <w:szCs w:val="16"/>
                <w:i w:val="1"/>
                <w:iCs w:val="1"/>
                <w:color w:val="auto"/>
                <w:w w:val="97"/>
              </w:rPr>
              <w:t>(Address of principal executive offices, including Zip Code)</w:t>
            </w:r>
          </w:p>
        </w:tc>
      </w:tr>
      <w:tr>
        <w:trPr>
          <w:trHeight w:val="342"/>
        </w:trPr>
        <w:tc>
          <w:tcPr>
            <w:tcW w:w="1980" w:type="dxa"/>
            <w:vAlign w:val="bottom"/>
          </w:tcPr>
          <w:p>
            <w:pPr>
              <w:spacing w:after="0"/>
              <w:rPr>
                <w:sz w:val="24"/>
                <w:szCs w:val="24"/>
                <w:color w:val="auto"/>
              </w:rPr>
            </w:pP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(281) 646-5200</w:t>
            </w:r>
          </w:p>
        </w:tc>
        <w:tc>
          <w:tcPr>
            <w:tcW w:w="420" w:type="dxa"/>
            <w:vAlign w:val="bottom"/>
          </w:tcPr>
          <w:p>
            <w:pPr>
              <w:spacing w:after="0"/>
              <w:rPr>
                <w:sz w:val="24"/>
                <w:szCs w:val="24"/>
                <w:color w:val="auto"/>
              </w:rPr>
            </w:pPr>
          </w:p>
        </w:tc>
      </w:tr>
      <w:tr>
        <w:trPr>
          <w:trHeight w:val="276"/>
        </w:trPr>
        <w:tc>
          <w:tcPr>
            <w:tcW w:w="1980" w:type="dxa"/>
            <w:vAlign w:val="bottom"/>
          </w:tcPr>
          <w:p>
            <w:pPr>
              <w:spacing w:after="0"/>
              <w:rPr>
                <w:sz w:val="24"/>
                <w:szCs w:val="24"/>
                <w:color w:val="auto"/>
              </w:rPr>
            </w:pPr>
          </w:p>
        </w:tc>
        <w:tc>
          <w:tcPr>
            <w:tcW w:w="3960" w:type="dxa"/>
            <w:vAlign w:val="bottom"/>
            <w:gridSpan w:val="3"/>
          </w:tcPr>
          <w:p>
            <w:pPr>
              <w:ind w:left="3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tc>
      </w:tr>
      <w:tr>
        <w:trPr>
          <w:trHeight w:val="447"/>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Not Applicable</w:t>
            </w:r>
          </w:p>
        </w:tc>
      </w:tr>
    </w:tbl>
    <w:p>
      <w:pPr>
        <w:spacing w:after="0" w:line="28" w:lineRule="exact"/>
        <w:rPr>
          <w:sz w:val="24"/>
          <w:szCs w:val="24"/>
          <w:color w:val="auto"/>
        </w:rPr>
      </w:pPr>
    </w:p>
    <w:p>
      <w:pPr>
        <w:ind w:left="3206"/>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127000</wp:posOffset>
            </wp:positionV>
            <wp:extent cx="1687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2314" w:lineRule="exact"/>
        <w:rPr>
          <w:sz w:val="24"/>
          <w:szCs w:val="24"/>
          <w:color w:val="auto"/>
        </w:rPr>
      </w:pPr>
    </w:p>
    <w:p>
      <w:pPr>
        <w:sectPr>
          <w:pgSz w:w="11900" w:h="16838" w:orient="portrait"/>
          <w:cols w:equalWidth="0" w:num="2">
            <w:col w:w="7526" w:space="720"/>
            <w:col w:w="1880"/>
          </w:cols>
          <w:pgMar w:left="734" w:top="727" w:right="1039" w:bottom="1440" w:gutter="0" w:footer="0" w:header="0"/>
          <w:type w:val="continuous"/>
        </w:sectPr>
      </w:pPr>
    </w:p>
    <w:p>
      <w:pPr>
        <w:spacing w:after="0" w:line="171" w:lineRule="exact"/>
        <w:rPr>
          <w:sz w:val="24"/>
          <w:szCs w:val="24"/>
          <w:color w:val="auto"/>
        </w:rPr>
      </w:pPr>
    </w:p>
    <w:p>
      <w:pPr>
        <w:ind w:left="6" w:right="2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186" w:hanging="185"/>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3" w:lineRule="exact"/>
        <w:rPr>
          <w:sz w:val="24"/>
          <w:szCs w:val="24"/>
          <w:color w:val="auto"/>
        </w:rPr>
      </w:pPr>
    </w:p>
    <w:tbl>
      <w:tblPr>
        <w:tblLayout w:type="fixed"/>
        <w:tblInd w:w="726"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40" w:type="dxa"/>
            <w:vAlign w:val="bottom"/>
          </w:tcPr>
          <w:p>
            <w:pPr>
              <w:spacing w:after="0"/>
              <w:rPr>
                <w:sz w:val="16"/>
                <w:szCs w:val="16"/>
                <w:color w:val="auto"/>
              </w:rPr>
            </w:pPr>
          </w:p>
        </w:tc>
        <w:tc>
          <w:tcPr>
            <w:tcW w:w="222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52"/>
        </w:trPr>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Common Stock, $0.01 par value per share</w:t>
            </w:r>
          </w:p>
        </w:tc>
        <w:tc>
          <w:tcPr>
            <w:tcW w:w="222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188" w:lineRule="exact"/>
        <w:rPr>
          <w:sz w:val="24"/>
          <w:szCs w:val="24"/>
          <w:color w:val="auto"/>
        </w:rPr>
      </w:pPr>
    </w:p>
    <w:p>
      <w:pPr>
        <w:jc w:val="both"/>
        <w:ind w:left="6"/>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6" w:right="2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384810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88265</wp:posOffset>
            </wp:positionV>
            <wp:extent cx="6592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113665</wp:posOffset>
            </wp:positionV>
            <wp:extent cx="6592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2570" cy="8255"/>
                    </a:xfrm>
                    <a:prstGeom prst="rect">
                      <a:avLst/>
                    </a:prstGeom>
                    <a:noFill/>
                  </pic:spPr>
                </pic:pic>
              </a:graphicData>
            </a:graphic>
          </wp:anchor>
        </w:drawing>
      </w:r>
    </w:p>
    <w:p>
      <w:pPr>
        <w:sectPr>
          <w:pgSz w:w="11900" w:h="16838" w:orient="portrait"/>
          <w:cols w:equalWidth="0" w:num="1">
            <w:col w:w="10126"/>
          </w:cols>
          <w:pgMar w:left="734" w:top="727" w:right="1039" w:bottom="1440" w:gutter="0" w:footer="0" w:header="0"/>
          <w:type w:val="continuous"/>
        </w:sectPr>
      </w:pPr>
    </w:p>
    <w:bookmarkStart w:id="1" w:name="page2"/>
    <w:bookmarkEnd w:id="1"/>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29" w:lineRule="exact"/>
        <w:rPr>
          <w:sz w:val="20"/>
          <w:szCs w:val="20"/>
          <w:color w:val="auto"/>
        </w:rPr>
      </w:pPr>
    </w:p>
    <w:p>
      <w:pPr>
        <w:jc w:val="both"/>
        <w:ind w:right="100" w:firstLine="391"/>
        <w:spacing w:after="0" w:line="268" w:lineRule="auto"/>
        <w:rPr>
          <w:sz w:val="20"/>
          <w:szCs w:val="20"/>
          <w:color w:val="auto"/>
        </w:rPr>
      </w:pPr>
      <w:r>
        <w:rPr>
          <w:rFonts w:ascii="Times New Roman" w:cs="Times New Roman" w:eastAsia="Times New Roman" w:hAnsi="Times New Roman"/>
          <w:sz w:val="18"/>
          <w:szCs w:val="18"/>
          <w:color w:val="auto"/>
        </w:rPr>
        <w:t>On September 10, 2024, Academy Sports and Outdoors, Inc. (the “Company”) issued a press release announcing financial results for the quarter ended August 3, 2024. A copy of the press release is furnished herewith as Exhibit 99.1 and incorporated by reference herein.</w:t>
      </w:r>
    </w:p>
    <w:p>
      <w:pPr>
        <w:spacing w:after="0" w:line="183" w:lineRule="exact"/>
        <w:rPr>
          <w:sz w:val="20"/>
          <w:szCs w:val="20"/>
          <w:color w:val="auto"/>
        </w:rPr>
      </w:pPr>
    </w:p>
    <w:p>
      <w:pPr>
        <w:jc w:val="both"/>
        <w:ind w:right="100" w:firstLine="391"/>
        <w:spacing w:after="0" w:line="282"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10"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42" w:lineRule="exact"/>
        <w:rPr>
          <w:sz w:val="20"/>
          <w:szCs w:val="20"/>
          <w:color w:val="auto"/>
        </w:rPr>
      </w:pPr>
    </w:p>
    <w:p>
      <w:pPr>
        <w:jc w:val="both"/>
        <w:ind w:right="100" w:firstLine="391"/>
        <w:spacing w:after="0" w:line="315" w:lineRule="auto"/>
        <w:rPr>
          <w:sz w:val="20"/>
          <w:szCs w:val="20"/>
          <w:color w:val="auto"/>
        </w:rPr>
      </w:pPr>
      <w:r>
        <w:rPr>
          <w:rFonts w:ascii="Times New Roman" w:cs="Times New Roman" w:eastAsia="Times New Roman" w:hAnsi="Times New Roman"/>
          <w:sz w:val="16"/>
          <w:szCs w:val="16"/>
          <w:color w:val="auto"/>
        </w:rPr>
        <w:t>On September 5, 2024, the Company’s Board of Directors declared a cash dividend with respect to the quarter ended August 3, 2024 of $0.11 per share of outstanding common stock of the Company, payable on October 17, 2024, to stockholders of record as of the close of business on September 19, 2024.</w:t>
      </w:r>
    </w:p>
    <w:p>
      <w:pPr>
        <w:spacing w:after="0" w:line="384"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00" w:type="dxa"/>
            <w:vAlign w:val="bottom"/>
          </w:tcPr>
          <w:p>
            <w:pPr>
              <w:spacing w:after="0"/>
              <w:rPr>
                <w:sz w:val="24"/>
                <w:szCs w:val="24"/>
                <w:color w:val="auto"/>
              </w:rPr>
            </w:pPr>
          </w:p>
        </w:tc>
      </w:tr>
      <w:tr>
        <w:trPr>
          <w:trHeight w:val="27"/>
        </w:trPr>
        <w:tc>
          <w:tcPr>
            <w:tcW w:w="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1"/>
        </w:trPr>
        <w:tc>
          <w:tcPr>
            <w:tcW w:w="400" w:type="dxa"/>
            <w:vAlign w:val="bottom"/>
          </w:tcPr>
          <w:p>
            <w:pPr>
              <w:spacing w:after="0"/>
              <w:rPr>
                <w:sz w:val="16"/>
                <w:szCs w:val="16"/>
                <w:color w:val="auto"/>
              </w:rPr>
            </w:pPr>
          </w:p>
        </w:tc>
        <w:tc>
          <w:tcPr>
            <w:tcW w:w="1480" w:type="dxa"/>
            <w:vAlign w:val="bottom"/>
            <w:tcBorders>
              <w:top w:val="single" w:sz="8" w:color="auto"/>
            </w:tcBorders>
            <w:gridSpan w:val="3"/>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6"/>
                <w:szCs w:val="16"/>
                <w:color w:val="auto"/>
              </w:rPr>
            </w:pPr>
          </w:p>
        </w:tc>
        <w:tc>
          <w:tcPr>
            <w:tcW w:w="9260" w:type="dxa"/>
            <w:vAlign w:val="bottom"/>
            <w:tcBorders>
              <w:top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Academy Sports and Outdoors, Inc. Press Release, dated September 10, 2024.</w:t>
            </w:r>
          </w:p>
        </w:tc>
        <w:tc>
          <w:tcPr>
            <w:tcW w:w="100" w:type="dxa"/>
            <w:vAlign w:val="bottom"/>
            <w:tcBorders>
              <w:top w:val="single" w:sz="8" w:color="auto"/>
            </w:tcBorders>
            <w:shd w:val="clear" w:color="auto" w:fill="CCEEFF"/>
          </w:tcPr>
          <w:p>
            <w:pPr>
              <w:spacing w:after="0"/>
              <w:rPr>
                <w:sz w:val="16"/>
                <w:szCs w:val="16"/>
                <w:color w:val="auto"/>
              </w:rPr>
            </w:pPr>
          </w:p>
        </w:tc>
      </w:tr>
      <w:tr>
        <w:trPr>
          <w:trHeight w:val="46"/>
        </w:trPr>
        <w:tc>
          <w:tcPr>
            <w:tcW w:w="400" w:type="dxa"/>
            <w:vAlign w:val="bottom"/>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236"/>
        </w:trPr>
        <w:tc>
          <w:tcPr>
            <w:tcW w:w="40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0" w:type="dxa"/>
            <w:vAlign w:val="bottom"/>
          </w:tcPr>
          <w:p>
            <w:pPr>
              <w:spacing w:after="0"/>
              <w:rPr>
                <w:sz w:val="20"/>
                <w:szCs w:val="20"/>
                <w:color w:val="auto"/>
              </w:rPr>
            </w:pPr>
          </w:p>
        </w:tc>
      </w:tr>
      <w:tr>
        <w:trPr>
          <w:trHeight w:val="1731"/>
        </w:trPr>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382" w:right="239" w:bottom="1440" w:gutter="0" w:footer="0" w:header="0"/>
        </w:sectPr>
      </w:pPr>
    </w:p>
    <w:bookmarkStart w:id="2" w:name="page3"/>
    <w:bookmarkEnd w:id="2"/>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1" w:lineRule="exact"/>
        <w:rPr>
          <w:sz w:val="20"/>
          <w:szCs w:val="20"/>
          <w:color w:val="auto"/>
        </w:rPr>
      </w:pPr>
    </w:p>
    <w:p>
      <w:pPr>
        <w:ind w:left="3040"/>
        <w:spacing w:after="0"/>
        <w:tabs>
          <w:tab w:leader="none" w:pos="6380" w:val="left"/>
          <w:tab w:leader="none" w:pos="7060" w:val="left"/>
          <w:tab w:leader="none" w:pos="740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30480</wp:posOffset>
            </wp:positionV>
            <wp:extent cx="2648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9"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56"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382" w:right="339"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222250</wp:posOffset>
            </wp:positionV>
            <wp:extent cx="1846580" cy="57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6580" cy="57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Academy Sports + Outdoors Reports Second Quarter 2024 Results</w:t>
      </w: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Net Sales Decline (2.2)%; Comparable Sales of (6.9)%</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GAAP Diluted EPS of $1.95, or $2.03 Adjusted Diluted EPS</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Year-to-Date Adjusted Free Cash Flow +60%; Utilized to Return $107 Million to Shareholders in Q2</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Fiscal 2024 Guidance Revised; Reaffirming Gross Margin Rate Guidance</w:t>
      </w:r>
    </w:p>
    <w:p>
      <w:pPr>
        <w:spacing w:after="0" w:line="230" w:lineRule="exact"/>
        <w:rPr>
          <w:sz w:val="20"/>
          <w:szCs w:val="20"/>
          <w:color w:val="auto"/>
        </w:rPr>
      </w:pPr>
    </w:p>
    <w:p>
      <w:pPr>
        <w:jc w:val="both"/>
        <w:ind w:firstLine="316"/>
        <w:spacing w:after="0" w:line="258" w:lineRule="auto"/>
        <w:rPr>
          <w:sz w:val="20"/>
          <w:szCs w:val="20"/>
          <w:color w:val="auto"/>
        </w:rPr>
      </w:pPr>
      <w:r>
        <w:rPr>
          <w:rFonts w:ascii="Arial" w:cs="Arial" w:eastAsia="Arial" w:hAnsi="Arial"/>
          <w:sz w:val="18"/>
          <w:szCs w:val="18"/>
          <w:b w:val="1"/>
          <w:bCs w:val="1"/>
          <w:color w:val="auto"/>
        </w:rPr>
        <w:t xml:space="preserve">KATY, TEXAS (Globe Newswire — September 10, 2024)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second quarter ended August 3, 2024.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"Academy continues to make progress against our strategic initiatives demonstrated by the opening of nine new stores this upcoming quarter,</w:t>
      </w:r>
    </w:p>
    <w:p>
      <w:pPr>
        <w:spacing w:after="0" w:line="2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new omni-channel enhancements, such as Door Dash, and leveraging customer excitement around the launch of our new loyalty program. In addition, our inventory discipline drove gross margin expansion of 50 basis points and a 5% reduction in units per store," said Steve Lawrence, Chief Executive Officer. “For the remainder of the year, we will focus on increasing traffic and conversion for our stores and website, by leveraging our improved targeted marketing capabilities, and expanding our new loyalty program. We will also continue to use our strong cash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generation to fund the investments that will drive our long-term growth and increase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311785</wp:posOffset>
            </wp:positionV>
            <wp:extent cx="8255" cy="384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311785</wp:posOffset>
            </wp:positionV>
            <wp:extent cx="82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841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810" w:type="dxa"/>
        <w:tblCellMar>
          <w:top w:w="0" w:type="dxa"/>
          <w:left w:w="0" w:type="dxa"/>
          <w:bottom w:w="0" w:type="dxa"/>
          <w:right w:w="0" w:type="dxa"/>
        </w:tblCellMar>
      </w:tblPr>
      <w:tr>
        <w:trPr>
          <w:trHeight w:val="245"/>
        </w:trPr>
        <w:tc>
          <w:tcPr>
            <w:tcW w:w="430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Calibri" w:cs="Calibri" w:eastAsia="Calibri" w:hAnsi="Calibri"/>
                <w:sz w:val="19"/>
                <w:szCs w:val="19"/>
                <w:b w:val="1"/>
                <w:bCs w:val="1"/>
                <w:color w:val="FFFFFF"/>
              </w:rPr>
              <w:t>Second Quarter Operatng Results</w:t>
            </w:r>
          </w:p>
        </w:tc>
        <w:tc>
          <w:tcPr>
            <w:tcW w:w="240" w:type="dxa"/>
            <w:vAlign w:val="bottom"/>
            <w:tcBorders>
              <w:top w:val="single" w:sz="8" w:color="auto"/>
            </w:tcBorders>
            <w:shd w:val="clear" w:color="auto" w:fill="1928A0"/>
          </w:tcPr>
          <w:p>
            <w:pPr>
              <w:spacing w:after="0"/>
              <w:rPr>
                <w:sz w:val="21"/>
                <w:szCs w:val="21"/>
                <w:color w:val="auto"/>
              </w:rPr>
            </w:pPr>
          </w:p>
        </w:tc>
        <w:tc>
          <w:tcPr>
            <w:tcW w:w="3700" w:type="dxa"/>
            <w:vAlign w:val="bottom"/>
            <w:tcBorders>
              <w:top w:val="single" w:sz="8" w:color="auto"/>
            </w:tcBorders>
            <w:gridSpan w:val="3"/>
            <w:shd w:val="clear" w:color="auto" w:fill="1928A0"/>
          </w:tcPr>
          <w:p>
            <w:pPr>
              <w:jc w:val="center"/>
              <w:ind w:right="151"/>
              <w:spacing w:after="0"/>
              <w:rPr>
                <w:sz w:val="20"/>
                <w:szCs w:val="20"/>
                <w:color w:val="auto"/>
              </w:rPr>
            </w:pPr>
            <w:r>
              <w:rPr>
                <w:rFonts w:ascii="Calibri" w:cs="Calibri" w:eastAsia="Calibri" w:hAnsi="Calibri"/>
                <w:sz w:val="19"/>
                <w:szCs w:val="19"/>
                <w:b w:val="1"/>
                <w:bCs w:val="1"/>
                <w:color w:val="FFFFFF"/>
              </w:rPr>
              <w:t>Thirteen Weeks Ended</w:t>
            </w:r>
          </w:p>
        </w:tc>
        <w:tc>
          <w:tcPr>
            <w:tcW w:w="1440" w:type="dxa"/>
            <w:vAlign w:val="bottom"/>
            <w:tcBorders>
              <w:top w:val="single" w:sz="8" w:color="auto"/>
              <w:right w:val="single" w:sz="8" w:color="auto"/>
            </w:tcBorders>
            <w:shd w:val="clear" w:color="auto" w:fill="1928A0"/>
          </w:tcPr>
          <w:p>
            <w:pPr>
              <w:ind w:left="400"/>
              <w:spacing w:after="0"/>
              <w:rPr>
                <w:sz w:val="20"/>
                <w:szCs w:val="20"/>
                <w:color w:val="auto"/>
              </w:rPr>
            </w:pPr>
            <w:r>
              <w:rPr>
                <w:rFonts w:ascii="Calibri" w:cs="Calibri" w:eastAsia="Calibri" w:hAnsi="Calibri"/>
                <w:sz w:val="19"/>
                <w:szCs w:val="19"/>
                <w:b w:val="1"/>
                <w:bCs w:val="1"/>
                <w:color w:val="FFFFFF"/>
              </w:rPr>
              <w:t>Change</w:t>
            </w:r>
          </w:p>
        </w:tc>
        <w:tc>
          <w:tcPr>
            <w:tcW w:w="0" w:type="dxa"/>
            <w:vAlign w:val="bottom"/>
          </w:tcPr>
          <w:p>
            <w:pPr>
              <w:spacing w:after="0"/>
              <w:rPr>
                <w:sz w:val="1"/>
                <w:szCs w:val="1"/>
                <w:color w:val="auto"/>
              </w:rPr>
            </w:pPr>
          </w:p>
        </w:tc>
      </w:tr>
      <w:tr>
        <w:trPr>
          <w:trHeight w:val="145"/>
        </w:trPr>
        <w:tc>
          <w:tcPr>
            <w:tcW w:w="4300" w:type="dxa"/>
            <w:vAlign w:val="bottom"/>
            <w:tcBorders>
              <w:left w:val="single" w:sz="8" w:color="auto"/>
            </w:tcBorders>
            <w:vMerge w:val="continue"/>
            <w:shd w:val="clear" w:color="auto" w:fill="1928A0"/>
          </w:tcPr>
          <w:p>
            <w:pPr>
              <w:spacing w:after="0"/>
              <w:rPr>
                <w:sz w:val="12"/>
                <w:szCs w:val="12"/>
                <w:color w:val="auto"/>
              </w:rPr>
            </w:pPr>
          </w:p>
        </w:tc>
        <w:tc>
          <w:tcPr>
            <w:tcW w:w="240" w:type="dxa"/>
            <w:vAlign w:val="bottom"/>
            <w:shd w:val="clear" w:color="auto" w:fill="1928A0"/>
          </w:tcPr>
          <w:p>
            <w:pPr>
              <w:spacing w:after="0"/>
              <w:rPr>
                <w:sz w:val="12"/>
                <w:szCs w:val="12"/>
                <w:color w:val="auto"/>
              </w:rPr>
            </w:pPr>
          </w:p>
        </w:tc>
        <w:tc>
          <w:tcPr>
            <w:tcW w:w="1680" w:type="dxa"/>
            <w:vAlign w:val="bottom"/>
            <w:vMerge w:val="restart"/>
            <w:shd w:val="clear" w:color="auto" w:fill="1928A0"/>
          </w:tcPr>
          <w:p>
            <w:pPr>
              <w:jc w:val="right"/>
              <w:ind w:right="270"/>
              <w:spacing w:after="0"/>
              <w:rPr>
                <w:sz w:val="20"/>
                <w:szCs w:val="20"/>
                <w:color w:val="auto"/>
              </w:rPr>
            </w:pPr>
            <w:r>
              <w:rPr>
                <w:rFonts w:ascii="Calibri" w:cs="Calibri" w:eastAsia="Calibri" w:hAnsi="Calibri"/>
                <w:sz w:val="19"/>
                <w:szCs w:val="19"/>
                <w:b w:val="1"/>
                <w:bCs w:val="1"/>
                <w:color w:val="FFFFFF"/>
              </w:rPr>
              <w:t>August 3, 2024</w:t>
            </w:r>
          </w:p>
        </w:tc>
        <w:tc>
          <w:tcPr>
            <w:tcW w:w="300" w:type="dxa"/>
            <w:vAlign w:val="bottom"/>
            <w:shd w:val="clear" w:color="auto" w:fill="1928A0"/>
          </w:tcPr>
          <w:p>
            <w:pPr>
              <w:spacing w:after="0"/>
              <w:rPr>
                <w:sz w:val="12"/>
                <w:szCs w:val="12"/>
                <w:color w:val="auto"/>
              </w:rPr>
            </w:pPr>
          </w:p>
        </w:tc>
        <w:tc>
          <w:tcPr>
            <w:tcW w:w="1720" w:type="dxa"/>
            <w:vAlign w:val="bottom"/>
            <w:vMerge w:val="restart"/>
            <w:shd w:val="clear" w:color="auto" w:fill="1928A0"/>
          </w:tcPr>
          <w:p>
            <w:pPr>
              <w:jc w:val="right"/>
              <w:ind w:right="391"/>
              <w:spacing w:after="0"/>
              <w:rPr>
                <w:sz w:val="20"/>
                <w:szCs w:val="20"/>
                <w:color w:val="auto"/>
              </w:rPr>
            </w:pPr>
            <w:r>
              <w:rPr>
                <w:rFonts w:ascii="Calibri" w:cs="Calibri" w:eastAsia="Calibri" w:hAnsi="Calibri"/>
                <w:sz w:val="19"/>
                <w:szCs w:val="19"/>
                <w:b w:val="1"/>
                <w:bCs w:val="1"/>
                <w:color w:val="FFFFFF"/>
              </w:rPr>
              <w:t>July 29, 2023</w:t>
            </w:r>
          </w:p>
        </w:tc>
        <w:tc>
          <w:tcPr>
            <w:tcW w:w="144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19"/>
                <w:szCs w:val="19"/>
                <w:b w:val="1"/>
                <w:bCs w:val="1"/>
                <w:color w:val="FFFFFF"/>
              </w:rPr>
              <w:t>%</w:t>
            </w:r>
          </w:p>
        </w:tc>
        <w:tc>
          <w:tcPr>
            <w:tcW w:w="0" w:type="dxa"/>
            <w:vAlign w:val="bottom"/>
          </w:tcPr>
          <w:p>
            <w:pPr>
              <w:spacing w:after="0"/>
              <w:rPr>
                <w:sz w:val="1"/>
                <w:szCs w:val="1"/>
                <w:color w:val="auto"/>
              </w:rPr>
            </w:pPr>
          </w:p>
        </w:tc>
      </w:tr>
      <w:tr>
        <w:trPr>
          <w:trHeight w:val="202"/>
        </w:trPr>
        <w:tc>
          <w:tcPr>
            <w:tcW w:w="430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 in millions, except per share data)</w:t>
            </w:r>
          </w:p>
        </w:tc>
        <w:tc>
          <w:tcPr>
            <w:tcW w:w="240" w:type="dxa"/>
            <w:vAlign w:val="bottom"/>
            <w:tcBorders>
              <w:bottom w:val="single" w:sz="8" w:color="1928A0"/>
            </w:tcBorders>
            <w:shd w:val="clear" w:color="auto" w:fill="1928A0"/>
          </w:tcPr>
          <w:p>
            <w:pPr>
              <w:spacing w:after="0"/>
              <w:rPr>
                <w:sz w:val="17"/>
                <w:szCs w:val="17"/>
                <w:color w:val="auto"/>
              </w:rPr>
            </w:pPr>
          </w:p>
        </w:tc>
        <w:tc>
          <w:tcPr>
            <w:tcW w:w="1680" w:type="dxa"/>
            <w:vAlign w:val="bottom"/>
            <w:tcBorders>
              <w:bottom w:val="single" w:sz="8" w:color="1928A0"/>
            </w:tcBorders>
            <w:vMerge w:val="continue"/>
            <w:shd w:val="clear" w:color="auto" w:fill="1928A0"/>
          </w:tcPr>
          <w:p>
            <w:pPr>
              <w:spacing w:after="0"/>
              <w:rPr>
                <w:sz w:val="17"/>
                <w:szCs w:val="17"/>
                <w:color w:val="auto"/>
              </w:rPr>
            </w:pPr>
          </w:p>
        </w:tc>
        <w:tc>
          <w:tcPr>
            <w:tcW w:w="300" w:type="dxa"/>
            <w:vAlign w:val="bottom"/>
            <w:tcBorders>
              <w:bottom w:val="single" w:sz="8" w:color="1928A0"/>
            </w:tcBorders>
            <w:shd w:val="clear" w:color="auto" w:fill="1928A0"/>
          </w:tcPr>
          <w:p>
            <w:pPr>
              <w:spacing w:after="0"/>
              <w:rPr>
                <w:sz w:val="17"/>
                <w:szCs w:val="17"/>
                <w:color w:val="auto"/>
              </w:rPr>
            </w:pPr>
          </w:p>
        </w:tc>
        <w:tc>
          <w:tcPr>
            <w:tcW w:w="1720" w:type="dxa"/>
            <w:vAlign w:val="bottom"/>
            <w:tcBorders>
              <w:bottom w:val="single" w:sz="8" w:color="1928A0"/>
            </w:tcBorders>
            <w:vMerge w:val="continue"/>
            <w:shd w:val="clear" w:color="auto" w:fill="1928A0"/>
          </w:tcPr>
          <w:p>
            <w:pPr>
              <w:spacing w:after="0"/>
              <w:rPr>
                <w:sz w:val="17"/>
                <w:szCs w:val="17"/>
                <w:color w:val="auto"/>
              </w:rPr>
            </w:pPr>
          </w:p>
        </w:tc>
        <w:tc>
          <w:tcPr>
            <w:tcW w:w="1440" w:type="dxa"/>
            <w:vAlign w:val="bottom"/>
            <w:tcBorders>
              <w:bottom w:val="single" w:sz="8" w:color="1928A0"/>
              <w:right w:val="single" w:sz="8" w:color="auto"/>
            </w:tcBorders>
            <w:vMerge w:val="continue"/>
            <w:shd w:val="clear" w:color="auto" w:fill="1928A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DBDBDB"/>
              <w:left w:val="single" w:sz="8" w:color="auto"/>
              <w:bottom w:val="single" w:sz="8" w:color="DBDBDB"/>
            </w:tcBorders>
            <w:shd w:val="clear" w:color="auto" w:fill="DBDBDB"/>
          </w:tcPr>
          <w:p>
            <w:pPr>
              <w:ind w:left="20"/>
              <w:spacing w:after="0" w:line="206" w:lineRule="exact"/>
              <w:rPr>
                <w:sz w:val="20"/>
                <w:szCs w:val="20"/>
                <w:color w:val="auto"/>
              </w:rPr>
            </w:pPr>
            <w:r>
              <w:rPr>
                <w:rFonts w:ascii="Calibri" w:cs="Calibri" w:eastAsia="Calibri" w:hAnsi="Calibri"/>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52"/>
              <w:spacing w:after="0" w:line="206" w:lineRule="exact"/>
              <w:rPr>
                <w:sz w:val="20"/>
                <w:szCs w:val="20"/>
                <w:color w:val="auto"/>
              </w:rPr>
            </w:pPr>
            <w:r>
              <w:rPr>
                <w:rFonts w:ascii="Calibri" w:cs="Calibri" w:eastAsia="Calibri" w:hAnsi="Calibri"/>
                <w:sz w:val="18"/>
                <w:szCs w:val="18"/>
                <w:color w:val="auto"/>
                <w:w w:val="87"/>
              </w:rPr>
              <w:t>$</w:t>
            </w:r>
          </w:p>
        </w:tc>
        <w:tc>
          <w:tcPr>
            <w:tcW w:w="1680" w:type="dxa"/>
            <w:vAlign w:val="bottom"/>
            <w:tcBorders>
              <w:top w:val="single" w:sz="8" w:color="auto"/>
              <w:bottom w:val="single" w:sz="8" w:color="DBDBDB"/>
            </w:tcBorders>
            <w:shd w:val="clear" w:color="auto" w:fill="DBDBDB"/>
          </w:tcPr>
          <w:p>
            <w:pPr>
              <w:jc w:val="right"/>
              <w:ind w:right="90"/>
              <w:spacing w:after="0" w:line="206" w:lineRule="exact"/>
              <w:rPr>
                <w:sz w:val="20"/>
                <w:szCs w:val="20"/>
                <w:color w:val="auto"/>
              </w:rPr>
            </w:pPr>
            <w:r>
              <w:rPr>
                <w:rFonts w:ascii="Calibri" w:cs="Calibri" w:eastAsia="Calibri" w:hAnsi="Calibri"/>
                <w:sz w:val="18"/>
                <w:szCs w:val="18"/>
                <w:color w:val="auto"/>
              </w:rPr>
              <w:t>1,549.0</w:t>
            </w:r>
          </w:p>
        </w:tc>
        <w:tc>
          <w:tcPr>
            <w:tcW w:w="300" w:type="dxa"/>
            <w:vAlign w:val="bottom"/>
            <w:tcBorders>
              <w:top w:val="single" w:sz="8" w:color="auto"/>
              <w:bottom w:val="single" w:sz="8" w:color="DBDBDB"/>
            </w:tcBorders>
            <w:shd w:val="clear" w:color="auto" w:fill="DBDBDB"/>
          </w:tcPr>
          <w:p>
            <w:pPr>
              <w:jc w:val="center"/>
              <w:ind w:right="92"/>
              <w:spacing w:after="0" w:line="206" w:lineRule="exact"/>
              <w:rPr>
                <w:sz w:val="20"/>
                <w:szCs w:val="20"/>
                <w:color w:val="auto"/>
              </w:rPr>
            </w:pPr>
            <w:r>
              <w:rPr>
                <w:rFonts w:ascii="Calibri" w:cs="Calibri" w:eastAsia="Calibri" w:hAnsi="Calibri"/>
                <w:sz w:val="18"/>
                <w:szCs w:val="18"/>
                <w:color w:val="auto"/>
                <w:w w:val="87"/>
              </w:rPr>
              <w:t>$</w:t>
            </w:r>
          </w:p>
        </w:tc>
        <w:tc>
          <w:tcPr>
            <w:tcW w:w="1720" w:type="dxa"/>
            <w:vAlign w:val="bottom"/>
            <w:tcBorders>
              <w:top w:val="single" w:sz="8" w:color="auto"/>
              <w:bottom w:val="single" w:sz="8" w:color="DBDBDB"/>
            </w:tcBorders>
            <w:shd w:val="clear" w:color="auto" w:fill="DBDBDB"/>
          </w:tcPr>
          <w:p>
            <w:pPr>
              <w:jc w:val="right"/>
              <w:ind w:right="91"/>
              <w:spacing w:after="0" w:line="206" w:lineRule="exact"/>
              <w:rPr>
                <w:sz w:val="20"/>
                <w:szCs w:val="20"/>
                <w:color w:val="auto"/>
              </w:rPr>
            </w:pPr>
            <w:r>
              <w:rPr>
                <w:rFonts w:ascii="Calibri" w:cs="Calibri" w:eastAsia="Calibri" w:hAnsi="Calibri"/>
                <w:sz w:val="18"/>
                <w:szCs w:val="18"/>
                <w:color w:val="auto"/>
              </w:rPr>
              <w:t>1,583.1</w:t>
            </w:r>
          </w:p>
        </w:tc>
        <w:tc>
          <w:tcPr>
            <w:tcW w:w="1440" w:type="dxa"/>
            <w:vAlign w:val="bottom"/>
            <w:tcBorders>
              <w:top w:val="single" w:sz="8" w:color="DBDBDB"/>
              <w:bottom w:val="single" w:sz="8" w:color="DBDBDB"/>
              <w:right w:val="single" w:sz="8" w:color="auto"/>
            </w:tcBorders>
            <w:shd w:val="clear" w:color="auto" w:fill="DBDBDB"/>
          </w:tcPr>
          <w:p>
            <w:pPr>
              <w:jc w:val="center"/>
              <w:spacing w:after="0" w:line="206" w:lineRule="exact"/>
              <w:rPr>
                <w:sz w:val="20"/>
                <w:szCs w:val="20"/>
                <w:color w:val="auto"/>
              </w:rPr>
            </w:pPr>
            <w:r>
              <w:rPr>
                <w:rFonts w:ascii="Calibri" w:cs="Calibri" w:eastAsia="Calibri" w:hAnsi="Calibri"/>
                <w:sz w:val="18"/>
                <w:szCs w:val="18"/>
                <w:color w:val="auto"/>
                <w:w w:val="94"/>
              </w:rPr>
              <w:t>(2.2)%</w:t>
            </w: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Comparable sales </w:t>
            </w:r>
            <w:r>
              <w:rPr>
                <w:rFonts w:ascii="Calibri" w:cs="Calibri" w:eastAsia="Calibri" w:hAnsi="Calibri"/>
                <w:sz w:val="22"/>
                <w:szCs w:val="22"/>
                <w:color w:val="auto"/>
                <w:vertAlign w:val="superscript"/>
              </w:rPr>
              <w:t>(1)</w:t>
            </w:r>
          </w:p>
        </w:tc>
        <w:tc>
          <w:tcPr>
            <w:tcW w:w="240" w:type="dxa"/>
            <w:vAlign w:val="bottom"/>
          </w:tcPr>
          <w:p>
            <w:pPr>
              <w:spacing w:after="0"/>
              <w:rPr>
                <w:sz w:val="22"/>
                <w:szCs w:val="22"/>
                <w:color w:val="auto"/>
              </w:rPr>
            </w:pPr>
          </w:p>
        </w:tc>
        <w:tc>
          <w:tcPr>
            <w:tcW w:w="1680" w:type="dxa"/>
            <w:vAlign w:val="bottom"/>
          </w:tcPr>
          <w:p>
            <w:pPr>
              <w:jc w:val="right"/>
              <w:spacing w:after="0" w:line="213" w:lineRule="exact"/>
              <w:rPr>
                <w:sz w:val="20"/>
                <w:szCs w:val="20"/>
                <w:color w:val="auto"/>
              </w:rPr>
            </w:pPr>
            <w:r>
              <w:rPr>
                <w:rFonts w:ascii="Calibri" w:cs="Calibri" w:eastAsia="Calibri" w:hAnsi="Calibri"/>
                <w:sz w:val="18"/>
                <w:szCs w:val="18"/>
                <w:color w:val="auto"/>
              </w:rPr>
              <w:t>(6.9)%</w:t>
            </w:r>
          </w:p>
        </w:tc>
        <w:tc>
          <w:tcPr>
            <w:tcW w:w="300" w:type="dxa"/>
            <w:vAlign w:val="bottom"/>
          </w:tcPr>
          <w:p>
            <w:pPr>
              <w:spacing w:after="0"/>
              <w:rPr>
                <w:sz w:val="22"/>
                <w:szCs w:val="22"/>
                <w:color w:val="auto"/>
              </w:rPr>
            </w:pPr>
          </w:p>
        </w:tc>
        <w:tc>
          <w:tcPr>
            <w:tcW w:w="1720" w:type="dxa"/>
            <w:vAlign w:val="bottom"/>
          </w:tcPr>
          <w:p>
            <w:pPr>
              <w:jc w:val="right"/>
              <w:spacing w:after="0" w:line="213" w:lineRule="exact"/>
              <w:rPr>
                <w:sz w:val="20"/>
                <w:szCs w:val="20"/>
                <w:color w:val="auto"/>
              </w:rPr>
            </w:pPr>
            <w:r>
              <w:rPr>
                <w:rFonts w:ascii="Calibri" w:cs="Calibri" w:eastAsia="Calibri" w:hAnsi="Calibri"/>
                <w:sz w:val="18"/>
                <w:szCs w:val="18"/>
                <w:color w:val="auto"/>
              </w:rPr>
              <w:t>(7.5)%</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Income before income tax</w:t>
            </w:r>
          </w:p>
        </w:tc>
        <w:tc>
          <w:tcPr>
            <w:tcW w:w="24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DBDBDB"/>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186.5</w:t>
            </w:r>
          </w:p>
        </w:tc>
        <w:tc>
          <w:tcPr>
            <w:tcW w:w="300" w:type="dxa"/>
            <w:vAlign w:val="bottom"/>
            <w:tcBorders>
              <w:bottom w:val="single" w:sz="8" w:color="DBDBDB"/>
            </w:tcBorders>
            <w:shd w:val="clear" w:color="auto" w:fill="DBDBDB"/>
          </w:tcPr>
          <w:p>
            <w:pPr>
              <w:jc w:val="center"/>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DBDBDB"/>
            </w:tcBorders>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203.3</w:t>
            </w:r>
          </w:p>
        </w:tc>
        <w:tc>
          <w:tcPr>
            <w:tcW w:w="1440" w:type="dxa"/>
            <w:vAlign w:val="bottom"/>
            <w:tcBorders>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4"/>
              </w:rPr>
              <w:t>(8.2)%</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142.6</w:t>
            </w:r>
          </w:p>
        </w:tc>
        <w:tc>
          <w:tcPr>
            <w:tcW w:w="300" w:type="dxa"/>
            <w:vAlign w:val="bottom"/>
          </w:tcPr>
          <w:p>
            <w:pPr>
              <w:jc w:val="center"/>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Pr>
          <w:p>
            <w:pPr>
              <w:jc w:val="right"/>
              <w:ind w:right="91"/>
              <w:spacing w:after="0" w:line="213" w:lineRule="exact"/>
              <w:rPr>
                <w:sz w:val="20"/>
                <w:szCs w:val="20"/>
                <w:color w:val="auto"/>
              </w:rPr>
            </w:pPr>
            <w:r>
              <w:rPr>
                <w:rFonts w:ascii="Calibri" w:cs="Calibri" w:eastAsia="Calibri" w:hAnsi="Calibri"/>
                <w:sz w:val="18"/>
                <w:szCs w:val="18"/>
                <w:color w:val="auto"/>
              </w:rPr>
              <w:t>157.1</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(9.2)%</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(2)</w:t>
            </w:r>
          </w:p>
        </w:tc>
        <w:tc>
          <w:tcPr>
            <w:tcW w:w="240" w:type="dxa"/>
            <w:vAlign w:val="bottom"/>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148.6</w:t>
            </w:r>
          </w:p>
        </w:tc>
        <w:tc>
          <w:tcPr>
            <w:tcW w:w="300" w:type="dxa"/>
            <w:vAlign w:val="bottom"/>
            <w:shd w:val="clear" w:color="auto" w:fill="DBDBDB"/>
          </w:tcPr>
          <w:p>
            <w:pPr>
              <w:jc w:val="center"/>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163.6</w:t>
            </w:r>
          </w:p>
        </w:tc>
        <w:tc>
          <w:tcPr>
            <w:tcW w:w="1440" w:type="dxa"/>
            <w:vAlign w:val="bottom"/>
            <w:tcBorders>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4"/>
              </w:rPr>
              <w:t>(9.2)%</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Earnings per common share, diluted</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1.95</w:t>
            </w:r>
          </w:p>
        </w:tc>
        <w:tc>
          <w:tcPr>
            <w:tcW w:w="300" w:type="dxa"/>
            <w:vAlign w:val="bottom"/>
          </w:tcPr>
          <w:p>
            <w:pPr>
              <w:jc w:val="center"/>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Pr>
          <w:p>
            <w:pPr>
              <w:jc w:val="right"/>
              <w:ind w:right="91"/>
              <w:spacing w:after="0" w:line="213" w:lineRule="exact"/>
              <w:rPr>
                <w:sz w:val="20"/>
                <w:szCs w:val="20"/>
                <w:color w:val="auto"/>
              </w:rPr>
            </w:pPr>
            <w:r>
              <w:rPr>
                <w:rFonts w:ascii="Calibri" w:cs="Calibri" w:eastAsia="Calibri" w:hAnsi="Calibri"/>
                <w:sz w:val="18"/>
                <w:szCs w:val="18"/>
                <w:color w:val="auto"/>
              </w:rPr>
              <w:t>2.01</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(3.0)%</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bottom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(2)</w:t>
            </w:r>
          </w:p>
        </w:tc>
        <w:tc>
          <w:tcPr>
            <w:tcW w:w="240" w:type="dxa"/>
            <w:vAlign w:val="bottom"/>
            <w:tcBorders>
              <w:bottom w:val="single" w:sz="8" w:color="auto"/>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auto"/>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2.03</w:t>
            </w:r>
          </w:p>
        </w:tc>
        <w:tc>
          <w:tcPr>
            <w:tcW w:w="300" w:type="dxa"/>
            <w:vAlign w:val="bottom"/>
            <w:tcBorders>
              <w:bottom w:val="single" w:sz="8" w:color="auto"/>
            </w:tcBorders>
            <w:shd w:val="clear" w:color="auto" w:fill="DBDBDB"/>
          </w:tcPr>
          <w:p>
            <w:pPr>
              <w:jc w:val="center"/>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auto"/>
            </w:tcBorders>
            <w:shd w:val="clear" w:color="auto" w:fill="DBDBDB"/>
          </w:tcPr>
          <w:p>
            <w:pPr>
              <w:jc w:val="right"/>
              <w:ind w:right="91"/>
              <w:spacing w:after="0" w:line="213" w:lineRule="exact"/>
              <w:rPr>
                <w:sz w:val="20"/>
                <w:szCs w:val="20"/>
                <w:color w:val="auto"/>
              </w:rPr>
            </w:pPr>
            <w:r>
              <w:rPr>
                <w:rFonts w:ascii="Calibri" w:cs="Calibri" w:eastAsia="Calibri" w:hAnsi="Calibri"/>
                <w:sz w:val="18"/>
                <w:szCs w:val="18"/>
                <w:color w:val="auto"/>
              </w:rPr>
              <w:t>2.09</w:t>
            </w:r>
          </w:p>
        </w:tc>
        <w:tc>
          <w:tcPr>
            <w:tcW w:w="1440" w:type="dxa"/>
            <w:vAlign w:val="bottom"/>
            <w:tcBorders>
              <w:bottom w:val="single" w:sz="8" w:color="auto"/>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4"/>
              </w:rPr>
              <w:t>(2.9)%</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3180" w:firstLine="5"/>
        <w:spacing w:after="0" w:line="230"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Fiscal 2023 had a 53</w:t>
      </w:r>
      <w:r>
        <w:rPr>
          <w:rFonts w:ascii="Arial" w:cs="Arial" w:eastAsia="Arial" w:hAnsi="Arial"/>
          <w:sz w:val="15"/>
          <w:szCs w:val="15"/>
          <w:color w:val="auto"/>
          <w:vertAlign w:val="superscript"/>
        </w:rPr>
        <w:t>rd</w:t>
      </w:r>
      <w:r>
        <w:rPr>
          <w:rFonts w:ascii="Arial" w:cs="Arial" w:eastAsia="Arial" w:hAnsi="Arial"/>
          <w:sz w:val="12"/>
          <w:szCs w:val="12"/>
          <w:color w:val="auto"/>
        </w:rPr>
        <w:t xml:space="preserve"> week, so the Company is using a shifted comp sales calculation which compares weeks 14-26 in Q2 2024 to weeks 15-27 in fiscal 2023.</w:t>
      </w:r>
    </w:p>
    <w:p>
      <w:pPr>
        <w:ind w:right="3640" w:firstLine="5"/>
        <w:spacing w:after="0" w:line="249"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27" w:lineRule="exact"/>
        <w:rPr>
          <w:sz w:val="20"/>
          <w:szCs w:val="20"/>
          <w:color w:val="auto"/>
        </w:rPr>
      </w:pPr>
    </w:p>
    <w:tbl>
      <w:tblPr>
        <w:tblLayout w:type="fixed"/>
        <w:tblInd w:w="730" w:type="dxa"/>
        <w:tblCellMar>
          <w:top w:w="0" w:type="dxa"/>
          <w:left w:w="0" w:type="dxa"/>
          <w:bottom w:w="0" w:type="dxa"/>
          <w:right w:w="0" w:type="dxa"/>
        </w:tblCellMar>
      </w:tblPr>
      <w:tr>
        <w:trPr>
          <w:trHeight w:val="245"/>
        </w:trPr>
        <w:tc>
          <w:tcPr>
            <w:tcW w:w="444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Calibri" w:cs="Calibri" w:eastAsia="Calibri" w:hAnsi="Calibri"/>
                <w:sz w:val="19"/>
                <w:szCs w:val="19"/>
                <w:b w:val="1"/>
                <w:bCs w:val="1"/>
                <w:color w:val="FFFFFF"/>
              </w:rPr>
              <w:t xml:space="preserve">Year-to-Date Operatng Results </w:t>
            </w:r>
            <w:r>
              <w:rPr>
                <w:rFonts w:ascii="Calibri" w:cs="Calibri" w:eastAsia="Calibri" w:hAnsi="Calibri"/>
                <w:sz w:val="14"/>
                <w:szCs w:val="14"/>
                <w:b w:val="1"/>
                <w:bCs w:val="1"/>
                <w:color w:val="FFFFFF"/>
              </w:rPr>
              <w:t>($ in millions, except per share</w:t>
            </w:r>
          </w:p>
        </w:tc>
        <w:tc>
          <w:tcPr>
            <w:tcW w:w="240" w:type="dxa"/>
            <w:vAlign w:val="bottom"/>
            <w:tcBorders>
              <w:top w:val="single" w:sz="8" w:color="auto"/>
            </w:tcBorders>
            <w:shd w:val="clear" w:color="auto" w:fill="1928A0"/>
          </w:tcPr>
          <w:p>
            <w:pPr>
              <w:spacing w:after="0"/>
              <w:rPr>
                <w:sz w:val="21"/>
                <w:szCs w:val="21"/>
                <w:color w:val="auto"/>
              </w:rPr>
            </w:pPr>
          </w:p>
        </w:tc>
        <w:tc>
          <w:tcPr>
            <w:tcW w:w="3760" w:type="dxa"/>
            <w:vAlign w:val="bottom"/>
            <w:tcBorders>
              <w:top w:val="single" w:sz="8" w:color="auto"/>
            </w:tcBorders>
            <w:gridSpan w:val="3"/>
            <w:shd w:val="clear" w:color="auto" w:fill="1928A0"/>
          </w:tcPr>
          <w:p>
            <w:pPr>
              <w:jc w:val="right"/>
              <w:ind w:right="911"/>
              <w:spacing w:after="0"/>
              <w:rPr>
                <w:sz w:val="20"/>
                <w:szCs w:val="20"/>
                <w:color w:val="auto"/>
              </w:rPr>
            </w:pPr>
            <w:r>
              <w:rPr>
                <w:rFonts w:ascii="Calibri" w:cs="Calibri" w:eastAsia="Calibri" w:hAnsi="Calibri"/>
                <w:sz w:val="19"/>
                <w:szCs w:val="19"/>
                <w:b w:val="1"/>
                <w:bCs w:val="1"/>
                <w:color w:val="FFFFFF"/>
              </w:rPr>
              <w:t>Twenty-Six Weeks Ended</w:t>
            </w:r>
          </w:p>
        </w:tc>
        <w:tc>
          <w:tcPr>
            <w:tcW w:w="1400" w:type="dxa"/>
            <w:vAlign w:val="bottom"/>
            <w:tcBorders>
              <w:top w:val="single" w:sz="8" w:color="auto"/>
              <w:right w:val="single" w:sz="8" w:color="auto"/>
            </w:tcBorders>
            <w:shd w:val="clear" w:color="auto" w:fill="1928A0"/>
          </w:tcPr>
          <w:p>
            <w:pPr>
              <w:ind w:left="380"/>
              <w:spacing w:after="0"/>
              <w:rPr>
                <w:sz w:val="20"/>
                <w:szCs w:val="20"/>
                <w:color w:val="auto"/>
              </w:rPr>
            </w:pPr>
            <w:r>
              <w:rPr>
                <w:rFonts w:ascii="Calibri" w:cs="Calibri" w:eastAsia="Calibri" w:hAnsi="Calibri"/>
                <w:sz w:val="19"/>
                <w:szCs w:val="19"/>
                <w:b w:val="1"/>
                <w:bCs w:val="1"/>
                <w:color w:val="FFFFFF"/>
              </w:rPr>
              <w:t>Change</w:t>
            </w:r>
          </w:p>
        </w:tc>
        <w:tc>
          <w:tcPr>
            <w:tcW w:w="0" w:type="dxa"/>
            <w:vAlign w:val="bottom"/>
          </w:tcPr>
          <w:p>
            <w:pPr>
              <w:spacing w:after="0"/>
              <w:rPr>
                <w:sz w:val="1"/>
                <w:szCs w:val="1"/>
                <w:color w:val="auto"/>
              </w:rPr>
            </w:pPr>
          </w:p>
        </w:tc>
      </w:tr>
      <w:tr>
        <w:trPr>
          <w:trHeight w:val="121"/>
        </w:trPr>
        <w:tc>
          <w:tcPr>
            <w:tcW w:w="4440" w:type="dxa"/>
            <w:vAlign w:val="bottom"/>
            <w:tcBorders>
              <w:left w:val="single" w:sz="8" w:color="auto"/>
            </w:tcBorders>
            <w:vMerge w:val="continue"/>
            <w:shd w:val="clear" w:color="auto" w:fill="1928A0"/>
          </w:tcPr>
          <w:p>
            <w:pPr>
              <w:spacing w:after="0"/>
              <w:rPr>
                <w:sz w:val="10"/>
                <w:szCs w:val="10"/>
                <w:color w:val="auto"/>
              </w:rPr>
            </w:pPr>
          </w:p>
        </w:tc>
        <w:tc>
          <w:tcPr>
            <w:tcW w:w="240" w:type="dxa"/>
            <w:vAlign w:val="bottom"/>
            <w:shd w:val="clear" w:color="auto" w:fill="1928A0"/>
          </w:tcPr>
          <w:p>
            <w:pPr>
              <w:spacing w:after="0"/>
              <w:rPr>
                <w:sz w:val="10"/>
                <w:szCs w:val="10"/>
                <w:color w:val="auto"/>
              </w:rPr>
            </w:pPr>
          </w:p>
        </w:tc>
        <w:tc>
          <w:tcPr>
            <w:tcW w:w="1760" w:type="dxa"/>
            <w:vAlign w:val="bottom"/>
            <w:vMerge w:val="restart"/>
            <w:shd w:val="clear" w:color="auto" w:fill="1928A0"/>
          </w:tcPr>
          <w:p>
            <w:pPr>
              <w:jc w:val="right"/>
              <w:ind w:right="310"/>
              <w:spacing w:after="0"/>
              <w:rPr>
                <w:sz w:val="20"/>
                <w:szCs w:val="20"/>
                <w:color w:val="auto"/>
              </w:rPr>
            </w:pPr>
            <w:r>
              <w:rPr>
                <w:rFonts w:ascii="Calibri" w:cs="Calibri" w:eastAsia="Calibri" w:hAnsi="Calibri"/>
                <w:sz w:val="19"/>
                <w:szCs w:val="19"/>
                <w:b w:val="1"/>
                <w:bCs w:val="1"/>
                <w:color w:val="FFFFFF"/>
              </w:rPr>
              <w:t>August 3, 2024</w:t>
            </w:r>
          </w:p>
        </w:tc>
        <w:tc>
          <w:tcPr>
            <w:tcW w:w="280" w:type="dxa"/>
            <w:vAlign w:val="bottom"/>
            <w:shd w:val="clear" w:color="auto" w:fill="1928A0"/>
          </w:tcPr>
          <w:p>
            <w:pPr>
              <w:spacing w:after="0"/>
              <w:rPr>
                <w:sz w:val="10"/>
                <w:szCs w:val="10"/>
                <w:color w:val="auto"/>
              </w:rPr>
            </w:pPr>
          </w:p>
        </w:tc>
        <w:tc>
          <w:tcPr>
            <w:tcW w:w="1720" w:type="dxa"/>
            <w:vAlign w:val="bottom"/>
            <w:vMerge w:val="restart"/>
            <w:shd w:val="clear" w:color="auto" w:fill="1928A0"/>
          </w:tcPr>
          <w:p>
            <w:pPr>
              <w:jc w:val="right"/>
              <w:ind w:right="411"/>
              <w:spacing w:after="0"/>
              <w:rPr>
                <w:sz w:val="20"/>
                <w:szCs w:val="20"/>
                <w:color w:val="auto"/>
              </w:rPr>
            </w:pPr>
            <w:r>
              <w:rPr>
                <w:rFonts w:ascii="Calibri" w:cs="Calibri" w:eastAsia="Calibri" w:hAnsi="Calibri"/>
                <w:sz w:val="19"/>
                <w:szCs w:val="19"/>
                <w:b w:val="1"/>
                <w:bCs w:val="1"/>
                <w:color w:val="FFFFFF"/>
              </w:rPr>
              <w:t>July 29, 2023</w:t>
            </w:r>
          </w:p>
        </w:tc>
        <w:tc>
          <w:tcPr>
            <w:tcW w:w="140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19"/>
                <w:szCs w:val="19"/>
                <w:b w:val="1"/>
                <w:bCs w:val="1"/>
                <w:color w:val="FFFFFF"/>
              </w:rPr>
              <w:t>%</w:t>
            </w:r>
          </w:p>
        </w:tc>
        <w:tc>
          <w:tcPr>
            <w:tcW w:w="0" w:type="dxa"/>
            <w:vAlign w:val="bottom"/>
          </w:tcPr>
          <w:p>
            <w:pPr>
              <w:spacing w:after="0"/>
              <w:rPr>
                <w:sz w:val="1"/>
                <w:szCs w:val="1"/>
                <w:color w:val="auto"/>
              </w:rPr>
            </w:pPr>
          </w:p>
        </w:tc>
      </w:tr>
      <w:tr>
        <w:trPr>
          <w:trHeight w:val="225"/>
        </w:trPr>
        <w:tc>
          <w:tcPr>
            <w:tcW w:w="4440" w:type="dxa"/>
            <w:vAlign w:val="bottom"/>
            <w:tcBorders>
              <w:left w:val="single" w:sz="8" w:color="auto"/>
              <w:bottom w:val="single" w:sz="8" w:color="1928A0"/>
            </w:tcBorders>
            <w:shd w:val="clear" w:color="auto" w:fill="1928A0"/>
          </w:tcPr>
          <w:p>
            <w:pPr>
              <w:ind w:left="20"/>
              <w:spacing w:after="0" w:line="167" w:lineRule="exact"/>
              <w:rPr>
                <w:sz w:val="20"/>
                <w:szCs w:val="20"/>
                <w:color w:val="auto"/>
              </w:rPr>
            </w:pPr>
            <w:r>
              <w:rPr>
                <w:rFonts w:ascii="Calibri" w:cs="Calibri" w:eastAsia="Calibri" w:hAnsi="Calibri"/>
                <w:sz w:val="14"/>
                <w:szCs w:val="14"/>
                <w:b w:val="1"/>
                <w:bCs w:val="1"/>
                <w:color w:val="FFFFFF"/>
              </w:rPr>
              <w:t>data)</w:t>
            </w:r>
          </w:p>
        </w:tc>
        <w:tc>
          <w:tcPr>
            <w:tcW w:w="240" w:type="dxa"/>
            <w:vAlign w:val="bottom"/>
            <w:tcBorders>
              <w:bottom w:val="single" w:sz="8" w:color="1928A0"/>
            </w:tcBorders>
            <w:shd w:val="clear" w:color="auto" w:fill="1928A0"/>
          </w:tcPr>
          <w:p>
            <w:pPr>
              <w:spacing w:after="0"/>
              <w:rPr>
                <w:sz w:val="19"/>
                <w:szCs w:val="19"/>
                <w:color w:val="auto"/>
              </w:rPr>
            </w:pPr>
          </w:p>
        </w:tc>
        <w:tc>
          <w:tcPr>
            <w:tcW w:w="1760" w:type="dxa"/>
            <w:vAlign w:val="bottom"/>
            <w:tcBorders>
              <w:bottom w:val="single" w:sz="8" w:color="1928A0"/>
            </w:tcBorders>
            <w:vMerge w:val="continue"/>
            <w:shd w:val="clear" w:color="auto" w:fill="1928A0"/>
          </w:tcPr>
          <w:p>
            <w:pPr>
              <w:spacing w:after="0"/>
              <w:rPr>
                <w:sz w:val="19"/>
                <w:szCs w:val="19"/>
                <w:color w:val="auto"/>
              </w:rPr>
            </w:pPr>
          </w:p>
        </w:tc>
        <w:tc>
          <w:tcPr>
            <w:tcW w:w="280" w:type="dxa"/>
            <w:vAlign w:val="bottom"/>
            <w:tcBorders>
              <w:bottom w:val="single" w:sz="8" w:color="1928A0"/>
            </w:tcBorders>
            <w:shd w:val="clear" w:color="auto" w:fill="1928A0"/>
          </w:tcPr>
          <w:p>
            <w:pPr>
              <w:spacing w:after="0"/>
              <w:rPr>
                <w:sz w:val="19"/>
                <w:szCs w:val="19"/>
                <w:color w:val="auto"/>
              </w:rPr>
            </w:pPr>
          </w:p>
        </w:tc>
        <w:tc>
          <w:tcPr>
            <w:tcW w:w="1720" w:type="dxa"/>
            <w:vAlign w:val="bottom"/>
            <w:tcBorders>
              <w:bottom w:val="single" w:sz="8" w:color="1928A0"/>
            </w:tcBorders>
            <w:vMerge w:val="continue"/>
            <w:shd w:val="clear" w:color="auto" w:fill="1928A0"/>
          </w:tcPr>
          <w:p>
            <w:pPr>
              <w:spacing w:after="0"/>
              <w:rPr>
                <w:sz w:val="19"/>
                <w:szCs w:val="19"/>
                <w:color w:val="auto"/>
              </w:rPr>
            </w:pPr>
          </w:p>
        </w:tc>
        <w:tc>
          <w:tcPr>
            <w:tcW w:w="1400" w:type="dxa"/>
            <w:vAlign w:val="bottom"/>
            <w:tcBorders>
              <w:bottom w:val="single" w:sz="8" w:color="1928A0"/>
              <w:right w:val="single" w:sz="8" w:color="auto"/>
            </w:tcBorders>
            <w:vMerge w:val="continue"/>
            <w:shd w:val="clear" w:color="auto" w:fill="1928A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40" w:type="dxa"/>
            <w:vAlign w:val="bottom"/>
            <w:tcBorders>
              <w:top w:val="single" w:sz="8" w:color="DBDBDB"/>
              <w:left w:val="single" w:sz="8" w:color="auto"/>
              <w:bottom w:val="single" w:sz="8" w:color="DBDBDB"/>
            </w:tcBorders>
            <w:shd w:val="clear" w:color="auto" w:fill="DBDBDB"/>
          </w:tcPr>
          <w:p>
            <w:pPr>
              <w:ind w:left="20"/>
              <w:spacing w:after="0" w:line="206" w:lineRule="exact"/>
              <w:rPr>
                <w:sz w:val="20"/>
                <w:szCs w:val="20"/>
                <w:color w:val="auto"/>
              </w:rPr>
            </w:pPr>
            <w:r>
              <w:rPr>
                <w:rFonts w:ascii="Calibri" w:cs="Calibri" w:eastAsia="Calibri" w:hAnsi="Calibri"/>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52"/>
              <w:spacing w:after="0" w:line="206" w:lineRule="exact"/>
              <w:rPr>
                <w:sz w:val="20"/>
                <w:szCs w:val="20"/>
                <w:color w:val="auto"/>
              </w:rPr>
            </w:pPr>
            <w:r>
              <w:rPr>
                <w:rFonts w:ascii="Calibri" w:cs="Calibri" w:eastAsia="Calibri" w:hAnsi="Calibri"/>
                <w:sz w:val="18"/>
                <w:szCs w:val="18"/>
                <w:color w:val="auto"/>
                <w:w w:val="87"/>
              </w:rPr>
              <w:t>$</w:t>
            </w:r>
          </w:p>
        </w:tc>
        <w:tc>
          <w:tcPr>
            <w:tcW w:w="1760" w:type="dxa"/>
            <w:vAlign w:val="bottom"/>
            <w:tcBorders>
              <w:top w:val="single" w:sz="8" w:color="auto"/>
              <w:bottom w:val="single" w:sz="8" w:color="DBDBDB"/>
            </w:tcBorders>
            <w:shd w:val="clear" w:color="auto" w:fill="DBDBDB"/>
          </w:tcPr>
          <w:p>
            <w:pPr>
              <w:jc w:val="right"/>
              <w:ind w:right="90"/>
              <w:spacing w:after="0" w:line="206" w:lineRule="exact"/>
              <w:rPr>
                <w:sz w:val="20"/>
                <w:szCs w:val="20"/>
                <w:color w:val="auto"/>
              </w:rPr>
            </w:pPr>
            <w:r>
              <w:rPr>
                <w:rFonts w:ascii="Calibri" w:cs="Calibri" w:eastAsia="Calibri" w:hAnsi="Calibri"/>
                <w:sz w:val="18"/>
                <w:szCs w:val="18"/>
                <w:color w:val="auto"/>
              </w:rPr>
              <w:t>2,913.2</w:t>
            </w:r>
          </w:p>
        </w:tc>
        <w:tc>
          <w:tcPr>
            <w:tcW w:w="280" w:type="dxa"/>
            <w:vAlign w:val="bottom"/>
            <w:tcBorders>
              <w:top w:val="single" w:sz="8" w:color="auto"/>
              <w:bottom w:val="single" w:sz="8" w:color="DBDBDB"/>
            </w:tcBorders>
            <w:shd w:val="clear" w:color="auto" w:fill="DBDBDB"/>
          </w:tcPr>
          <w:p>
            <w:pPr>
              <w:jc w:val="right"/>
              <w:ind w:right="92"/>
              <w:spacing w:after="0" w:line="206" w:lineRule="exact"/>
              <w:rPr>
                <w:sz w:val="20"/>
                <w:szCs w:val="20"/>
                <w:color w:val="auto"/>
              </w:rPr>
            </w:pPr>
            <w:r>
              <w:rPr>
                <w:rFonts w:ascii="Calibri" w:cs="Calibri" w:eastAsia="Calibri" w:hAnsi="Calibri"/>
                <w:sz w:val="18"/>
                <w:szCs w:val="18"/>
                <w:color w:val="auto"/>
                <w:w w:val="87"/>
              </w:rPr>
              <w:t>$</w:t>
            </w:r>
          </w:p>
        </w:tc>
        <w:tc>
          <w:tcPr>
            <w:tcW w:w="1720" w:type="dxa"/>
            <w:vAlign w:val="bottom"/>
            <w:tcBorders>
              <w:top w:val="single" w:sz="8" w:color="auto"/>
              <w:bottom w:val="single" w:sz="8" w:color="DBDBDB"/>
            </w:tcBorders>
            <w:shd w:val="clear" w:color="auto" w:fill="DBDBDB"/>
          </w:tcPr>
          <w:p>
            <w:pPr>
              <w:jc w:val="right"/>
              <w:ind w:right="131"/>
              <w:spacing w:after="0" w:line="206" w:lineRule="exact"/>
              <w:rPr>
                <w:sz w:val="20"/>
                <w:szCs w:val="20"/>
                <w:color w:val="auto"/>
              </w:rPr>
            </w:pPr>
            <w:r>
              <w:rPr>
                <w:rFonts w:ascii="Calibri" w:cs="Calibri" w:eastAsia="Calibri" w:hAnsi="Calibri"/>
                <w:sz w:val="18"/>
                <w:szCs w:val="18"/>
                <w:color w:val="auto"/>
              </w:rPr>
              <w:t>2,966.7</w:t>
            </w:r>
          </w:p>
        </w:tc>
        <w:tc>
          <w:tcPr>
            <w:tcW w:w="1400" w:type="dxa"/>
            <w:vAlign w:val="bottom"/>
            <w:tcBorders>
              <w:top w:val="single" w:sz="8" w:color="DBDBDB"/>
              <w:bottom w:val="single" w:sz="8" w:color="DBDBDB"/>
              <w:right w:val="single" w:sz="8" w:color="auto"/>
            </w:tcBorders>
            <w:shd w:val="clear" w:color="auto" w:fill="DBDBDB"/>
          </w:tcPr>
          <w:p>
            <w:pPr>
              <w:jc w:val="center"/>
              <w:spacing w:after="0" w:line="206" w:lineRule="exact"/>
              <w:rPr>
                <w:sz w:val="20"/>
                <w:szCs w:val="20"/>
                <w:color w:val="auto"/>
              </w:rPr>
            </w:pPr>
            <w:r>
              <w:rPr>
                <w:rFonts w:ascii="Calibri" w:cs="Calibri" w:eastAsia="Calibri" w:hAnsi="Calibri"/>
                <w:sz w:val="18"/>
                <w:szCs w:val="18"/>
                <w:color w:val="auto"/>
                <w:w w:val="94"/>
              </w:rPr>
              <w:t>(1.8)%</w:t>
            </w:r>
          </w:p>
        </w:tc>
        <w:tc>
          <w:tcPr>
            <w:tcW w:w="0" w:type="dxa"/>
            <w:vAlign w:val="bottom"/>
          </w:tcPr>
          <w:p>
            <w:pPr>
              <w:spacing w:after="0"/>
              <w:rPr>
                <w:sz w:val="1"/>
                <w:szCs w:val="1"/>
                <w:color w:val="auto"/>
              </w:rPr>
            </w:pPr>
          </w:p>
        </w:tc>
      </w:tr>
      <w:tr>
        <w:trPr>
          <w:trHeight w:val="213"/>
        </w:trPr>
        <w:tc>
          <w:tcPr>
            <w:tcW w:w="444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Comparable sales</w:t>
            </w:r>
          </w:p>
        </w:tc>
        <w:tc>
          <w:tcPr>
            <w:tcW w:w="240" w:type="dxa"/>
            <w:vAlign w:val="bottom"/>
          </w:tcPr>
          <w:p>
            <w:pPr>
              <w:spacing w:after="0"/>
              <w:rPr>
                <w:sz w:val="18"/>
                <w:szCs w:val="18"/>
                <w:color w:val="auto"/>
              </w:rPr>
            </w:pPr>
          </w:p>
        </w:tc>
        <w:tc>
          <w:tcPr>
            <w:tcW w:w="1760" w:type="dxa"/>
            <w:vAlign w:val="bottom"/>
          </w:tcPr>
          <w:p>
            <w:pPr>
              <w:jc w:val="right"/>
              <w:spacing w:after="0" w:line="213" w:lineRule="exact"/>
              <w:rPr>
                <w:sz w:val="20"/>
                <w:szCs w:val="20"/>
                <w:color w:val="auto"/>
              </w:rPr>
            </w:pPr>
            <w:r>
              <w:rPr>
                <w:rFonts w:ascii="Calibri" w:cs="Calibri" w:eastAsia="Calibri" w:hAnsi="Calibri"/>
                <w:sz w:val="18"/>
                <w:szCs w:val="18"/>
                <w:color w:val="auto"/>
              </w:rPr>
              <w:t>(6.4)%</w:t>
            </w:r>
          </w:p>
        </w:tc>
        <w:tc>
          <w:tcPr>
            <w:tcW w:w="280" w:type="dxa"/>
            <w:vAlign w:val="bottom"/>
          </w:tcPr>
          <w:p>
            <w:pPr>
              <w:spacing w:after="0"/>
              <w:rPr>
                <w:sz w:val="18"/>
                <w:szCs w:val="18"/>
                <w:color w:val="auto"/>
              </w:rPr>
            </w:pPr>
          </w:p>
        </w:tc>
        <w:tc>
          <w:tcPr>
            <w:tcW w:w="1720" w:type="dxa"/>
            <w:vAlign w:val="bottom"/>
          </w:tcPr>
          <w:p>
            <w:pPr>
              <w:jc w:val="right"/>
              <w:spacing w:after="0" w:line="213" w:lineRule="exact"/>
              <w:rPr>
                <w:sz w:val="20"/>
                <w:szCs w:val="20"/>
                <w:color w:val="auto"/>
              </w:rPr>
            </w:pPr>
            <w:r>
              <w:rPr>
                <w:rFonts w:ascii="Calibri" w:cs="Calibri" w:eastAsia="Calibri" w:hAnsi="Calibri"/>
                <w:sz w:val="18"/>
                <w:szCs w:val="18"/>
                <w:color w:val="auto"/>
              </w:rPr>
              <w:t>(7.4)%</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44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4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Income before income tax</w:t>
            </w:r>
          </w:p>
        </w:tc>
        <w:tc>
          <w:tcPr>
            <w:tcW w:w="24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DBDBDB"/>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284.2</w:t>
            </w:r>
          </w:p>
        </w:tc>
        <w:tc>
          <w:tcPr>
            <w:tcW w:w="280" w:type="dxa"/>
            <w:vAlign w:val="bottom"/>
            <w:tcBorders>
              <w:bottom w:val="single" w:sz="8" w:color="DBDBDB"/>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DBDBDB"/>
            </w:tcBorders>
            <w:shd w:val="clear" w:color="auto" w:fill="DBDBDB"/>
          </w:tcPr>
          <w:p>
            <w:pPr>
              <w:jc w:val="right"/>
              <w:ind w:right="131"/>
              <w:spacing w:after="0" w:line="213" w:lineRule="exact"/>
              <w:rPr>
                <w:sz w:val="20"/>
                <w:szCs w:val="20"/>
                <w:color w:val="auto"/>
              </w:rPr>
            </w:pPr>
            <w:r>
              <w:rPr>
                <w:rFonts w:ascii="Calibri" w:cs="Calibri" w:eastAsia="Calibri" w:hAnsi="Calibri"/>
                <w:sz w:val="18"/>
                <w:szCs w:val="18"/>
                <w:color w:val="auto"/>
              </w:rPr>
              <w:t>322.0</w:t>
            </w:r>
          </w:p>
        </w:tc>
        <w:tc>
          <w:tcPr>
            <w:tcW w:w="1400" w:type="dxa"/>
            <w:vAlign w:val="bottom"/>
            <w:tcBorders>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3"/>
              </w:rPr>
              <w:t>(11.7)%</w:t>
            </w:r>
          </w:p>
        </w:tc>
        <w:tc>
          <w:tcPr>
            <w:tcW w:w="0" w:type="dxa"/>
            <w:vAlign w:val="bottom"/>
          </w:tcPr>
          <w:p>
            <w:pPr>
              <w:spacing w:after="0"/>
              <w:rPr>
                <w:sz w:val="1"/>
                <w:szCs w:val="1"/>
                <w:color w:val="auto"/>
              </w:rPr>
            </w:pPr>
          </w:p>
        </w:tc>
      </w:tr>
      <w:tr>
        <w:trPr>
          <w:trHeight w:val="213"/>
        </w:trPr>
        <w:tc>
          <w:tcPr>
            <w:tcW w:w="444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219.1</w:t>
            </w:r>
          </w:p>
        </w:tc>
        <w:tc>
          <w:tcPr>
            <w:tcW w:w="2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Pr>
          <w:p>
            <w:pPr>
              <w:jc w:val="right"/>
              <w:ind w:right="131"/>
              <w:spacing w:after="0" w:line="213" w:lineRule="exact"/>
              <w:rPr>
                <w:sz w:val="20"/>
                <w:szCs w:val="20"/>
                <w:color w:val="auto"/>
              </w:rPr>
            </w:pPr>
            <w:r>
              <w:rPr>
                <w:rFonts w:ascii="Calibri" w:cs="Calibri" w:eastAsia="Calibri" w:hAnsi="Calibri"/>
                <w:sz w:val="18"/>
                <w:szCs w:val="18"/>
                <w:color w:val="auto"/>
              </w:rPr>
              <w:t>251.0</w:t>
            </w:r>
          </w:p>
        </w:tc>
        <w:tc>
          <w:tcPr>
            <w:tcW w:w="14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3"/>
              </w:rPr>
              <w:t>(12.7)%</w:t>
            </w:r>
          </w:p>
        </w:tc>
        <w:tc>
          <w:tcPr>
            <w:tcW w:w="0" w:type="dxa"/>
            <w:vAlign w:val="bottom"/>
          </w:tcPr>
          <w:p>
            <w:pPr>
              <w:spacing w:after="0"/>
              <w:rPr>
                <w:sz w:val="1"/>
                <w:szCs w:val="1"/>
                <w:color w:val="auto"/>
              </w:rPr>
            </w:pPr>
          </w:p>
        </w:tc>
      </w:tr>
      <w:tr>
        <w:trPr>
          <w:trHeight w:val="50"/>
        </w:trPr>
        <w:tc>
          <w:tcPr>
            <w:tcW w:w="444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40" w:type="dxa"/>
            <w:vAlign w:val="bottom"/>
            <w:tcBorders>
              <w:left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(1)</w:t>
            </w:r>
          </w:p>
        </w:tc>
        <w:tc>
          <w:tcPr>
            <w:tcW w:w="240" w:type="dxa"/>
            <w:vAlign w:val="bottom"/>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230.3</w:t>
            </w:r>
          </w:p>
        </w:tc>
        <w:tc>
          <w:tcPr>
            <w:tcW w:w="280" w:type="dxa"/>
            <w:vAlign w:val="bottom"/>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shd w:val="clear" w:color="auto" w:fill="DBDBDB"/>
          </w:tcPr>
          <w:p>
            <w:pPr>
              <w:jc w:val="right"/>
              <w:ind w:right="131"/>
              <w:spacing w:after="0" w:line="213" w:lineRule="exact"/>
              <w:rPr>
                <w:sz w:val="20"/>
                <w:szCs w:val="20"/>
                <w:color w:val="auto"/>
              </w:rPr>
            </w:pPr>
            <w:r>
              <w:rPr>
                <w:rFonts w:ascii="Calibri" w:cs="Calibri" w:eastAsia="Calibri" w:hAnsi="Calibri"/>
                <w:sz w:val="18"/>
                <w:szCs w:val="18"/>
                <w:color w:val="auto"/>
              </w:rPr>
              <w:t>266.6</w:t>
            </w:r>
          </w:p>
        </w:tc>
        <w:tc>
          <w:tcPr>
            <w:tcW w:w="1400" w:type="dxa"/>
            <w:vAlign w:val="bottom"/>
            <w:tcBorders>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3"/>
              </w:rPr>
              <w:t>(13.6)%</w:t>
            </w:r>
          </w:p>
        </w:tc>
        <w:tc>
          <w:tcPr>
            <w:tcW w:w="0" w:type="dxa"/>
            <w:vAlign w:val="bottom"/>
          </w:tcPr>
          <w:p>
            <w:pPr>
              <w:spacing w:after="0"/>
              <w:rPr>
                <w:sz w:val="1"/>
                <w:szCs w:val="1"/>
                <w:color w:val="auto"/>
              </w:rPr>
            </w:pPr>
          </w:p>
        </w:tc>
      </w:tr>
      <w:tr>
        <w:trPr>
          <w:trHeight w:val="213"/>
        </w:trPr>
        <w:tc>
          <w:tcPr>
            <w:tcW w:w="444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Earnings per common share, diluted</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2.93</w:t>
            </w:r>
          </w:p>
        </w:tc>
        <w:tc>
          <w:tcPr>
            <w:tcW w:w="2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Pr>
          <w:p>
            <w:pPr>
              <w:jc w:val="right"/>
              <w:ind w:right="131"/>
              <w:spacing w:after="0" w:line="213" w:lineRule="exact"/>
              <w:rPr>
                <w:sz w:val="20"/>
                <w:szCs w:val="20"/>
                <w:color w:val="auto"/>
              </w:rPr>
            </w:pPr>
            <w:r>
              <w:rPr>
                <w:rFonts w:ascii="Calibri" w:cs="Calibri" w:eastAsia="Calibri" w:hAnsi="Calibri"/>
                <w:sz w:val="18"/>
                <w:szCs w:val="18"/>
                <w:color w:val="auto"/>
              </w:rPr>
              <w:t>3.19</w:t>
            </w:r>
          </w:p>
        </w:tc>
        <w:tc>
          <w:tcPr>
            <w:tcW w:w="14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(8.2)%</w:t>
            </w:r>
          </w:p>
        </w:tc>
        <w:tc>
          <w:tcPr>
            <w:tcW w:w="0" w:type="dxa"/>
            <w:vAlign w:val="bottom"/>
          </w:tcPr>
          <w:p>
            <w:pPr>
              <w:spacing w:after="0"/>
              <w:rPr>
                <w:sz w:val="1"/>
                <w:szCs w:val="1"/>
                <w:color w:val="auto"/>
              </w:rPr>
            </w:pPr>
          </w:p>
        </w:tc>
      </w:tr>
      <w:tr>
        <w:trPr>
          <w:trHeight w:val="50"/>
        </w:trPr>
        <w:tc>
          <w:tcPr>
            <w:tcW w:w="444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40" w:type="dxa"/>
            <w:vAlign w:val="bottom"/>
            <w:tcBorders>
              <w:left w:val="single" w:sz="8" w:color="auto"/>
              <w:bottom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40" w:type="dxa"/>
            <w:vAlign w:val="bottom"/>
            <w:tcBorders>
              <w:bottom w:val="single" w:sz="8" w:color="auto"/>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auto"/>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3.08</w:t>
            </w:r>
          </w:p>
        </w:tc>
        <w:tc>
          <w:tcPr>
            <w:tcW w:w="280" w:type="dxa"/>
            <w:vAlign w:val="bottom"/>
            <w:tcBorders>
              <w:bottom w:val="single" w:sz="8" w:color="auto"/>
            </w:tcBorders>
            <w:shd w:val="clear" w:color="auto" w:fill="DBDBDB"/>
          </w:tcPr>
          <w:p>
            <w:pPr>
              <w:jc w:val="right"/>
              <w:ind w:right="92"/>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auto"/>
            </w:tcBorders>
            <w:shd w:val="clear" w:color="auto" w:fill="DBDBDB"/>
          </w:tcPr>
          <w:p>
            <w:pPr>
              <w:jc w:val="right"/>
              <w:ind w:right="131"/>
              <w:spacing w:after="0" w:line="213" w:lineRule="exact"/>
              <w:rPr>
                <w:sz w:val="20"/>
                <w:szCs w:val="20"/>
                <w:color w:val="auto"/>
              </w:rPr>
            </w:pPr>
            <w:r>
              <w:rPr>
                <w:rFonts w:ascii="Calibri" w:cs="Calibri" w:eastAsia="Calibri" w:hAnsi="Calibri"/>
                <w:sz w:val="18"/>
                <w:szCs w:val="18"/>
                <w:color w:val="auto"/>
              </w:rPr>
              <w:t>3.39</w:t>
            </w:r>
          </w:p>
        </w:tc>
        <w:tc>
          <w:tcPr>
            <w:tcW w:w="1400" w:type="dxa"/>
            <w:vAlign w:val="bottom"/>
            <w:tcBorders>
              <w:bottom w:val="single" w:sz="8" w:color="auto"/>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4"/>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-1562100</wp:posOffset>
            </wp:positionV>
            <wp:extent cx="8255" cy="384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-1562100</wp:posOffset>
            </wp:positionV>
            <wp:extent cx="8255" cy="384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384175"/>
                    </a:xfrm>
                    <a:prstGeom prst="rect">
                      <a:avLst/>
                    </a:prstGeom>
                    <a:noFill/>
                  </pic:spPr>
                </pic:pic>
              </a:graphicData>
            </a:graphic>
          </wp:anchor>
        </w:drawing>
      </w:r>
    </w:p>
    <w:p>
      <w:pPr>
        <w:spacing w:after="0" w:line="70" w:lineRule="exact"/>
        <w:rPr>
          <w:sz w:val="20"/>
          <w:szCs w:val="20"/>
          <w:color w:val="auto"/>
        </w:rPr>
      </w:pPr>
    </w:p>
    <w:p>
      <w:pPr>
        <w:ind w:left="720" w:right="720" w:firstLine="7"/>
        <w:spacing w:after="0" w:line="237" w:lineRule="auto"/>
        <w:tabs>
          <w:tab w:leader="none" w:pos="908"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Adjusted net income and Adjusted earnings per common share, diluted, are non-GAAP measures. See "Non-GAAP Measures" and "Reconciliatons of GAAP to Non-GAAP Financial Measures" below for reconciliatons of non-GAAP fnancial measures to their most directly comparable GAAP fnancial measures.</w:t>
      </w:r>
    </w:p>
    <w:p>
      <w:pPr>
        <w:sectPr>
          <w:pgSz w:w="11900" w:h="16838" w:orient="portrait"/>
          <w:cols w:equalWidth="0" w:num="1">
            <w:col w:w="11240"/>
          </w:cols>
          <w:pgMar w:left="320" w:top="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22" w:right="339" w:bottom="1440" w:gutter="0" w:footer="0" w:header="0"/>
          <w:type w:val="continuous"/>
        </w:sectPr>
      </w:pPr>
    </w:p>
    <w:bookmarkStart w:id="4" w:name="page5"/>
    <w:bookmarkEnd w:id="4"/>
    <w:tbl>
      <w:tblPr>
        <w:tblLayout w:type="fixed"/>
        <w:tblInd w:w="750" w:type="dxa"/>
        <w:tblCellMar>
          <w:top w:w="0" w:type="dxa"/>
          <w:left w:w="0" w:type="dxa"/>
          <w:bottom w:w="0" w:type="dxa"/>
          <w:right w:w="0" w:type="dxa"/>
        </w:tblCellMar>
      </w:tblPr>
      <w:tr>
        <w:trPr>
          <w:trHeight w:val="245"/>
        </w:trPr>
        <w:tc>
          <w:tcPr>
            <w:tcW w:w="4440" w:type="dxa"/>
            <w:vAlign w:val="bottom"/>
            <w:tcBorders>
              <w:top w:val="single" w:sz="8" w:color="auto"/>
              <w:left w:val="single" w:sz="8" w:color="auto"/>
            </w:tcBorders>
            <w:shd w:val="clear" w:color="auto" w:fill="1928A0"/>
          </w:tcPr>
          <w:p>
            <w:pPr>
              <w:spacing w:after="0"/>
              <w:rPr>
                <w:sz w:val="21"/>
                <w:szCs w:val="21"/>
                <w:color w:val="auto"/>
              </w:rPr>
            </w:pPr>
          </w:p>
        </w:tc>
        <w:tc>
          <w:tcPr>
            <w:tcW w:w="240" w:type="dxa"/>
            <w:vAlign w:val="bottom"/>
            <w:tcBorders>
              <w:top w:val="single" w:sz="8" w:color="auto"/>
            </w:tcBorders>
            <w:shd w:val="clear" w:color="auto" w:fill="1928A0"/>
          </w:tcPr>
          <w:p>
            <w:pPr>
              <w:spacing w:after="0"/>
              <w:rPr>
                <w:sz w:val="21"/>
                <w:szCs w:val="21"/>
                <w:color w:val="auto"/>
              </w:rPr>
            </w:pPr>
          </w:p>
        </w:tc>
        <w:tc>
          <w:tcPr>
            <w:tcW w:w="2040" w:type="dxa"/>
            <w:vAlign w:val="bottom"/>
            <w:tcBorders>
              <w:top w:val="single" w:sz="8" w:color="auto"/>
            </w:tcBorders>
            <w:gridSpan w:val="2"/>
            <w:shd w:val="clear" w:color="auto" w:fill="1928A0"/>
          </w:tcPr>
          <w:p>
            <w:pPr>
              <w:jc w:val="right"/>
              <w:ind w:right="32"/>
              <w:spacing w:after="0"/>
              <w:rPr>
                <w:sz w:val="20"/>
                <w:szCs w:val="20"/>
                <w:color w:val="auto"/>
              </w:rPr>
            </w:pPr>
            <w:r>
              <w:rPr>
                <w:rFonts w:ascii="Calibri" w:cs="Calibri" w:eastAsia="Calibri" w:hAnsi="Calibri"/>
                <w:sz w:val="19"/>
                <w:szCs w:val="19"/>
                <w:b w:val="1"/>
                <w:bCs w:val="1"/>
                <w:color w:val="FFFFFF"/>
              </w:rPr>
              <w:t>As of</w:t>
            </w:r>
          </w:p>
        </w:tc>
        <w:tc>
          <w:tcPr>
            <w:tcW w:w="1800" w:type="dxa"/>
            <w:vAlign w:val="bottom"/>
            <w:tcBorders>
              <w:top w:val="single" w:sz="8" w:color="auto"/>
            </w:tcBorders>
            <w:shd w:val="clear" w:color="auto" w:fill="1928A0"/>
          </w:tcPr>
          <w:p>
            <w:pPr>
              <w:spacing w:after="0"/>
              <w:rPr>
                <w:sz w:val="21"/>
                <w:szCs w:val="21"/>
                <w:color w:val="auto"/>
              </w:rPr>
            </w:pPr>
          </w:p>
        </w:tc>
        <w:tc>
          <w:tcPr>
            <w:tcW w:w="1260" w:type="dxa"/>
            <w:vAlign w:val="bottom"/>
            <w:tcBorders>
              <w:top w:val="single" w:sz="8" w:color="auto"/>
              <w:right w:val="single" w:sz="8" w:color="auto"/>
            </w:tcBorders>
            <w:shd w:val="clear" w:color="auto" w:fill="1928A0"/>
          </w:tcPr>
          <w:p>
            <w:pPr>
              <w:ind w:left="240"/>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44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Calibri" w:cs="Calibri" w:eastAsia="Calibri" w:hAnsi="Calibri"/>
                <w:sz w:val="19"/>
                <w:szCs w:val="19"/>
                <w:b w:val="1"/>
                <w:bCs w:val="1"/>
                <w:color w:val="FFFFFF"/>
              </w:rPr>
              <w:t xml:space="preserve">Balance Sheet </w:t>
            </w:r>
            <w:r>
              <w:rPr>
                <w:rFonts w:ascii="Calibri" w:cs="Calibri" w:eastAsia="Calibri" w:hAnsi="Calibri"/>
                <w:sz w:val="14"/>
                <w:szCs w:val="14"/>
                <w:b w:val="1"/>
                <w:bCs w:val="1"/>
                <w:color w:val="FFFFFF"/>
              </w:rPr>
              <w:t>($ in millions)</w:t>
            </w:r>
          </w:p>
        </w:tc>
        <w:tc>
          <w:tcPr>
            <w:tcW w:w="240" w:type="dxa"/>
            <w:vAlign w:val="bottom"/>
            <w:tcBorders>
              <w:bottom w:val="single" w:sz="8" w:color="1928A0"/>
            </w:tcBorders>
            <w:shd w:val="clear" w:color="auto" w:fill="1928A0"/>
          </w:tcPr>
          <w:p>
            <w:pPr>
              <w:spacing w:after="0"/>
              <w:rPr>
                <w:sz w:val="24"/>
                <w:szCs w:val="24"/>
                <w:color w:val="auto"/>
              </w:rPr>
            </w:pPr>
          </w:p>
        </w:tc>
        <w:tc>
          <w:tcPr>
            <w:tcW w:w="1680" w:type="dxa"/>
            <w:vAlign w:val="bottom"/>
            <w:tcBorders>
              <w:bottom w:val="single" w:sz="8" w:color="1928A0"/>
            </w:tcBorders>
            <w:shd w:val="clear" w:color="auto" w:fill="1928A0"/>
          </w:tcPr>
          <w:p>
            <w:pPr>
              <w:jc w:val="right"/>
              <w:ind w:right="249"/>
              <w:spacing w:after="0"/>
              <w:rPr>
                <w:sz w:val="20"/>
                <w:szCs w:val="20"/>
                <w:color w:val="auto"/>
              </w:rPr>
            </w:pPr>
            <w:r>
              <w:rPr>
                <w:rFonts w:ascii="Calibri" w:cs="Calibri" w:eastAsia="Calibri" w:hAnsi="Calibri"/>
                <w:sz w:val="19"/>
                <w:szCs w:val="19"/>
                <w:b w:val="1"/>
                <w:bCs w:val="1"/>
                <w:color w:val="FFFFFF"/>
              </w:rPr>
              <w:t>August 3, 2024</w:t>
            </w:r>
          </w:p>
        </w:tc>
        <w:tc>
          <w:tcPr>
            <w:tcW w:w="360" w:type="dxa"/>
            <w:vAlign w:val="bottom"/>
            <w:tcBorders>
              <w:bottom w:val="single" w:sz="8" w:color="1928A0"/>
            </w:tcBorders>
            <w:shd w:val="clear" w:color="auto" w:fill="1928A0"/>
          </w:tcPr>
          <w:p>
            <w:pPr>
              <w:spacing w:after="0"/>
              <w:rPr>
                <w:sz w:val="24"/>
                <w:szCs w:val="24"/>
                <w:color w:val="auto"/>
              </w:rPr>
            </w:pPr>
          </w:p>
        </w:tc>
        <w:tc>
          <w:tcPr>
            <w:tcW w:w="1800" w:type="dxa"/>
            <w:vAlign w:val="bottom"/>
            <w:tcBorders>
              <w:bottom w:val="single" w:sz="8" w:color="1928A0"/>
            </w:tcBorders>
            <w:shd w:val="clear" w:color="auto" w:fill="1928A0"/>
          </w:tcPr>
          <w:p>
            <w:pPr>
              <w:jc w:val="right"/>
              <w:ind w:right="550"/>
              <w:spacing w:after="0"/>
              <w:rPr>
                <w:sz w:val="20"/>
                <w:szCs w:val="20"/>
                <w:color w:val="auto"/>
              </w:rPr>
            </w:pPr>
            <w:r>
              <w:rPr>
                <w:rFonts w:ascii="Calibri" w:cs="Calibri" w:eastAsia="Calibri" w:hAnsi="Calibri"/>
                <w:sz w:val="19"/>
                <w:szCs w:val="19"/>
                <w:b w:val="1"/>
                <w:bCs w:val="1"/>
                <w:color w:val="FFFFFF"/>
              </w:rPr>
              <w:t>July 29, 2023</w:t>
            </w:r>
          </w:p>
        </w:tc>
        <w:tc>
          <w:tcPr>
            <w:tcW w:w="1260" w:type="dxa"/>
            <w:vAlign w:val="bottom"/>
            <w:tcBorders>
              <w:bottom w:val="single" w:sz="8" w:color="1928A0"/>
              <w:right w:val="single" w:sz="8" w:color="auto"/>
            </w:tcBorders>
            <w:shd w:val="clear" w:color="auto" w:fill="1928A0"/>
          </w:tcPr>
          <w:p>
            <w:pPr>
              <w:jc w:val="center"/>
              <w:ind w:right="109"/>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Cash and cash equivalents</w:t>
            </w:r>
          </w:p>
        </w:tc>
        <w:tc>
          <w:tcPr>
            <w:tcW w:w="24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324.6</w:t>
            </w:r>
          </w:p>
        </w:tc>
        <w:tc>
          <w:tcPr>
            <w:tcW w:w="360" w:type="dxa"/>
            <w:vAlign w:val="bottom"/>
            <w:tcBorders>
              <w:bottom w:val="single" w:sz="8" w:color="DBDBDB"/>
            </w:tcBorders>
            <w:shd w:val="clear" w:color="auto" w:fill="DBDBDB"/>
          </w:tcPr>
          <w:p>
            <w:pPr>
              <w:jc w:val="right"/>
              <w:ind w:right="132"/>
              <w:spacing w:after="0" w:line="213"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311.3</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5"/>
              </w:rPr>
              <w:t>4.3%</w:t>
            </w:r>
          </w:p>
        </w:tc>
      </w:tr>
      <w:tr>
        <w:trPr>
          <w:trHeight w:val="213"/>
        </w:trPr>
        <w:tc>
          <w:tcPr>
            <w:tcW w:w="4440" w:type="dxa"/>
            <w:vAlign w:val="bottom"/>
            <w:tcBorders>
              <w:lef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Merchandise inventories, net</w:t>
            </w:r>
          </w:p>
        </w:tc>
        <w:tc>
          <w:tcPr>
            <w:tcW w:w="24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Pr>
          <w:p>
            <w:pPr>
              <w:jc w:val="right"/>
              <w:spacing w:after="0" w:line="213" w:lineRule="exact"/>
              <w:rPr>
                <w:sz w:val="20"/>
                <w:szCs w:val="20"/>
                <w:color w:val="auto"/>
              </w:rPr>
            </w:pPr>
            <w:r>
              <w:rPr>
                <w:rFonts w:ascii="Calibri" w:cs="Calibri" w:eastAsia="Calibri" w:hAnsi="Calibri"/>
                <w:sz w:val="18"/>
                <w:szCs w:val="18"/>
                <w:color w:val="auto"/>
              </w:rPr>
              <w:t>1,366.6</w:t>
            </w:r>
          </w:p>
        </w:tc>
        <w:tc>
          <w:tcPr>
            <w:tcW w:w="3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w:t>
            </w:r>
          </w:p>
        </w:tc>
        <w:tc>
          <w:tcPr>
            <w:tcW w:w="1800" w:type="dxa"/>
            <w:vAlign w:val="bottom"/>
          </w:tcPr>
          <w:p>
            <w:pPr>
              <w:jc w:val="right"/>
              <w:ind w:right="170"/>
              <w:spacing w:after="0" w:line="213" w:lineRule="exact"/>
              <w:rPr>
                <w:sz w:val="20"/>
                <w:szCs w:val="20"/>
                <w:color w:val="auto"/>
              </w:rPr>
            </w:pPr>
            <w:r>
              <w:rPr>
                <w:rFonts w:ascii="Calibri" w:cs="Calibri" w:eastAsia="Calibri" w:hAnsi="Calibri"/>
                <w:sz w:val="18"/>
                <w:szCs w:val="18"/>
                <w:color w:val="auto"/>
              </w:rPr>
              <w:t>1,309.0</w:t>
            </w:r>
          </w:p>
        </w:tc>
        <w:tc>
          <w:tcPr>
            <w:tcW w:w="1260" w:type="dxa"/>
            <w:vAlign w:val="bottom"/>
            <w:tcBorders>
              <w:right w:val="single" w:sz="8" w:color="auto"/>
            </w:tcBorders>
          </w:tcPr>
          <w:p>
            <w:pPr>
              <w:jc w:val="center"/>
              <w:ind w:right="109"/>
              <w:spacing w:after="0" w:line="213" w:lineRule="exact"/>
              <w:rPr>
                <w:sz w:val="20"/>
                <w:szCs w:val="20"/>
                <w:color w:val="auto"/>
              </w:rPr>
            </w:pPr>
            <w:r>
              <w:rPr>
                <w:rFonts w:ascii="Calibri" w:cs="Calibri" w:eastAsia="Calibri" w:hAnsi="Calibri"/>
                <w:sz w:val="18"/>
                <w:szCs w:val="18"/>
                <w:color w:val="auto"/>
                <w:w w:val="95"/>
              </w:rPr>
              <w:t>4.4%</w:t>
            </w:r>
          </w:p>
        </w:tc>
      </w:tr>
      <w:tr>
        <w:trPr>
          <w:trHeight w:val="50"/>
        </w:trPr>
        <w:tc>
          <w:tcPr>
            <w:tcW w:w="444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Long-term debt, net</w:t>
            </w:r>
          </w:p>
        </w:tc>
        <w:tc>
          <w:tcPr>
            <w:tcW w:w="24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483.6</w:t>
            </w:r>
          </w:p>
        </w:tc>
        <w:tc>
          <w:tcPr>
            <w:tcW w:w="360" w:type="dxa"/>
            <w:vAlign w:val="bottom"/>
            <w:tcBorders>
              <w:bottom w:val="single" w:sz="8" w:color="DBDBDB"/>
            </w:tcBorders>
            <w:shd w:val="clear" w:color="auto" w:fill="DBDBDB"/>
          </w:tcPr>
          <w:p>
            <w:pPr>
              <w:jc w:val="right"/>
              <w:ind w:right="132"/>
              <w:spacing w:after="0" w:line="213"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583.7</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6"/>
              </w:rPr>
              <w:t>(17.1)%</w:t>
            </w:r>
          </w:p>
        </w:tc>
      </w:tr>
      <w:tr>
        <w:trPr>
          <w:trHeight w:val="20"/>
        </w:trPr>
        <w:tc>
          <w:tcPr>
            <w:tcW w:w="44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5963920</wp:posOffset>
            </wp:positionH>
            <wp:positionV relativeFrom="page">
              <wp:posOffset>306070</wp:posOffset>
            </wp:positionV>
            <wp:extent cx="8255" cy="37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page">
              <wp:posOffset>3490595</wp:posOffset>
            </wp:positionH>
            <wp:positionV relativeFrom="page">
              <wp:posOffset>306070</wp:posOffset>
            </wp:positionV>
            <wp:extent cx="8255" cy="37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375920</wp:posOffset>
            </wp:positionV>
            <wp:extent cx="8255" cy="37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375920</wp:posOffset>
            </wp:positionV>
            <wp:extent cx="8255" cy="37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3759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750" w:type="dxa"/>
        <w:tblCellMar>
          <w:top w:w="0" w:type="dxa"/>
          <w:left w:w="0" w:type="dxa"/>
          <w:bottom w:w="0" w:type="dxa"/>
          <w:right w:w="0" w:type="dxa"/>
        </w:tblCellMar>
      </w:tblPr>
      <w:tr>
        <w:trPr>
          <w:trHeight w:val="245"/>
        </w:trPr>
        <w:tc>
          <w:tcPr>
            <w:tcW w:w="4440" w:type="dxa"/>
            <w:vAlign w:val="bottom"/>
            <w:tcBorders>
              <w:top w:val="single" w:sz="8" w:color="auto"/>
              <w:left w:val="single" w:sz="8" w:color="auto"/>
            </w:tcBorders>
            <w:shd w:val="clear" w:color="auto" w:fill="1928A0"/>
          </w:tcPr>
          <w:p>
            <w:pPr>
              <w:spacing w:after="0"/>
              <w:rPr>
                <w:sz w:val="21"/>
                <w:szCs w:val="21"/>
                <w:color w:val="auto"/>
              </w:rPr>
            </w:pPr>
          </w:p>
        </w:tc>
        <w:tc>
          <w:tcPr>
            <w:tcW w:w="220" w:type="dxa"/>
            <w:vAlign w:val="bottom"/>
            <w:tcBorders>
              <w:top w:val="single" w:sz="8" w:color="auto"/>
            </w:tcBorders>
            <w:shd w:val="clear" w:color="auto" w:fill="1928A0"/>
          </w:tcPr>
          <w:p>
            <w:pPr>
              <w:spacing w:after="0"/>
              <w:rPr>
                <w:sz w:val="21"/>
                <w:szCs w:val="21"/>
                <w:color w:val="auto"/>
              </w:rPr>
            </w:pPr>
          </w:p>
        </w:tc>
        <w:tc>
          <w:tcPr>
            <w:tcW w:w="3760" w:type="dxa"/>
            <w:vAlign w:val="bottom"/>
            <w:tcBorders>
              <w:top w:val="single" w:sz="8" w:color="auto"/>
            </w:tcBorders>
            <w:gridSpan w:val="3"/>
            <w:shd w:val="clear" w:color="auto" w:fill="1928A0"/>
          </w:tcPr>
          <w:p>
            <w:pPr>
              <w:jc w:val="right"/>
              <w:ind w:right="989"/>
              <w:spacing w:after="0"/>
              <w:rPr>
                <w:sz w:val="20"/>
                <w:szCs w:val="20"/>
                <w:color w:val="auto"/>
              </w:rPr>
            </w:pPr>
            <w:r>
              <w:rPr>
                <w:rFonts w:ascii="Calibri" w:cs="Calibri" w:eastAsia="Calibri" w:hAnsi="Calibri"/>
                <w:sz w:val="19"/>
                <w:szCs w:val="19"/>
                <w:b w:val="1"/>
                <w:bCs w:val="1"/>
                <w:color w:val="FFFFFF"/>
              </w:rPr>
              <w:t>Twenty-Six Weeks Ended</w:t>
            </w:r>
          </w:p>
        </w:tc>
        <w:tc>
          <w:tcPr>
            <w:tcW w:w="1380" w:type="dxa"/>
            <w:vAlign w:val="bottom"/>
            <w:tcBorders>
              <w:top w:val="single" w:sz="8" w:color="auto"/>
              <w:right w:val="single" w:sz="8" w:color="auto"/>
            </w:tcBorders>
            <w:shd w:val="clear" w:color="auto" w:fill="1928A0"/>
          </w:tcPr>
          <w:p>
            <w:pPr>
              <w:ind w:left="280"/>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44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9"/>
                <w:szCs w:val="19"/>
                <w:b w:val="1"/>
                <w:bCs w:val="1"/>
                <w:color w:val="FFFFFF"/>
              </w:rPr>
              <w:t xml:space="preserve">Capital Allocaton </w:t>
            </w:r>
            <w:r>
              <w:rPr>
                <w:rFonts w:ascii="Calibri" w:cs="Calibri" w:eastAsia="Calibri" w:hAnsi="Calibri"/>
                <w:sz w:val="14"/>
                <w:szCs w:val="14"/>
                <w:b w:val="1"/>
                <w:bCs w:val="1"/>
                <w:color w:val="FFFFFF"/>
              </w:rPr>
              <w:t>($ in millions)</w:t>
            </w:r>
          </w:p>
        </w:tc>
        <w:tc>
          <w:tcPr>
            <w:tcW w:w="220" w:type="dxa"/>
            <w:vAlign w:val="bottom"/>
            <w:tcBorders>
              <w:bottom w:val="single" w:sz="8" w:color="1928A0"/>
            </w:tcBorders>
            <w:shd w:val="clear" w:color="auto" w:fill="1928A0"/>
          </w:tcPr>
          <w:p>
            <w:pPr>
              <w:spacing w:after="0"/>
              <w:rPr>
                <w:sz w:val="24"/>
                <w:szCs w:val="24"/>
                <w:color w:val="auto"/>
              </w:rPr>
            </w:pPr>
          </w:p>
        </w:tc>
        <w:tc>
          <w:tcPr>
            <w:tcW w:w="1640" w:type="dxa"/>
            <w:vAlign w:val="bottom"/>
            <w:tcBorders>
              <w:bottom w:val="single" w:sz="8" w:color="1928A0"/>
            </w:tcBorders>
            <w:shd w:val="clear" w:color="auto" w:fill="1928A0"/>
          </w:tcPr>
          <w:p>
            <w:pPr>
              <w:jc w:val="right"/>
              <w:ind w:right="228"/>
              <w:spacing w:after="0"/>
              <w:rPr>
                <w:sz w:val="20"/>
                <w:szCs w:val="20"/>
                <w:color w:val="auto"/>
              </w:rPr>
            </w:pPr>
            <w:r>
              <w:rPr>
                <w:rFonts w:ascii="Calibri" w:cs="Calibri" w:eastAsia="Calibri" w:hAnsi="Calibri"/>
                <w:sz w:val="19"/>
                <w:szCs w:val="19"/>
                <w:b w:val="1"/>
                <w:bCs w:val="1"/>
                <w:color w:val="FFFFFF"/>
              </w:rPr>
              <w:t>August 3, 2024</w:t>
            </w:r>
          </w:p>
        </w:tc>
        <w:tc>
          <w:tcPr>
            <w:tcW w:w="280" w:type="dxa"/>
            <w:vAlign w:val="bottom"/>
            <w:tcBorders>
              <w:bottom w:val="single" w:sz="8" w:color="1928A0"/>
            </w:tcBorders>
            <w:shd w:val="clear" w:color="auto" w:fill="1928A0"/>
          </w:tcPr>
          <w:p>
            <w:pPr>
              <w:spacing w:after="0"/>
              <w:rPr>
                <w:sz w:val="24"/>
                <w:szCs w:val="24"/>
                <w:color w:val="auto"/>
              </w:rPr>
            </w:pPr>
          </w:p>
        </w:tc>
        <w:tc>
          <w:tcPr>
            <w:tcW w:w="1840" w:type="dxa"/>
            <w:vAlign w:val="bottom"/>
            <w:tcBorders>
              <w:bottom w:val="single" w:sz="8" w:color="1928A0"/>
            </w:tcBorders>
            <w:shd w:val="clear" w:color="auto" w:fill="1928A0"/>
          </w:tcPr>
          <w:p>
            <w:pPr>
              <w:jc w:val="right"/>
              <w:ind w:right="529"/>
              <w:spacing w:after="0"/>
              <w:rPr>
                <w:sz w:val="20"/>
                <w:szCs w:val="20"/>
                <w:color w:val="auto"/>
              </w:rPr>
            </w:pPr>
            <w:r>
              <w:rPr>
                <w:rFonts w:ascii="Calibri" w:cs="Calibri" w:eastAsia="Calibri" w:hAnsi="Calibri"/>
                <w:sz w:val="19"/>
                <w:szCs w:val="19"/>
                <w:b w:val="1"/>
                <w:bCs w:val="1"/>
                <w:color w:val="FFFFFF"/>
              </w:rPr>
              <w:t>July 29, 2023</w:t>
            </w:r>
          </w:p>
        </w:tc>
        <w:tc>
          <w:tcPr>
            <w:tcW w:w="1380" w:type="dxa"/>
            <w:vAlign w:val="bottom"/>
            <w:tcBorders>
              <w:bottom w:val="single" w:sz="8" w:color="1928A0"/>
              <w:right w:val="single" w:sz="8" w:color="auto"/>
            </w:tcBorders>
            <w:shd w:val="clear" w:color="auto" w:fill="1928A0"/>
          </w:tcPr>
          <w:p>
            <w:pPr>
              <w:jc w:val="center"/>
              <w:ind w:right="108"/>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44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Share repurchases</w:t>
            </w:r>
          </w:p>
        </w:tc>
        <w:tc>
          <w:tcPr>
            <w:tcW w:w="220" w:type="dxa"/>
            <w:vAlign w:val="bottom"/>
            <w:tcBorders>
              <w:bottom w:val="single" w:sz="8" w:color="DBDBDB"/>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222.3</w:t>
            </w:r>
          </w:p>
        </w:tc>
        <w:tc>
          <w:tcPr>
            <w:tcW w:w="28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840" w:type="dxa"/>
            <w:vAlign w:val="bottom"/>
            <w:tcBorders>
              <w:bottom w:val="single" w:sz="8" w:color="DBDBDB"/>
            </w:tcBorders>
            <w:shd w:val="clear" w:color="auto" w:fill="DBDBDB"/>
          </w:tcPr>
          <w:p>
            <w:pPr>
              <w:jc w:val="right"/>
              <w:ind w:right="169"/>
              <w:spacing w:after="0" w:line="213" w:lineRule="exact"/>
              <w:rPr>
                <w:sz w:val="20"/>
                <w:szCs w:val="20"/>
                <w:color w:val="auto"/>
              </w:rPr>
            </w:pPr>
            <w:r>
              <w:rPr>
                <w:rFonts w:ascii="Calibri" w:cs="Calibri" w:eastAsia="Calibri" w:hAnsi="Calibri"/>
                <w:sz w:val="18"/>
                <w:szCs w:val="18"/>
                <w:color w:val="auto"/>
              </w:rPr>
              <w:t>157.6</w:t>
            </w:r>
          </w:p>
        </w:tc>
        <w:tc>
          <w:tcPr>
            <w:tcW w:w="1380" w:type="dxa"/>
            <w:vAlign w:val="bottom"/>
            <w:tcBorders>
              <w:bottom w:val="single" w:sz="8" w:color="DBDBDB"/>
              <w:right w:val="single" w:sz="8" w:color="auto"/>
            </w:tcBorders>
            <w:shd w:val="clear" w:color="auto" w:fill="DBDBDB"/>
          </w:tcPr>
          <w:p>
            <w:pPr>
              <w:jc w:val="center"/>
              <w:ind w:right="128"/>
              <w:spacing w:after="0" w:line="213" w:lineRule="exact"/>
              <w:rPr>
                <w:sz w:val="20"/>
                <w:szCs w:val="20"/>
                <w:color w:val="auto"/>
              </w:rPr>
            </w:pPr>
            <w:r>
              <w:rPr>
                <w:rFonts w:ascii="Calibri" w:cs="Calibri" w:eastAsia="Calibri" w:hAnsi="Calibri"/>
                <w:sz w:val="18"/>
                <w:szCs w:val="18"/>
                <w:color w:val="auto"/>
                <w:w w:val="98"/>
              </w:rPr>
              <w:t>41.1%</w:t>
            </w:r>
          </w:p>
        </w:tc>
      </w:tr>
      <w:tr>
        <w:trPr>
          <w:trHeight w:val="213"/>
        </w:trPr>
        <w:tc>
          <w:tcPr>
            <w:tcW w:w="444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Dividends paid</w:t>
            </w:r>
          </w:p>
        </w:tc>
        <w:tc>
          <w:tcPr>
            <w:tcW w:w="22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w w:val="87"/>
              </w:rPr>
              <w:t>$</w:t>
            </w:r>
          </w:p>
        </w:tc>
        <w:tc>
          <w:tcPr>
            <w:tcW w:w="1640" w:type="dxa"/>
            <w:vAlign w:val="bottom"/>
          </w:tcPr>
          <w:p>
            <w:pPr>
              <w:jc w:val="right"/>
              <w:spacing w:after="0" w:line="213" w:lineRule="exact"/>
              <w:rPr>
                <w:sz w:val="20"/>
                <w:szCs w:val="20"/>
                <w:color w:val="auto"/>
              </w:rPr>
            </w:pPr>
            <w:r>
              <w:rPr>
                <w:rFonts w:ascii="Calibri" w:cs="Calibri" w:eastAsia="Calibri" w:hAnsi="Calibri"/>
                <w:sz w:val="18"/>
                <w:szCs w:val="18"/>
                <w:color w:val="auto"/>
              </w:rPr>
              <w:t>16.1</w:t>
            </w:r>
          </w:p>
        </w:tc>
        <w:tc>
          <w:tcPr>
            <w:tcW w:w="28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840" w:type="dxa"/>
            <w:vAlign w:val="bottom"/>
          </w:tcPr>
          <w:p>
            <w:pPr>
              <w:jc w:val="right"/>
              <w:ind w:right="169"/>
              <w:spacing w:after="0" w:line="213" w:lineRule="exact"/>
              <w:rPr>
                <w:sz w:val="20"/>
                <w:szCs w:val="20"/>
                <w:color w:val="auto"/>
              </w:rPr>
            </w:pPr>
            <w:r>
              <w:rPr>
                <w:rFonts w:ascii="Calibri" w:cs="Calibri" w:eastAsia="Calibri" w:hAnsi="Calibri"/>
                <w:sz w:val="18"/>
                <w:szCs w:val="18"/>
                <w:color w:val="auto"/>
              </w:rPr>
              <w:t>13.8</w:t>
            </w:r>
          </w:p>
        </w:tc>
        <w:tc>
          <w:tcPr>
            <w:tcW w:w="1380" w:type="dxa"/>
            <w:vAlign w:val="bottom"/>
            <w:tcBorders>
              <w:right w:val="single" w:sz="8" w:color="auto"/>
            </w:tcBorders>
          </w:tcPr>
          <w:p>
            <w:pPr>
              <w:jc w:val="center"/>
              <w:ind w:right="128"/>
              <w:spacing w:after="0" w:line="213" w:lineRule="exact"/>
              <w:rPr>
                <w:sz w:val="20"/>
                <w:szCs w:val="20"/>
                <w:color w:val="auto"/>
              </w:rPr>
            </w:pPr>
            <w:r>
              <w:rPr>
                <w:rFonts w:ascii="Calibri" w:cs="Calibri" w:eastAsia="Calibri" w:hAnsi="Calibri"/>
                <w:sz w:val="18"/>
                <w:szCs w:val="18"/>
                <w:color w:val="auto"/>
                <w:w w:val="98"/>
              </w:rPr>
              <w:t>16.7%</w:t>
            </w:r>
          </w:p>
        </w:tc>
      </w:tr>
      <w:tr>
        <w:trPr>
          <w:trHeight w:val="50"/>
        </w:trPr>
        <w:tc>
          <w:tcPr>
            <w:tcW w:w="444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r>
    </w:tbl>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Subsequent to the end of the second quarter, on September 5, 2024, Academy's Board of Directors declared a quarterly cash dividend of $0.11 per share of common stock. The dividend is payable on October 17, 2024, to stockholders of record as of the close of business on September 19, 2024.</w:t>
      </w:r>
    </w:p>
    <w:p>
      <w:pPr>
        <w:spacing w:after="0" w:line="229" w:lineRule="auto"/>
        <w:rPr>
          <w:sz w:val="20"/>
          <w:szCs w:val="20"/>
          <w:color w:val="auto"/>
        </w:rPr>
      </w:pPr>
      <w:r>
        <w:rPr>
          <w:rFonts w:ascii="Arial" w:cs="Arial" w:eastAsia="Arial" w:hAnsi="Arial"/>
          <w:sz w:val="18"/>
          <w:szCs w:val="18"/>
          <w:b w:val="1"/>
          <w:bCs w:val="1"/>
          <w:u w:val="single" w:color="auto"/>
          <w:color w:val="auto"/>
        </w:rPr>
        <w:t>New Store Openings</w:t>
      </w:r>
    </w:p>
    <w:p>
      <w:pPr>
        <w:jc w:val="both"/>
        <w:spacing w:after="0" w:line="253" w:lineRule="auto"/>
        <w:rPr>
          <w:sz w:val="20"/>
          <w:szCs w:val="20"/>
          <w:color w:val="auto"/>
        </w:rPr>
      </w:pPr>
      <w:r>
        <w:rPr>
          <w:rFonts w:ascii="Arial" w:cs="Arial" w:eastAsia="Arial" w:hAnsi="Arial"/>
          <w:sz w:val="18"/>
          <w:szCs w:val="18"/>
          <w:color w:val="auto"/>
        </w:rPr>
        <w:t>Academy opened one new store during the second quarter. The Company has opened three stores through the first two fiscal quarters and plans to open a total of 15 to 17 stores in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Outlook</w:t>
      </w:r>
    </w:p>
    <w:p>
      <w:pPr>
        <w:spacing w:after="0" w:line="228" w:lineRule="auto"/>
        <w:rPr>
          <w:sz w:val="20"/>
          <w:szCs w:val="20"/>
          <w:color w:val="auto"/>
        </w:rPr>
      </w:pPr>
      <w:r>
        <w:rPr>
          <w:rFonts w:ascii="Arial" w:cs="Arial" w:eastAsia="Arial" w:hAnsi="Arial"/>
          <w:sz w:val="18"/>
          <w:szCs w:val="18"/>
          <w:color w:val="auto"/>
        </w:rPr>
        <w:t>"Sales for the second quarter were more challenging than expected, impacted by a tough economy, a temporary distribution center backlog</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related to going live with a new warehouse management system and by a very active storm season across key portions of our footprint. Based on the results of the first half of the year and the expectations for the remainder of fiscal 2024, we are revising our full year guidance, while maintaining our gross margin rate range," said Carl Ford, Chief Financial Officer. "We will continue to manage expenses and inventory levels as we focus on driving topline growth. We have a very healthy balance sheet and top quartile cash flow generation, which we will deploy towards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allocation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Academy is revising its previous guidance for fiscal 2024 as follows:</w:t>
      </w:r>
    </w:p>
    <w:p>
      <w:pPr>
        <w:spacing w:after="0" w:line="27" w:lineRule="exact"/>
        <w:rPr>
          <w:sz w:val="20"/>
          <w:szCs w:val="20"/>
          <w:color w:val="auto"/>
        </w:rPr>
      </w:pPr>
    </w:p>
    <w:tbl>
      <w:tblPr>
        <w:tblLayout w:type="fixed"/>
        <w:tblInd w:w="90" w:type="dxa"/>
        <w:tblCellMar>
          <w:top w:w="0" w:type="dxa"/>
          <w:left w:w="0" w:type="dxa"/>
          <w:bottom w:w="0" w:type="dxa"/>
          <w:right w:w="0" w:type="dxa"/>
        </w:tblCellMar>
      </w:tblPr>
      <w:tr>
        <w:trPr>
          <w:trHeight w:val="245"/>
        </w:trPr>
        <w:tc>
          <w:tcPr>
            <w:tcW w:w="3960" w:type="dxa"/>
            <w:vAlign w:val="bottom"/>
            <w:tcBorders>
              <w:top w:val="single" w:sz="8" w:color="auto"/>
              <w:left w:val="single" w:sz="8" w:color="auto"/>
            </w:tcBorders>
            <w:shd w:val="clear" w:color="auto" w:fill="1928A0"/>
          </w:tcPr>
          <w:p>
            <w:pPr>
              <w:spacing w:after="0"/>
              <w:rPr>
                <w:sz w:val="21"/>
                <w:szCs w:val="21"/>
                <w:color w:val="auto"/>
              </w:rPr>
            </w:pPr>
          </w:p>
        </w:tc>
        <w:tc>
          <w:tcPr>
            <w:tcW w:w="260" w:type="dxa"/>
            <w:vAlign w:val="bottom"/>
            <w:tcBorders>
              <w:top w:val="single" w:sz="8" w:color="auto"/>
            </w:tcBorders>
            <w:shd w:val="clear" w:color="auto" w:fill="1928A0"/>
          </w:tcPr>
          <w:p>
            <w:pPr>
              <w:spacing w:after="0"/>
              <w:rPr>
                <w:sz w:val="21"/>
                <w:szCs w:val="21"/>
                <w:color w:val="auto"/>
              </w:rPr>
            </w:pPr>
          </w:p>
        </w:tc>
        <w:tc>
          <w:tcPr>
            <w:tcW w:w="3540" w:type="dxa"/>
            <w:vAlign w:val="bottom"/>
            <w:tcBorders>
              <w:top w:val="single" w:sz="8" w:color="auto"/>
            </w:tcBorders>
            <w:gridSpan w:val="3"/>
            <w:shd w:val="clear" w:color="auto" w:fill="1928A0"/>
          </w:tcPr>
          <w:p>
            <w:pPr>
              <w:jc w:val="right"/>
              <w:ind w:right="1152"/>
              <w:spacing w:after="0"/>
              <w:rPr>
                <w:sz w:val="20"/>
                <w:szCs w:val="20"/>
                <w:color w:val="auto"/>
              </w:rPr>
            </w:pPr>
            <w:r>
              <w:rPr>
                <w:rFonts w:ascii="Calibri" w:cs="Calibri" w:eastAsia="Calibri" w:hAnsi="Calibri"/>
                <w:sz w:val="19"/>
                <w:szCs w:val="19"/>
                <w:b w:val="1"/>
                <w:bCs w:val="1"/>
                <w:color w:val="FFFFFF"/>
              </w:rPr>
              <w:t>Updated Guidance</w:t>
            </w:r>
          </w:p>
        </w:tc>
        <w:tc>
          <w:tcPr>
            <w:tcW w:w="400" w:type="dxa"/>
            <w:vAlign w:val="bottom"/>
            <w:tcBorders>
              <w:top w:val="single" w:sz="8" w:color="auto"/>
            </w:tcBorders>
            <w:shd w:val="clear" w:color="auto" w:fill="1928A0"/>
          </w:tcPr>
          <w:p>
            <w:pPr>
              <w:spacing w:after="0"/>
              <w:rPr>
                <w:sz w:val="21"/>
                <w:szCs w:val="21"/>
                <w:color w:val="auto"/>
              </w:rPr>
            </w:pPr>
          </w:p>
        </w:tc>
        <w:tc>
          <w:tcPr>
            <w:tcW w:w="2960" w:type="dxa"/>
            <w:vAlign w:val="bottom"/>
            <w:tcBorders>
              <w:top w:val="single" w:sz="8" w:color="auto"/>
              <w:right w:val="single" w:sz="8" w:color="auto"/>
            </w:tcBorders>
            <w:gridSpan w:val="3"/>
            <w:shd w:val="clear" w:color="auto" w:fill="1928A0"/>
          </w:tcPr>
          <w:p>
            <w:pPr>
              <w:jc w:val="right"/>
              <w:ind w:right="772"/>
              <w:spacing w:after="0"/>
              <w:rPr>
                <w:sz w:val="20"/>
                <w:szCs w:val="20"/>
                <w:color w:val="auto"/>
              </w:rPr>
            </w:pPr>
            <w:r>
              <w:rPr>
                <w:rFonts w:ascii="Calibri" w:cs="Calibri" w:eastAsia="Calibri" w:hAnsi="Calibri"/>
                <w:sz w:val="19"/>
                <w:szCs w:val="19"/>
                <w:b w:val="1"/>
                <w:bCs w:val="1"/>
                <w:color w:val="FFFFFF"/>
              </w:rPr>
              <w:t>Previous Guidance</w:t>
            </w:r>
          </w:p>
        </w:tc>
      </w:tr>
      <w:tr>
        <w:trPr>
          <w:trHeight w:val="327"/>
        </w:trPr>
        <w:tc>
          <w:tcPr>
            <w:tcW w:w="39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(in millions, except per share data)</w:t>
            </w:r>
          </w:p>
        </w:tc>
        <w:tc>
          <w:tcPr>
            <w:tcW w:w="260" w:type="dxa"/>
            <w:vAlign w:val="bottom"/>
            <w:tcBorders>
              <w:bottom w:val="single" w:sz="8" w:color="1928A0"/>
            </w:tcBorders>
            <w:shd w:val="clear" w:color="auto" w:fill="1928A0"/>
          </w:tcPr>
          <w:p>
            <w:pPr>
              <w:spacing w:after="0"/>
              <w:rPr>
                <w:sz w:val="24"/>
                <w:szCs w:val="24"/>
                <w:color w:val="auto"/>
              </w:rPr>
            </w:pPr>
          </w:p>
        </w:tc>
        <w:tc>
          <w:tcPr>
            <w:tcW w:w="1500" w:type="dxa"/>
            <w:vAlign w:val="bottom"/>
            <w:tcBorders>
              <w:bottom w:val="single" w:sz="8" w:color="1928A0"/>
            </w:tcBorders>
            <w:shd w:val="clear" w:color="auto" w:fill="1928A0"/>
          </w:tcPr>
          <w:p>
            <w:pPr>
              <w:jc w:val="right"/>
              <w:ind w:right="532"/>
              <w:spacing w:after="0"/>
              <w:rPr>
                <w:sz w:val="20"/>
                <w:szCs w:val="20"/>
                <w:color w:val="auto"/>
              </w:rPr>
            </w:pPr>
            <w:r>
              <w:rPr>
                <w:rFonts w:ascii="Calibri" w:cs="Calibri" w:eastAsia="Calibri" w:hAnsi="Calibri"/>
                <w:sz w:val="19"/>
                <w:szCs w:val="19"/>
                <w:b w:val="1"/>
                <w:bCs w:val="1"/>
                <w:color w:val="FFFFFF"/>
              </w:rPr>
              <w:t>Low end</w:t>
            </w:r>
          </w:p>
        </w:tc>
        <w:tc>
          <w:tcPr>
            <w:tcW w:w="460" w:type="dxa"/>
            <w:vAlign w:val="bottom"/>
            <w:tcBorders>
              <w:bottom w:val="single" w:sz="8" w:color="1928A0"/>
            </w:tcBorders>
            <w:shd w:val="clear" w:color="auto" w:fill="1928A0"/>
          </w:tcPr>
          <w:p>
            <w:pPr>
              <w:spacing w:after="0"/>
              <w:rPr>
                <w:sz w:val="24"/>
                <w:szCs w:val="24"/>
                <w:color w:val="auto"/>
              </w:rPr>
            </w:pPr>
          </w:p>
        </w:tc>
        <w:tc>
          <w:tcPr>
            <w:tcW w:w="1580" w:type="dxa"/>
            <w:vAlign w:val="bottom"/>
            <w:tcBorders>
              <w:bottom w:val="single" w:sz="8" w:color="1928A0"/>
            </w:tcBorders>
            <w:shd w:val="clear" w:color="auto" w:fill="1928A0"/>
          </w:tcPr>
          <w:p>
            <w:pPr>
              <w:jc w:val="right"/>
              <w:ind w:right="572"/>
              <w:spacing w:after="0"/>
              <w:rPr>
                <w:sz w:val="20"/>
                <w:szCs w:val="20"/>
                <w:color w:val="auto"/>
              </w:rPr>
            </w:pPr>
            <w:r>
              <w:rPr>
                <w:rFonts w:ascii="Calibri" w:cs="Calibri" w:eastAsia="Calibri" w:hAnsi="Calibri"/>
                <w:sz w:val="19"/>
                <w:szCs w:val="19"/>
                <w:b w:val="1"/>
                <w:bCs w:val="1"/>
                <w:color w:val="FFFFFF"/>
              </w:rPr>
              <w:t>High end</w:t>
            </w:r>
          </w:p>
        </w:tc>
        <w:tc>
          <w:tcPr>
            <w:tcW w:w="400" w:type="dxa"/>
            <w:vAlign w:val="bottom"/>
            <w:tcBorders>
              <w:bottom w:val="single" w:sz="8" w:color="1928A0"/>
            </w:tcBorders>
            <w:shd w:val="clear" w:color="auto" w:fill="1928A0"/>
          </w:tcPr>
          <w:p>
            <w:pPr>
              <w:spacing w:after="0"/>
              <w:rPr>
                <w:sz w:val="24"/>
                <w:szCs w:val="24"/>
                <w:color w:val="auto"/>
              </w:rPr>
            </w:pPr>
          </w:p>
        </w:tc>
        <w:tc>
          <w:tcPr>
            <w:tcW w:w="1260" w:type="dxa"/>
            <w:vAlign w:val="bottom"/>
            <w:tcBorders>
              <w:bottom w:val="single" w:sz="8" w:color="1928A0"/>
            </w:tcBorders>
            <w:shd w:val="clear" w:color="auto" w:fill="1928A0"/>
          </w:tcPr>
          <w:p>
            <w:pPr>
              <w:jc w:val="right"/>
              <w:ind w:right="351"/>
              <w:spacing w:after="0"/>
              <w:rPr>
                <w:sz w:val="20"/>
                <w:szCs w:val="20"/>
                <w:color w:val="auto"/>
              </w:rPr>
            </w:pPr>
            <w:r>
              <w:rPr>
                <w:rFonts w:ascii="Calibri" w:cs="Calibri" w:eastAsia="Calibri" w:hAnsi="Calibri"/>
                <w:sz w:val="19"/>
                <w:szCs w:val="19"/>
                <w:b w:val="1"/>
                <w:bCs w:val="1"/>
                <w:color w:val="FFFFFF"/>
              </w:rPr>
              <w:t>Low end</w:t>
            </w:r>
          </w:p>
        </w:tc>
        <w:tc>
          <w:tcPr>
            <w:tcW w:w="360" w:type="dxa"/>
            <w:vAlign w:val="bottom"/>
            <w:tcBorders>
              <w:bottom w:val="single" w:sz="8" w:color="1928A0"/>
            </w:tcBorders>
            <w:shd w:val="clear" w:color="auto" w:fill="1928A0"/>
          </w:tcPr>
          <w:p>
            <w:pPr>
              <w:spacing w:after="0"/>
              <w:rPr>
                <w:sz w:val="24"/>
                <w:szCs w:val="24"/>
                <w:color w:val="auto"/>
              </w:rPr>
            </w:pPr>
          </w:p>
        </w:tc>
        <w:tc>
          <w:tcPr>
            <w:tcW w:w="1340" w:type="dxa"/>
            <w:vAlign w:val="bottom"/>
            <w:tcBorders>
              <w:bottom w:val="single" w:sz="8" w:color="1928A0"/>
              <w:right w:val="single" w:sz="8" w:color="auto"/>
            </w:tcBorders>
            <w:shd w:val="clear" w:color="auto" w:fill="1928A0"/>
          </w:tcPr>
          <w:p>
            <w:pPr>
              <w:jc w:val="right"/>
              <w:ind w:right="372"/>
              <w:spacing w:after="0"/>
              <w:rPr>
                <w:sz w:val="20"/>
                <w:szCs w:val="20"/>
                <w:color w:val="auto"/>
              </w:rPr>
            </w:pPr>
            <w:r>
              <w:rPr>
                <w:rFonts w:ascii="Calibri" w:cs="Calibri" w:eastAsia="Calibri" w:hAnsi="Calibri"/>
                <w:sz w:val="19"/>
                <w:szCs w:val="19"/>
                <w:b w:val="1"/>
                <w:bCs w:val="1"/>
                <w:color w:val="FFFFFF"/>
              </w:rPr>
              <w:t>High end</w:t>
            </w: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sales</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272"/>
              <w:spacing w:after="0" w:line="213" w:lineRule="exact"/>
              <w:rPr>
                <w:sz w:val="20"/>
                <w:szCs w:val="20"/>
                <w:color w:val="auto"/>
              </w:rPr>
            </w:pPr>
            <w:r>
              <w:rPr>
                <w:rFonts w:ascii="Calibri" w:cs="Calibri" w:eastAsia="Calibri" w:hAnsi="Calibri"/>
                <w:sz w:val="18"/>
                <w:szCs w:val="18"/>
                <w:b w:val="1"/>
                <w:bCs w:val="1"/>
                <w:color w:val="auto"/>
              </w:rPr>
              <w:t>5,895.0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272"/>
              <w:spacing w:after="0" w:line="213" w:lineRule="exact"/>
              <w:rPr>
                <w:sz w:val="20"/>
                <w:szCs w:val="20"/>
                <w:color w:val="auto"/>
              </w:rPr>
            </w:pPr>
            <w:r>
              <w:rPr>
                <w:rFonts w:ascii="Calibri" w:cs="Calibri" w:eastAsia="Calibri" w:hAnsi="Calibri"/>
                <w:sz w:val="18"/>
                <w:szCs w:val="18"/>
                <w:b w:val="1"/>
                <w:bCs w:val="1"/>
                <w:color w:val="auto"/>
              </w:rPr>
              <w:t>6,075.0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91"/>
              <w:spacing w:after="0" w:line="213" w:lineRule="exact"/>
              <w:rPr>
                <w:sz w:val="20"/>
                <w:szCs w:val="20"/>
                <w:color w:val="auto"/>
              </w:rPr>
            </w:pPr>
            <w:r>
              <w:rPr>
                <w:rFonts w:ascii="Calibri" w:cs="Calibri" w:eastAsia="Calibri" w:hAnsi="Calibri"/>
                <w:sz w:val="18"/>
                <w:szCs w:val="18"/>
                <w:color w:val="auto"/>
              </w:rPr>
              <w:t>6,070.0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32"/>
              <w:spacing w:after="0" w:line="213" w:lineRule="exact"/>
              <w:rPr>
                <w:sz w:val="20"/>
                <w:szCs w:val="20"/>
                <w:color w:val="auto"/>
              </w:rPr>
            </w:pPr>
            <w:r>
              <w:rPr>
                <w:rFonts w:ascii="Calibri" w:cs="Calibri" w:eastAsia="Calibri" w:hAnsi="Calibri"/>
                <w:sz w:val="18"/>
                <w:szCs w:val="18"/>
                <w:color w:val="auto"/>
              </w:rPr>
              <w:t>6,350.0</w:t>
            </w:r>
          </w:p>
        </w:tc>
      </w:tr>
      <w:tr>
        <w:trPr>
          <w:trHeight w:val="272"/>
        </w:trPr>
        <w:tc>
          <w:tcPr>
            <w:tcW w:w="3960" w:type="dxa"/>
            <w:vAlign w:val="bottom"/>
            <w:tcBorders>
              <w:left w:val="single" w:sz="8" w:color="auto"/>
            </w:tcBorders>
          </w:tcPr>
          <w:p>
            <w:pPr>
              <w:ind w:left="200"/>
              <w:spacing w:after="0"/>
              <w:rPr>
                <w:sz w:val="20"/>
                <w:szCs w:val="20"/>
                <w:color w:val="auto"/>
              </w:rPr>
            </w:pPr>
            <w:r>
              <w:rPr>
                <w:rFonts w:ascii="Calibri" w:cs="Calibri" w:eastAsia="Calibri" w:hAnsi="Calibri"/>
                <w:sz w:val="16"/>
                <w:szCs w:val="16"/>
                <w:color w:val="auto"/>
              </w:rPr>
              <w:t>Sales growth</w:t>
            </w:r>
          </w:p>
        </w:tc>
        <w:tc>
          <w:tcPr>
            <w:tcW w:w="260" w:type="dxa"/>
            <w:vAlign w:val="bottom"/>
          </w:tcPr>
          <w:p>
            <w:pPr>
              <w:spacing w:after="0"/>
              <w:rPr>
                <w:sz w:val="23"/>
                <w:szCs w:val="23"/>
                <w:color w:val="auto"/>
              </w:rPr>
            </w:pPr>
          </w:p>
        </w:tc>
        <w:tc>
          <w:tcPr>
            <w:tcW w:w="1500" w:type="dxa"/>
            <w:vAlign w:val="bottom"/>
          </w:tcPr>
          <w:p>
            <w:pPr>
              <w:jc w:val="right"/>
              <w:ind w:right="92"/>
              <w:spacing w:after="0"/>
              <w:rPr>
                <w:sz w:val="20"/>
                <w:szCs w:val="20"/>
                <w:color w:val="auto"/>
              </w:rPr>
            </w:pPr>
            <w:r>
              <w:rPr>
                <w:rFonts w:ascii="Calibri" w:cs="Calibri" w:eastAsia="Calibri" w:hAnsi="Calibri"/>
                <w:sz w:val="16"/>
                <w:szCs w:val="16"/>
                <w:b w:val="1"/>
                <w:bCs w:val="1"/>
                <w:color w:val="auto"/>
              </w:rPr>
              <w:t>(4.3)%</w:t>
            </w:r>
          </w:p>
        </w:tc>
        <w:tc>
          <w:tcPr>
            <w:tcW w:w="460" w:type="dxa"/>
            <w:vAlign w:val="bottom"/>
          </w:tcPr>
          <w:p>
            <w:pPr>
              <w:spacing w:after="0"/>
              <w:rPr>
                <w:sz w:val="23"/>
                <w:szCs w:val="23"/>
                <w:color w:val="auto"/>
              </w:rPr>
            </w:pPr>
          </w:p>
        </w:tc>
        <w:tc>
          <w:tcPr>
            <w:tcW w:w="1580" w:type="dxa"/>
            <w:vAlign w:val="bottom"/>
          </w:tcPr>
          <w:p>
            <w:pPr>
              <w:jc w:val="right"/>
              <w:ind w:right="92"/>
              <w:spacing w:after="0"/>
              <w:rPr>
                <w:sz w:val="20"/>
                <w:szCs w:val="20"/>
                <w:color w:val="auto"/>
              </w:rPr>
            </w:pPr>
            <w:r>
              <w:rPr>
                <w:rFonts w:ascii="Calibri" w:cs="Calibri" w:eastAsia="Calibri" w:hAnsi="Calibri"/>
                <w:sz w:val="16"/>
                <w:szCs w:val="16"/>
                <w:b w:val="1"/>
                <w:bCs w:val="1"/>
                <w:color w:val="auto"/>
              </w:rPr>
              <w:t>(1.4)%</w:t>
            </w:r>
          </w:p>
        </w:tc>
        <w:tc>
          <w:tcPr>
            <w:tcW w:w="40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Calibri" w:cs="Calibri" w:eastAsia="Calibri" w:hAnsi="Calibri"/>
                <w:sz w:val="18"/>
                <w:szCs w:val="18"/>
                <w:color w:val="auto"/>
              </w:rPr>
              <w:t>(1.5)%</w:t>
            </w:r>
          </w:p>
        </w:tc>
        <w:tc>
          <w:tcPr>
            <w:tcW w:w="360" w:type="dxa"/>
            <w:vAlign w:val="bottom"/>
          </w:tcPr>
          <w:p>
            <w:pPr>
              <w:spacing w:after="0"/>
              <w:rPr>
                <w:sz w:val="23"/>
                <w:szCs w:val="23"/>
                <w:color w:val="auto"/>
              </w:rPr>
            </w:pP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3.0 %</w:t>
            </w:r>
          </w:p>
        </w:tc>
      </w:tr>
      <w:tr>
        <w:trPr>
          <w:trHeight w:val="41"/>
        </w:trPr>
        <w:tc>
          <w:tcPr>
            <w:tcW w:w="396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Comparable sales</w:t>
            </w:r>
          </w:p>
        </w:tc>
        <w:tc>
          <w:tcPr>
            <w:tcW w:w="260" w:type="dxa"/>
            <w:vAlign w:val="bottom"/>
          </w:tcPr>
          <w:p>
            <w:pPr>
              <w:spacing w:after="0"/>
              <w:rPr>
                <w:sz w:val="18"/>
                <w:szCs w:val="18"/>
                <w:color w:val="auto"/>
              </w:rPr>
            </w:pPr>
          </w:p>
        </w:tc>
        <w:tc>
          <w:tcPr>
            <w:tcW w:w="1500" w:type="dxa"/>
            <w:vAlign w:val="bottom"/>
          </w:tcPr>
          <w:p>
            <w:pPr>
              <w:jc w:val="right"/>
              <w:ind w:right="92"/>
              <w:spacing w:after="0" w:line="213" w:lineRule="exact"/>
              <w:rPr>
                <w:sz w:val="20"/>
                <w:szCs w:val="20"/>
                <w:color w:val="auto"/>
              </w:rPr>
            </w:pPr>
            <w:r>
              <w:rPr>
                <w:rFonts w:ascii="Calibri" w:cs="Calibri" w:eastAsia="Calibri" w:hAnsi="Calibri"/>
                <w:sz w:val="18"/>
                <w:szCs w:val="18"/>
                <w:b w:val="1"/>
                <w:bCs w:val="1"/>
                <w:color w:val="auto"/>
              </w:rPr>
              <w:t>(6.0)%</w:t>
            </w:r>
          </w:p>
        </w:tc>
        <w:tc>
          <w:tcPr>
            <w:tcW w:w="460" w:type="dxa"/>
            <w:vAlign w:val="bottom"/>
          </w:tcPr>
          <w:p>
            <w:pPr>
              <w:spacing w:after="0"/>
              <w:rPr>
                <w:sz w:val="18"/>
                <w:szCs w:val="18"/>
                <w:color w:val="auto"/>
              </w:rPr>
            </w:pPr>
          </w:p>
        </w:tc>
        <w:tc>
          <w:tcPr>
            <w:tcW w:w="1580" w:type="dxa"/>
            <w:vAlign w:val="bottom"/>
          </w:tcPr>
          <w:p>
            <w:pPr>
              <w:jc w:val="right"/>
              <w:ind w:right="92"/>
              <w:spacing w:after="0" w:line="213" w:lineRule="exact"/>
              <w:rPr>
                <w:sz w:val="20"/>
                <w:szCs w:val="20"/>
                <w:color w:val="auto"/>
              </w:rPr>
            </w:pPr>
            <w:r>
              <w:rPr>
                <w:rFonts w:ascii="Calibri" w:cs="Calibri" w:eastAsia="Calibri" w:hAnsi="Calibri"/>
                <w:sz w:val="18"/>
                <w:szCs w:val="18"/>
                <w:b w:val="1"/>
                <w:bCs w:val="1"/>
                <w:color w:val="auto"/>
              </w:rPr>
              <w:t>(3.0)%</w:t>
            </w:r>
          </w:p>
        </w:tc>
        <w:tc>
          <w:tcPr>
            <w:tcW w:w="400" w:type="dxa"/>
            <w:vAlign w:val="bottom"/>
          </w:tcPr>
          <w:p>
            <w:pPr>
              <w:spacing w:after="0"/>
              <w:rPr>
                <w:sz w:val="18"/>
                <w:szCs w:val="18"/>
                <w:color w:val="auto"/>
              </w:rPr>
            </w:pPr>
          </w:p>
        </w:tc>
        <w:tc>
          <w:tcPr>
            <w:tcW w:w="1260" w:type="dxa"/>
            <w:vAlign w:val="bottom"/>
          </w:tcPr>
          <w:p>
            <w:pPr>
              <w:jc w:val="right"/>
              <w:ind w:right="11"/>
              <w:spacing w:after="0" w:line="213" w:lineRule="exact"/>
              <w:rPr>
                <w:sz w:val="20"/>
                <w:szCs w:val="20"/>
                <w:color w:val="auto"/>
              </w:rPr>
            </w:pPr>
            <w:r>
              <w:rPr>
                <w:rFonts w:ascii="Calibri" w:cs="Calibri" w:eastAsia="Calibri" w:hAnsi="Calibri"/>
                <w:sz w:val="18"/>
                <w:szCs w:val="18"/>
                <w:color w:val="auto"/>
              </w:rPr>
              <w:t>(4.0)%</w:t>
            </w:r>
          </w:p>
        </w:tc>
        <w:tc>
          <w:tcPr>
            <w:tcW w:w="360" w:type="dxa"/>
            <w:vAlign w:val="bottom"/>
          </w:tcPr>
          <w:p>
            <w:pPr>
              <w:spacing w:after="0"/>
              <w:rPr>
                <w:sz w:val="18"/>
                <w:szCs w:val="18"/>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1.0 %</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Gross margin rate</w:t>
            </w:r>
          </w:p>
        </w:tc>
        <w:tc>
          <w:tcPr>
            <w:tcW w:w="260" w:type="dxa"/>
            <w:vAlign w:val="bottom"/>
          </w:tcPr>
          <w:p>
            <w:pPr>
              <w:spacing w:after="0"/>
              <w:rPr>
                <w:sz w:val="18"/>
                <w:szCs w:val="18"/>
                <w:color w:val="auto"/>
              </w:rPr>
            </w:pPr>
          </w:p>
        </w:tc>
        <w:tc>
          <w:tcPr>
            <w:tcW w:w="1500" w:type="dxa"/>
            <w:vAlign w:val="bottom"/>
          </w:tcPr>
          <w:p>
            <w:pPr>
              <w:jc w:val="right"/>
              <w:ind w:right="92"/>
              <w:spacing w:after="0" w:line="213" w:lineRule="exact"/>
              <w:rPr>
                <w:sz w:val="20"/>
                <w:szCs w:val="20"/>
                <w:color w:val="auto"/>
              </w:rPr>
            </w:pPr>
            <w:r>
              <w:rPr>
                <w:rFonts w:ascii="Calibri" w:cs="Calibri" w:eastAsia="Calibri" w:hAnsi="Calibri"/>
                <w:sz w:val="18"/>
                <w:szCs w:val="18"/>
                <w:b w:val="1"/>
                <w:bCs w:val="1"/>
                <w:color w:val="auto"/>
              </w:rPr>
              <w:t>34.3 %</w:t>
            </w:r>
          </w:p>
        </w:tc>
        <w:tc>
          <w:tcPr>
            <w:tcW w:w="460" w:type="dxa"/>
            <w:vAlign w:val="bottom"/>
          </w:tcPr>
          <w:p>
            <w:pPr>
              <w:spacing w:after="0"/>
              <w:rPr>
                <w:sz w:val="18"/>
                <w:szCs w:val="18"/>
                <w:color w:val="auto"/>
              </w:rPr>
            </w:pPr>
          </w:p>
        </w:tc>
        <w:tc>
          <w:tcPr>
            <w:tcW w:w="1580" w:type="dxa"/>
            <w:vAlign w:val="bottom"/>
          </w:tcPr>
          <w:p>
            <w:pPr>
              <w:jc w:val="right"/>
              <w:ind w:right="92"/>
              <w:spacing w:after="0" w:line="213" w:lineRule="exact"/>
              <w:rPr>
                <w:sz w:val="20"/>
                <w:szCs w:val="20"/>
                <w:color w:val="auto"/>
              </w:rPr>
            </w:pPr>
            <w:r>
              <w:rPr>
                <w:rFonts w:ascii="Calibri" w:cs="Calibri" w:eastAsia="Calibri" w:hAnsi="Calibri"/>
                <w:sz w:val="18"/>
                <w:szCs w:val="18"/>
                <w:b w:val="1"/>
                <w:bCs w:val="1"/>
                <w:color w:val="auto"/>
              </w:rPr>
              <w:t>34.7 %</w:t>
            </w:r>
          </w:p>
        </w:tc>
        <w:tc>
          <w:tcPr>
            <w:tcW w:w="400" w:type="dxa"/>
            <w:vAlign w:val="bottom"/>
          </w:tcPr>
          <w:p>
            <w:pPr>
              <w:spacing w:after="0"/>
              <w:rPr>
                <w:sz w:val="18"/>
                <w:szCs w:val="18"/>
                <w:color w:val="auto"/>
              </w:rPr>
            </w:pPr>
          </w:p>
        </w:tc>
        <w:tc>
          <w:tcPr>
            <w:tcW w:w="1260" w:type="dxa"/>
            <w:vAlign w:val="bottom"/>
          </w:tcPr>
          <w:p>
            <w:pPr>
              <w:jc w:val="right"/>
              <w:ind w:right="11"/>
              <w:spacing w:after="0" w:line="213" w:lineRule="exact"/>
              <w:rPr>
                <w:sz w:val="20"/>
                <w:szCs w:val="20"/>
                <w:color w:val="auto"/>
              </w:rPr>
            </w:pPr>
            <w:r>
              <w:rPr>
                <w:rFonts w:ascii="Calibri" w:cs="Calibri" w:eastAsia="Calibri" w:hAnsi="Calibri"/>
                <w:sz w:val="18"/>
                <w:szCs w:val="18"/>
                <w:color w:val="auto"/>
              </w:rPr>
              <w:t>34.3 %</w:t>
            </w:r>
          </w:p>
        </w:tc>
        <w:tc>
          <w:tcPr>
            <w:tcW w:w="360" w:type="dxa"/>
            <w:vAlign w:val="bottom"/>
          </w:tcPr>
          <w:p>
            <w:pPr>
              <w:spacing w:after="0"/>
              <w:rPr>
                <w:sz w:val="18"/>
                <w:szCs w:val="18"/>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34.7 %</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net income</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b w:val="1"/>
                <w:bCs w:val="1"/>
                <w:color w:val="auto"/>
              </w:rPr>
              <w:t>400.0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460.0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91"/>
              <w:spacing w:after="0" w:line="213" w:lineRule="exact"/>
              <w:rPr>
                <w:sz w:val="20"/>
                <w:szCs w:val="20"/>
                <w:color w:val="auto"/>
              </w:rPr>
            </w:pPr>
            <w:r>
              <w:rPr>
                <w:rFonts w:ascii="Calibri" w:cs="Calibri" w:eastAsia="Calibri" w:hAnsi="Calibri"/>
                <w:sz w:val="18"/>
                <w:szCs w:val="18"/>
                <w:color w:val="auto"/>
              </w:rPr>
              <w:t>455.0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32"/>
              <w:spacing w:after="0" w:line="213" w:lineRule="exact"/>
              <w:rPr>
                <w:sz w:val="20"/>
                <w:szCs w:val="20"/>
                <w:color w:val="auto"/>
              </w:rPr>
            </w:pPr>
            <w:r>
              <w:rPr>
                <w:rFonts w:ascii="Calibri" w:cs="Calibri" w:eastAsia="Calibri" w:hAnsi="Calibri"/>
                <w:sz w:val="18"/>
                <w:szCs w:val="18"/>
                <w:color w:val="auto"/>
              </w:rPr>
              <w:t>530.0</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63"/>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(1)</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b w:val="1"/>
                <w:bCs w:val="1"/>
                <w:color w:val="auto"/>
              </w:rPr>
              <w:t>420.0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480.0</w:t>
            </w:r>
          </w:p>
        </w:tc>
        <w:tc>
          <w:tcPr>
            <w:tcW w:w="400" w:type="dxa"/>
            <w:vAlign w:val="bottom"/>
          </w:tcPr>
          <w:p>
            <w:pPr>
              <w:spacing w:after="0"/>
              <w:rPr>
                <w:sz w:val="22"/>
                <w:szCs w:val="22"/>
                <w:color w:val="auto"/>
              </w:rPr>
            </w:pPr>
          </w:p>
        </w:tc>
        <w:tc>
          <w:tcPr>
            <w:tcW w:w="1260" w:type="dxa"/>
            <w:vAlign w:val="bottom"/>
          </w:tcPr>
          <w:p>
            <w:pPr>
              <w:jc w:val="right"/>
              <w:ind w:right="11"/>
              <w:spacing w:after="0" w:line="213"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22"/>
                <w:szCs w:val="22"/>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w:t>
            </w: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earnings per common share, diluted</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b w:val="1"/>
                <w:bCs w:val="1"/>
                <w:color w:val="auto"/>
              </w:rPr>
              <w:t>5.45</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6.20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91"/>
              <w:spacing w:after="0" w:line="213" w:lineRule="exact"/>
              <w:rPr>
                <w:sz w:val="20"/>
                <w:szCs w:val="20"/>
                <w:color w:val="auto"/>
              </w:rPr>
            </w:pPr>
            <w:r>
              <w:rPr>
                <w:rFonts w:ascii="Calibri" w:cs="Calibri" w:eastAsia="Calibri" w:hAnsi="Calibri"/>
                <w:sz w:val="18"/>
                <w:szCs w:val="18"/>
                <w:color w:val="auto"/>
              </w:rPr>
              <w:t>6.05</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32"/>
              <w:spacing w:after="0" w:line="213" w:lineRule="exact"/>
              <w:rPr>
                <w:sz w:val="20"/>
                <w:szCs w:val="20"/>
                <w:color w:val="auto"/>
              </w:rPr>
            </w:pPr>
            <w:r>
              <w:rPr>
                <w:rFonts w:ascii="Calibri" w:cs="Calibri" w:eastAsia="Calibri" w:hAnsi="Calibri"/>
                <w:sz w:val="18"/>
                <w:szCs w:val="18"/>
                <w:color w:val="auto"/>
              </w:rPr>
              <w:t>7.05</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63"/>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b w:val="1"/>
                <w:bCs w:val="1"/>
                <w:color w:val="auto"/>
              </w:rPr>
              <w:t>5.75</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6.50</w:t>
            </w:r>
          </w:p>
        </w:tc>
        <w:tc>
          <w:tcPr>
            <w:tcW w:w="400" w:type="dxa"/>
            <w:vAlign w:val="bottom"/>
          </w:tcPr>
          <w:p>
            <w:pPr>
              <w:spacing w:after="0"/>
              <w:rPr>
                <w:sz w:val="22"/>
                <w:szCs w:val="22"/>
                <w:color w:val="auto"/>
              </w:rPr>
            </w:pPr>
          </w:p>
        </w:tc>
        <w:tc>
          <w:tcPr>
            <w:tcW w:w="1260" w:type="dxa"/>
            <w:vAlign w:val="bottom"/>
          </w:tcPr>
          <w:p>
            <w:pPr>
              <w:jc w:val="right"/>
              <w:ind w:right="11"/>
              <w:spacing w:after="0" w:line="213"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22"/>
                <w:szCs w:val="22"/>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w:t>
            </w: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w w:val="98"/>
              </w:rPr>
              <w:t>Diluted weighted average common shares outstanding</w:t>
            </w:r>
          </w:p>
        </w:tc>
        <w:tc>
          <w:tcPr>
            <w:tcW w:w="260" w:type="dxa"/>
            <w:vAlign w:val="bottom"/>
          </w:tcPr>
          <w:p>
            <w:pPr>
              <w:spacing w:after="0"/>
              <w:rPr>
                <w:sz w:val="18"/>
                <w:szCs w:val="18"/>
                <w:color w:val="auto"/>
              </w:rPr>
            </w:pP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b w:val="1"/>
                <w:bCs w:val="1"/>
                <w:color w:val="auto"/>
              </w:rPr>
              <w:t>73.5</w:t>
            </w:r>
          </w:p>
        </w:tc>
        <w:tc>
          <w:tcPr>
            <w:tcW w:w="460" w:type="dxa"/>
            <w:vAlign w:val="bottom"/>
          </w:tcPr>
          <w:p>
            <w:pPr>
              <w:spacing w:after="0"/>
              <w:rPr>
                <w:sz w:val="18"/>
                <w:szCs w:val="18"/>
                <w:color w:val="auto"/>
              </w:rPr>
            </w:pP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b w:val="1"/>
                <w:bCs w:val="1"/>
                <w:color w:val="auto"/>
              </w:rPr>
              <w:t>73.5</w:t>
            </w:r>
          </w:p>
        </w:tc>
        <w:tc>
          <w:tcPr>
            <w:tcW w:w="400" w:type="dxa"/>
            <w:vAlign w:val="bottom"/>
          </w:tcPr>
          <w:p>
            <w:pPr>
              <w:spacing w:after="0"/>
              <w:rPr>
                <w:sz w:val="18"/>
                <w:szCs w:val="18"/>
                <w:color w:val="auto"/>
              </w:rPr>
            </w:pPr>
          </w:p>
        </w:tc>
        <w:tc>
          <w:tcPr>
            <w:tcW w:w="1260" w:type="dxa"/>
            <w:vAlign w:val="bottom"/>
          </w:tcPr>
          <w:p>
            <w:pPr>
              <w:jc w:val="right"/>
              <w:ind w:right="231"/>
              <w:spacing w:after="0" w:line="213" w:lineRule="exact"/>
              <w:rPr>
                <w:sz w:val="20"/>
                <w:szCs w:val="20"/>
                <w:color w:val="auto"/>
              </w:rPr>
            </w:pPr>
            <w:r>
              <w:rPr>
                <w:rFonts w:ascii="Calibri" w:cs="Calibri" w:eastAsia="Calibri" w:hAnsi="Calibri"/>
                <w:sz w:val="18"/>
                <w:szCs w:val="18"/>
                <w:color w:val="auto"/>
              </w:rPr>
              <w:t>~75</w:t>
            </w:r>
          </w:p>
        </w:tc>
        <w:tc>
          <w:tcPr>
            <w:tcW w:w="360" w:type="dxa"/>
            <w:vAlign w:val="bottom"/>
          </w:tcPr>
          <w:p>
            <w:pPr>
              <w:spacing w:after="0"/>
              <w:rPr>
                <w:sz w:val="18"/>
                <w:szCs w:val="18"/>
                <w:color w:val="auto"/>
              </w:rPr>
            </w:pPr>
          </w:p>
        </w:tc>
        <w:tc>
          <w:tcPr>
            <w:tcW w:w="1340" w:type="dxa"/>
            <w:vAlign w:val="bottom"/>
            <w:tcBorders>
              <w:right w:val="single" w:sz="8" w:color="auto"/>
            </w:tcBorders>
          </w:tcPr>
          <w:p>
            <w:pPr>
              <w:jc w:val="right"/>
              <w:ind w:right="172"/>
              <w:spacing w:after="0" w:line="213" w:lineRule="exact"/>
              <w:rPr>
                <w:sz w:val="20"/>
                <w:szCs w:val="20"/>
                <w:color w:val="auto"/>
              </w:rPr>
            </w:pPr>
            <w:r>
              <w:rPr>
                <w:rFonts w:ascii="Calibri" w:cs="Calibri" w:eastAsia="Calibri" w:hAnsi="Calibri"/>
                <w:sz w:val="18"/>
                <w:szCs w:val="18"/>
                <w:color w:val="auto"/>
              </w:rPr>
              <w:t>~75</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Capital expenditures</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312"/>
              <w:spacing w:after="0" w:line="213" w:lineRule="exact"/>
              <w:rPr>
                <w:sz w:val="20"/>
                <w:szCs w:val="20"/>
                <w:color w:val="auto"/>
              </w:rPr>
            </w:pPr>
            <w:r>
              <w:rPr>
                <w:rFonts w:ascii="Calibri" w:cs="Calibri" w:eastAsia="Calibri" w:hAnsi="Calibri"/>
                <w:sz w:val="18"/>
                <w:szCs w:val="18"/>
                <w:b w:val="1"/>
                <w:bCs w:val="1"/>
                <w:color w:val="auto"/>
              </w:rPr>
              <w:t>175</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312"/>
              <w:spacing w:after="0" w:line="213" w:lineRule="exact"/>
              <w:rPr>
                <w:sz w:val="20"/>
                <w:szCs w:val="20"/>
                <w:color w:val="auto"/>
              </w:rPr>
            </w:pPr>
            <w:r>
              <w:rPr>
                <w:rFonts w:ascii="Calibri" w:cs="Calibri" w:eastAsia="Calibri" w:hAnsi="Calibri"/>
                <w:sz w:val="18"/>
                <w:szCs w:val="18"/>
                <w:b w:val="1"/>
                <w:bCs w:val="1"/>
                <w:color w:val="auto"/>
              </w:rPr>
              <w:t>225</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231"/>
              <w:spacing w:after="0" w:line="213" w:lineRule="exact"/>
              <w:rPr>
                <w:sz w:val="20"/>
                <w:szCs w:val="20"/>
                <w:color w:val="auto"/>
              </w:rPr>
            </w:pPr>
            <w:r>
              <w:rPr>
                <w:rFonts w:ascii="Calibri" w:cs="Calibri" w:eastAsia="Calibri" w:hAnsi="Calibri"/>
                <w:sz w:val="18"/>
                <w:szCs w:val="18"/>
                <w:color w:val="auto"/>
              </w:rPr>
              <w:t>225</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72"/>
              <w:spacing w:after="0" w:line="213" w:lineRule="exact"/>
              <w:rPr>
                <w:sz w:val="20"/>
                <w:szCs w:val="20"/>
                <w:color w:val="auto"/>
              </w:rPr>
            </w:pPr>
            <w:r>
              <w:rPr>
                <w:rFonts w:ascii="Calibri" w:cs="Calibri" w:eastAsia="Calibri" w:hAnsi="Calibri"/>
                <w:sz w:val="18"/>
                <w:szCs w:val="18"/>
                <w:color w:val="auto"/>
              </w:rPr>
              <w:t>275</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45"/>
        </w:trPr>
        <w:tc>
          <w:tcPr>
            <w:tcW w:w="3960" w:type="dxa"/>
            <w:vAlign w:val="bottom"/>
            <w:tcBorders>
              <w:left w:val="single" w:sz="8" w:color="auto"/>
            </w:tcBorders>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0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340" w:type="dxa"/>
            <w:vAlign w:val="bottom"/>
            <w:tcBorders>
              <w:right w:val="single" w:sz="8" w:color="auto"/>
            </w:tcBorders>
            <w:shd w:val="clear" w:color="auto" w:fill="DBDBDB"/>
          </w:tcPr>
          <w:p>
            <w:pPr>
              <w:spacing w:after="0"/>
              <w:rPr>
                <w:sz w:val="12"/>
                <w:szCs w:val="12"/>
                <w:color w:val="auto"/>
              </w:rPr>
            </w:pPr>
          </w:p>
        </w:tc>
      </w:tr>
      <w:tr>
        <w:trPr>
          <w:trHeight w:val="264"/>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free cash fow </w:t>
            </w:r>
            <w:r>
              <w:rPr>
                <w:rFonts w:ascii="Calibri" w:cs="Calibri" w:eastAsia="Calibri" w:hAnsi="Calibri"/>
                <w:sz w:val="22"/>
                <w:szCs w:val="22"/>
                <w:color w:val="auto"/>
                <w:vertAlign w:val="superscript"/>
              </w:rPr>
              <w:t>(2)</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Pr>
          <w:p>
            <w:pPr>
              <w:jc w:val="right"/>
              <w:ind w:right="312"/>
              <w:spacing w:after="0" w:line="213" w:lineRule="exact"/>
              <w:rPr>
                <w:sz w:val="20"/>
                <w:szCs w:val="20"/>
                <w:color w:val="auto"/>
              </w:rPr>
            </w:pPr>
            <w:r>
              <w:rPr>
                <w:rFonts w:ascii="Calibri" w:cs="Calibri" w:eastAsia="Calibri" w:hAnsi="Calibri"/>
                <w:sz w:val="18"/>
                <w:szCs w:val="18"/>
                <w:b w:val="1"/>
                <w:bCs w:val="1"/>
                <w:color w:val="auto"/>
              </w:rPr>
              <w:t>290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b w:val="1"/>
                <w:bCs w:val="1"/>
                <w:color w:val="auto"/>
              </w:rPr>
              <w:t>$</w:t>
            </w:r>
          </w:p>
        </w:tc>
        <w:tc>
          <w:tcPr>
            <w:tcW w:w="1580" w:type="dxa"/>
            <w:vAlign w:val="bottom"/>
          </w:tcPr>
          <w:p>
            <w:pPr>
              <w:jc w:val="right"/>
              <w:ind w:right="312"/>
              <w:spacing w:after="0" w:line="213" w:lineRule="exact"/>
              <w:rPr>
                <w:sz w:val="20"/>
                <w:szCs w:val="20"/>
                <w:color w:val="auto"/>
              </w:rPr>
            </w:pPr>
            <w:r>
              <w:rPr>
                <w:rFonts w:ascii="Calibri" w:cs="Calibri" w:eastAsia="Calibri" w:hAnsi="Calibri"/>
                <w:sz w:val="18"/>
                <w:szCs w:val="18"/>
                <w:b w:val="1"/>
                <w:bCs w:val="1"/>
                <w:color w:val="auto"/>
              </w:rPr>
              <w:t>340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231"/>
              <w:spacing w:after="0" w:line="213" w:lineRule="exact"/>
              <w:rPr>
                <w:sz w:val="20"/>
                <w:szCs w:val="20"/>
                <w:color w:val="auto"/>
              </w:rPr>
            </w:pPr>
            <w:r>
              <w:rPr>
                <w:rFonts w:ascii="Calibri" w:cs="Calibri" w:eastAsia="Calibri" w:hAnsi="Calibri"/>
                <w:sz w:val="18"/>
                <w:szCs w:val="18"/>
                <w:color w:val="auto"/>
              </w:rPr>
              <w:t>290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72"/>
              <w:spacing w:after="0" w:line="213" w:lineRule="exact"/>
              <w:rPr>
                <w:sz w:val="20"/>
                <w:szCs w:val="20"/>
                <w:color w:val="auto"/>
              </w:rPr>
            </w:pPr>
            <w:r>
              <w:rPr>
                <w:rFonts w:ascii="Calibri" w:cs="Calibri" w:eastAsia="Calibri" w:hAnsi="Calibri"/>
                <w:sz w:val="18"/>
                <w:szCs w:val="18"/>
                <w:color w:val="auto"/>
              </w:rPr>
              <w:t>375</w:t>
            </w:r>
          </w:p>
        </w:tc>
      </w:tr>
      <w:tr>
        <w:trPr>
          <w:trHeight w:val="92"/>
        </w:trPr>
        <w:tc>
          <w:tcPr>
            <w:tcW w:w="39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r>
    </w:tbl>
    <w:p>
      <w:pPr>
        <w:spacing w:after="0" w:line="8" w:lineRule="exact"/>
        <w:rPr>
          <w:sz w:val="20"/>
          <w:szCs w:val="20"/>
          <w:color w:val="auto"/>
        </w:rPr>
      </w:pPr>
    </w:p>
    <w:p>
      <w:pPr>
        <w:ind w:left="100" w:right="80" w:hanging="5"/>
        <w:spacing w:after="0" w:line="286" w:lineRule="auto"/>
        <w:tabs>
          <w:tab w:leader="none" w:pos="302"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 did not provide guidance for Adjusted net income and Adjusted earnings per share prior to this release. See "Non-GAAP Measures" and "Reconciliations of GAAP to Non-GAAP Financial Measures" below for reconciliations of non-GAAP financial measures to their most directly comparable GAAP financial measures.</w:t>
      </w:r>
    </w:p>
    <w:p>
      <w:pPr>
        <w:jc w:val="both"/>
        <w:ind w:left="100" w:right="80" w:hanging="5"/>
        <w:spacing w:after="0" w:line="260" w:lineRule="auto"/>
        <w:tabs>
          <w:tab w:leader="none" w:pos="303"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free cash flow is a non-GAAP measure. We have not reconciled it to the most comparable GAAP measure because it is not possible to do so without unreasonable efforts given the uncertainty and potential variability of reconciling items, which are dependent on future events and often outside of management's control and could be significant; therefore, we are unable to provide an estimate of the most closely comparable GAAP measure at this time.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Note: Fiscal 2023 included 53 weeks compared to 52 weeks in fiscal 2024.</w:t>
      </w:r>
    </w:p>
    <w:p>
      <w:pPr>
        <w:spacing w:after="0" w:line="3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earnings per common share guidance reflects a tax rate of approximately 23.0% and does not include any potential future share repurchases using the $476 million remaining authorization.</w:t>
      </w:r>
    </w:p>
    <w:p>
      <w:pPr>
        <w:sectPr>
          <w:pgSz w:w="11900" w:h="16838" w:orient="portrait"/>
          <w:cols w:equalWidth="0" w:num="1">
            <w:col w:w="11240"/>
          </w:cols>
          <w:pgMar w:left="320" w:top="462" w:right="339" w:bottom="1440" w:gutter="0" w:footer="0" w:header="0"/>
        </w:sectPr>
      </w:pPr>
    </w:p>
    <w:p>
      <w:pPr>
        <w:spacing w:after="0" w:line="18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6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The call will be webcast at </w:t>
      </w:r>
      <w:r>
        <w:rPr>
          <w:rFonts w:ascii="Arial" w:cs="Arial" w:eastAsia="Arial" w:hAnsi="Arial"/>
          <w:sz w:val="18"/>
          <w:szCs w:val="18"/>
          <w:u w:val="single" w:color="auto"/>
          <w:color w:val="0E32E1"/>
        </w:rPr>
        <w:t>investors.academy.com.</w:t>
      </w:r>
      <w:r>
        <w:rPr>
          <w:rFonts w:ascii="Arial" w:cs="Arial" w:eastAsia="Arial" w:hAnsi="Arial"/>
          <w:sz w:val="18"/>
          <w:szCs w:val="18"/>
          <w:color w:val="0E32E1"/>
        </w:rPr>
        <w:t xml:space="preserve"> </w:t>
      </w:r>
      <w:r>
        <w:rPr>
          <w:rFonts w:ascii="Arial" w:cs="Arial" w:eastAsia="Arial" w:hAnsi="Arial"/>
          <w:sz w:val="18"/>
          <w:szCs w:val="18"/>
          <w:color w:val="000000"/>
        </w:rPr>
        <w:t>The following information is provided for those who would like to participate in the conference call:</w:t>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U.S. callers</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1-877-407-3982</w:t>
            </w: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color w:val="auto"/>
              </w:rPr>
              <w:t>International callers</w:t>
            </w:r>
          </w:p>
        </w:tc>
        <w:tc>
          <w:tcPr>
            <w:tcW w:w="1440" w:type="dxa"/>
            <w:vAlign w:val="bottom"/>
          </w:tcPr>
          <w:p>
            <w:pPr>
              <w:jc w:val="right"/>
              <w:spacing w:after="0"/>
              <w:rPr>
                <w:sz w:val="20"/>
                <w:szCs w:val="20"/>
                <w:color w:val="auto"/>
              </w:rPr>
            </w:pPr>
            <w:r>
              <w:rPr>
                <w:rFonts w:ascii="Arial" w:cs="Arial" w:eastAsia="Arial" w:hAnsi="Arial"/>
                <w:sz w:val="18"/>
                <w:szCs w:val="18"/>
                <w:color w:val="auto"/>
              </w:rPr>
              <w:t>1-201-493-6780</w:t>
            </w:r>
          </w:p>
        </w:tc>
      </w:tr>
      <w:tr>
        <w:trPr>
          <w:trHeight w:val="231"/>
        </w:trPr>
        <w:tc>
          <w:tcPr>
            <w:tcW w:w="1140" w:type="dxa"/>
            <w:vAlign w:val="bottom"/>
          </w:tcPr>
          <w:p>
            <w:pPr>
              <w:spacing w:after="0"/>
              <w:rPr>
                <w:sz w:val="20"/>
                <w:szCs w:val="20"/>
                <w:color w:val="auto"/>
              </w:rPr>
            </w:pPr>
            <w:r>
              <w:rPr>
                <w:rFonts w:ascii="Arial" w:cs="Arial" w:eastAsia="Arial" w:hAnsi="Arial"/>
                <w:sz w:val="18"/>
                <w:szCs w:val="18"/>
                <w:color w:val="auto"/>
              </w:rPr>
              <w:t>Passcode</w:t>
            </w:r>
          </w:p>
        </w:tc>
        <w:tc>
          <w:tcPr>
            <w:tcW w:w="2020" w:type="dxa"/>
            <w:vAlign w:val="bottom"/>
            <w:gridSpan w:val="2"/>
          </w:tcPr>
          <w:p>
            <w:pPr>
              <w:jc w:val="right"/>
              <w:ind w:right="892"/>
              <w:spacing w:after="0"/>
              <w:rPr>
                <w:sz w:val="20"/>
                <w:szCs w:val="20"/>
                <w:color w:val="auto"/>
              </w:rPr>
            </w:pPr>
            <w:r>
              <w:rPr>
                <w:rFonts w:ascii="Arial" w:cs="Arial" w:eastAsia="Arial" w:hAnsi="Arial"/>
                <w:sz w:val="18"/>
                <w:szCs w:val="18"/>
                <w:color w:val="auto"/>
              </w:rPr>
              <w:t>13748429</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285 stores across 19 states as of the end of the quarter.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7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Non-GAAP Measures</w:t>
      </w:r>
    </w:p>
    <w:p>
      <w:pPr>
        <w:jc w:val="both"/>
        <w:spacing w:after="0" w:line="228"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w:t>
      </w:r>
    </w:p>
    <w:p>
      <w:pPr>
        <w:spacing w:after="0" w:line="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financial measures, please see our Annual Report for the fiscal year ended February 3, 2024 (the "Annual Report"), and our most recent Quarterly Report, which may be updated from time to time in our periodic filings with the Securities and Exchange Commission (the "SEC"),</w:t>
      </w:r>
    </w:p>
    <w:p>
      <w:pPr>
        <w:spacing w:after="0"/>
        <w:rPr>
          <w:sz w:val="20"/>
          <w:szCs w:val="20"/>
          <w:color w:val="auto"/>
        </w:rPr>
      </w:pPr>
      <w:r>
        <w:rPr>
          <w:rFonts w:ascii="Arial" w:cs="Arial" w:eastAsia="Arial" w:hAnsi="Arial"/>
          <w:sz w:val="18"/>
          <w:szCs w:val="18"/>
          <w:color w:val="auto"/>
        </w:rPr>
        <w:t xml:space="preserve">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to their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jc w:val="both"/>
        <w:spacing w:after="0" w:line="25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2024 outlook, the Company’s strategic plans and financial objectives, including the implementation of such plans, the growth of the Company’s business and operations, including the opening of new stores and the expansion into new markets, the rollout of new warehouse management and other systems, the Company’s payment of dividends and declaration of future dividends, including the timing and amount thereof, share repurchases by the Company, the Company's expectations regarding its future performance and future financial condition, and other such matters, and are subject to various risks, uncertainties, assumptions, or changes in circumstances that are difficult to predict or quantify. Actual</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results may differ materially from these expectations due to changes in global, regional, or local economic, business, competitive, market, regulatory, environmental, and other factors that could affect overall consumer spending or our industry, including the possible effects of ongoing</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macroeconomic challenges, inflation and increases in interest rates,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080" w:type="dxa"/>
            <w:vAlign w:val="bottom"/>
            <w:gridSpan w:val="3"/>
          </w:tcPr>
          <w:p>
            <w:pPr>
              <w:ind w:left="1020"/>
              <w:spacing w:after="0"/>
              <w:rPr>
                <w:sz w:val="20"/>
                <w:szCs w:val="20"/>
                <w:color w:val="auto"/>
              </w:rPr>
            </w:pPr>
            <w:r>
              <w:rPr>
                <w:rFonts w:ascii="Arial" w:cs="Arial" w:eastAsia="Arial" w:hAnsi="Arial"/>
                <w:sz w:val="18"/>
                <w:szCs w:val="18"/>
                <w:b w:val="1"/>
                <w:bCs w:val="1"/>
                <w:color w:val="auto"/>
              </w:rPr>
              <w:t>Media Contact</w:t>
            </w:r>
          </w:p>
        </w:tc>
      </w:tr>
      <w:tr>
        <w:trPr>
          <w:trHeight w:val="26"/>
        </w:trPr>
        <w:tc>
          <w:tcPr>
            <w:tcW w:w="138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80"/>
        </w:trPr>
        <w:tc>
          <w:tcPr>
            <w:tcW w:w="1380" w:type="dxa"/>
            <w:vAlign w:val="bottom"/>
          </w:tcPr>
          <w:p>
            <w:pPr>
              <w:spacing w:after="0"/>
              <w:rPr>
                <w:sz w:val="20"/>
                <w:szCs w:val="20"/>
                <w:color w:val="auto"/>
              </w:rPr>
            </w:pPr>
            <w:r>
              <w:rPr>
                <w:rFonts w:ascii="Arial" w:cs="Arial" w:eastAsia="Arial" w:hAnsi="Arial"/>
                <w:sz w:val="18"/>
                <w:szCs w:val="18"/>
                <w:color w:val="auto"/>
              </w:rPr>
              <w:t>Matt Hodges</w:t>
            </w:r>
          </w:p>
        </w:tc>
        <w:tc>
          <w:tcPr>
            <w:tcW w:w="1880" w:type="dxa"/>
            <w:vAlign w:val="bottom"/>
          </w:tcPr>
          <w:p>
            <w:pPr>
              <w:spacing w:after="0"/>
              <w:rPr>
                <w:sz w:val="24"/>
                <w:szCs w:val="24"/>
                <w:color w:val="auto"/>
              </w:rPr>
            </w:pP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rPr>
              <w:t>Allan Rojas</w:t>
            </w: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w w:val="98"/>
              </w:rPr>
              <w:t>Director, Communications</w:t>
            </w: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281-646-5362</w:t>
            </w:r>
          </w:p>
        </w:tc>
        <w:tc>
          <w:tcPr>
            <w:tcW w:w="18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Arial" w:cs="Arial" w:eastAsia="Arial" w:hAnsi="Arial"/>
                <w:sz w:val="18"/>
                <w:szCs w:val="18"/>
                <w:color w:val="auto"/>
              </w:rPr>
              <w:t>281-944-6048</w:t>
            </w:r>
          </w:p>
        </w:tc>
        <w:tc>
          <w:tcPr>
            <w:tcW w:w="860" w:type="dxa"/>
            <w:vAlign w:val="bottom"/>
          </w:tcPr>
          <w:p>
            <w:pPr>
              <w:spacing w:after="0"/>
              <w:rPr>
                <w:sz w:val="22"/>
                <w:szCs w:val="22"/>
                <w:color w:val="auto"/>
              </w:rPr>
            </w:pP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080" w:type="dxa"/>
            <w:vAlign w:val="bottom"/>
            <w:gridSpan w:val="3"/>
          </w:tcPr>
          <w:p>
            <w:pPr>
              <w:ind w:left="1020"/>
              <w:spacing w:after="0"/>
              <w:rPr>
                <w:sz w:val="20"/>
                <w:szCs w:val="20"/>
                <w:color w:val="auto"/>
              </w:rPr>
            </w:pPr>
            <w:r>
              <w:rPr>
                <w:rFonts w:ascii="Arial" w:cs="Arial" w:eastAsia="Arial" w:hAnsi="Arial"/>
                <w:sz w:val="18"/>
                <w:szCs w:val="18"/>
                <w:color w:val="auto"/>
                <w:w w:val="96"/>
              </w:rPr>
              <w:t>allan.rojas@academy.com</w:t>
            </w:r>
          </w:p>
        </w:tc>
      </w:tr>
    </w:tbl>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4000" w:type="dxa"/>
            <w:vAlign w:val="bottom"/>
          </w:tcPr>
          <w:p>
            <w:pPr>
              <w:spacing w:after="0"/>
              <w:rPr>
                <w:sz w:val="23"/>
                <w:szCs w:val="23"/>
                <w:color w:val="auto"/>
              </w:rPr>
            </w:pPr>
          </w:p>
        </w:tc>
        <w:tc>
          <w:tcPr>
            <w:tcW w:w="180" w:type="dxa"/>
            <w:vAlign w:val="bottom"/>
            <w:tcBorders>
              <w:bottom w:val="single" w:sz="8" w:color="1928A0"/>
            </w:tcBorders>
            <w:shd w:val="clear" w:color="auto" w:fill="1928A0"/>
          </w:tcPr>
          <w:p>
            <w:pPr>
              <w:spacing w:after="0"/>
              <w:rPr>
                <w:sz w:val="23"/>
                <w:szCs w:val="23"/>
                <w:color w:val="auto"/>
              </w:rPr>
            </w:pPr>
          </w:p>
        </w:tc>
        <w:tc>
          <w:tcPr>
            <w:tcW w:w="1520" w:type="dxa"/>
            <w:vAlign w:val="bottom"/>
            <w:tcBorders>
              <w:bottom w:val="single" w:sz="8" w:color="1928A0"/>
            </w:tcBorders>
            <w:shd w:val="clear" w:color="auto" w:fill="1928A0"/>
          </w:tcPr>
          <w:p>
            <w:pPr>
              <w:spacing w:after="0"/>
              <w:rPr>
                <w:sz w:val="23"/>
                <w:szCs w:val="23"/>
                <w:color w:val="auto"/>
              </w:rPr>
            </w:pPr>
          </w:p>
        </w:tc>
        <w:tc>
          <w:tcPr>
            <w:tcW w:w="3720" w:type="dxa"/>
            <w:vAlign w:val="bottom"/>
            <w:tcBorders>
              <w:bottom w:val="single" w:sz="8" w:color="1928A0"/>
            </w:tcBorders>
            <w:gridSpan w:val="3"/>
            <w:shd w:val="clear" w:color="auto" w:fill="1928A0"/>
          </w:tcPr>
          <w:p>
            <w:pPr>
              <w:jc w:val="right"/>
              <w:ind w:right="832"/>
              <w:spacing w:after="0"/>
              <w:rPr>
                <w:sz w:val="20"/>
                <w:szCs w:val="20"/>
                <w:color w:val="auto"/>
              </w:rPr>
            </w:pPr>
            <w:r>
              <w:rPr>
                <w:rFonts w:ascii="Calibri" w:cs="Calibri" w:eastAsia="Calibri" w:hAnsi="Calibri"/>
                <w:sz w:val="19"/>
                <w:szCs w:val="19"/>
                <w:b w:val="1"/>
                <w:bCs w:val="1"/>
                <w:color w:val="FFFFFF"/>
              </w:rPr>
              <w:t>Thirteen Weeks Ended</w:t>
            </w:r>
          </w:p>
        </w:tc>
        <w:tc>
          <w:tcPr>
            <w:tcW w:w="1760" w:type="dxa"/>
            <w:vAlign w:val="bottom"/>
            <w:tcBorders>
              <w:bottom w:val="single" w:sz="8" w:color="1928A0"/>
            </w:tcBorders>
            <w:shd w:val="clear" w:color="auto" w:fill="1928A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80" w:type="dxa"/>
            <w:vAlign w:val="bottom"/>
            <w:shd w:val="clear" w:color="auto" w:fill="0A2299"/>
          </w:tcPr>
          <w:p>
            <w:pPr>
              <w:spacing w:after="0"/>
              <w:rPr>
                <w:sz w:val="19"/>
                <w:szCs w:val="19"/>
                <w:color w:val="auto"/>
              </w:rPr>
            </w:pPr>
          </w:p>
        </w:tc>
        <w:tc>
          <w:tcPr>
            <w:tcW w:w="1520" w:type="dxa"/>
            <w:vAlign w:val="bottom"/>
            <w:shd w:val="clear" w:color="auto" w:fill="0A2299"/>
          </w:tcPr>
          <w:p>
            <w:pPr>
              <w:spacing w:after="0"/>
              <w:rPr>
                <w:sz w:val="19"/>
                <w:szCs w:val="19"/>
                <w:color w:val="auto"/>
              </w:rPr>
            </w:pPr>
          </w:p>
        </w:tc>
        <w:tc>
          <w:tcPr>
            <w:tcW w:w="2000" w:type="dxa"/>
            <w:vAlign w:val="bottom"/>
            <w:vMerge w:val="restart"/>
            <w:shd w:val="clear" w:color="auto" w:fill="0A2299"/>
          </w:tcPr>
          <w:p>
            <w:pPr>
              <w:jc w:val="right"/>
              <w:ind w:right="134"/>
              <w:spacing w:after="0"/>
              <w:rPr>
                <w:sz w:val="20"/>
                <w:szCs w:val="20"/>
                <w:color w:val="auto"/>
              </w:rPr>
            </w:pPr>
            <w:r>
              <w:rPr>
                <w:rFonts w:ascii="Arial" w:cs="Arial" w:eastAsia="Arial" w:hAnsi="Arial"/>
                <w:sz w:val="18"/>
                <w:szCs w:val="18"/>
                <w:b w:val="1"/>
                <w:bCs w:val="1"/>
                <w:color w:val="FFFFFF"/>
              </w:rPr>
              <w:t>Percentage of Sales</w:t>
            </w:r>
          </w:p>
        </w:tc>
        <w:tc>
          <w:tcPr>
            <w:tcW w:w="220" w:type="dxa"/>
            <w:vAlign w:val="bottom"/>
            <w:shd w:val="clear" w:color="auto" w:fill="0A2299"/>
          </w:tcPr>
          <w:p>
            <w:pPr>
              <w:spacing w:after="0"/>
              <w:rPr>
                <w:sz w:val="19"/>
                <w:szCs w:val="19"/>
                <w:color w:val="auto"/>
              </w:rPr>
            </w:pPr>
          </w:p>
        </w:tc>
        <w:tc>
          <w:tcPr>
            <w:tcW w:w="1500" w:type="dxa"/>
            <w:vAlign w:val="bottom"/>
            <w:shd w:val="clear" w:color="auto" w:fill="0A2299"/>
          </w:tcPr>
          <w:p>
            <w:pPr>
              <w:spacing w:after="0"/>
              <w:rPr>
                <w:sz w:val="19"/>
                <w:szCs w:val="19"/>
                <w:color w:val="auto"/>
              </w:rPr>
            </w:pPr>
          </w:p>
        </w:tc>
        <w:tc>
          <w:tcPr>
            <w:tcW w:w="1760" w:type="dxa"/>
            <w:vAlign w:val="bottom"/>
            <w:shd w:val="clear" w:color="auto" w:fill="0A2299"/>
          </w:tcPr>
          <w:p>
            <w:pPr>
              <w:jc w:val="right"/>
              <w:ind w:right="172"/>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80" w:type="dxa"/>
            <w:vAlign w:val="bottom"/>
            <w:shd w:val="clear" w:color="auto" w:fill="0A2299"/>
          </w:tcPr>
          <w:p>
            <w:pPr>
              <w:spacing w:after="0"/>
              <w:rPr>
                <w:sz w:val="4"/>
                <w:szCs w:val="4"/>
                <w:color w:val="auto"/>
              </w:rPr>
            </w:pPr>
          </w:p>
        </w:tc>
        <w:tc>
          <w:tcPr>
            <w:tcW w:w="1520" w:type="dxa"/>
            <w:vAlign w:val="bottom"/>
            <w:vMerge w:val="restart"/>
            <w:shd w:val="clear" w:color="auto" w:fill="0A2299"/>
          </w:tcPr>
          <w:p>
            <w:pPr>
              <w:jc w:val="right"/>
              <w:ind w:right="152"/>
              <w:spacing w:after="0"/>
              <w:rPr>
                <w:sz w:val="20"/>
                <w:szCs w:val="20"/>
                <w:color w:val="auto"/>
              </w:rPr>
            </w:pPr>
            <w:r>
              <w:rPr>
                <w:rFonts w:ascii="Arial" w:cs="Arial" w:eastAsia="Arial" w:hAnsi="Arial"/>
                <w:sz w:val="18"/>
                <w:szCs w:val="18"/>
                <w:b w:val="1"/>
                <w:bCs w:val="1"/>
                <w:color w:val="FFFFFF"/>
                <w:w w:val="99"/>
              </w:rPr>
              <w:t>August 3, 2024</w:t>
            </w:r>
          </w:p>
        </w:tc>
        <w:tc>
          <w:tcPr>
            <w:tcW w:w="2000" w:type="dxa"/>
            <w:vAlign w:val="bottom"/>
            <w:vMerge w:val="continue"/>
            <w:shd w:val="clear" w:color="auto" w:fill="0A2299"/>
          </w:tcPr>
          <w:p>
            <w:pPr>
              <w:spacing w:after="0"/>
              <w:rPr>
                <w:sz w:val="4"/>
                <w:szCs w:val="4"/>
                <w:color w:val="auto"/>
              </w:rPr>
            </w:pPr>
          </w:p>
        </w:tc>
        <w:tc>
          <w:tcPr>
            <w:tcW w:w="220" w:type="dxa"/>
            <w:vAlign w:val="bottom"/>
            <w:shd w:val="clear" w:color="auto" w:fill="0A2299"/>
          </w:tcPr>
          <w:p>
            <w:pPr>
              <w:spacing w:after="0"/>
              <w:rPr>
                <w:sz w:val="4"/>
                <w:szCs w:val="4"/>
                <w:color w:val="auto"/>
              </w:rPr>
            </w:pPr>
          </w:p>
        </w:tc>
        <w:tc>
          <w:tcPr>
            <w:tcW w:w="1500" w:type="dxa"/>
            <w:vAlign w:val="bottom"/>
            <w:vMerge w:val="restart"/>
            <w:shd w:val="clear" w:color="auto" w:fill="0A2299"/>
          </w:tcPr>
          <w:p>
            <w:pPr>
              <w:jc w:val="right"/>
              <w:ind w:right="232"/>
              <w:spacing w:after="0"/>
              <w:rPr>
                <w:sz w:val="20"/>
                <w:szCs w:val="20"/>
                <w:color w:val="auto"/>
              </w:rPr>
            </w:pPr>
            <w:r>
              <w:rPr>
                <w:rFonts w:ascii="Arial" w:cs="Arial" w:eastAsia="Arial" w:hAnsi="Arial"/>
                <w:sz w:val="18"/>
                <w:szCs w:val="18"/>
                <w:b w:val="1"/>
                <w:bCs w:val="1"/>
                <w:color w:val="FFFFFF"/>
              </w:rPr>
              <w:t>July 29, 2023</w:t>
            </w:r>
          </w:p>
        </w:tc>
        <w:tc>
          <w:tcPr>
            <w:tcW w:w="1760" w:type="dxa"/>
            <w:vAlign w:val="bottom"/>
            <w:vMerge w:val="restart"/>
            <w:shd w:val="clear" w:color="auto" w:fill="0A2299"/>
          </w:tcPr>
          <w:p>
            <w:pPr>
              <w:jc w:val="right"/>
              <w:ind w:right="43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180" w:type="dxa"/>
            <w:vAlign w:val="bottom"/>
            <w:shd w:val="clear" w:color="auto" w:fill="0A2299"/>
          </w:tcPr>
          <w:p>
            <w:pPr>
              <w:spacing w:after="0"/>
              <w:rPr>
                <w:sz w:val="18"/>
                <w:szCs w:val="18"/>
                <w:color w:val="auto"/>
              </w:rPr>
            </w:pPr>
          </w:p>
        </w:tc>
        <w:tc>
          <w:tcPr>
            <w:tcW w:w="1520" w:type="dxa"/>
            <w:vAlign w:val="bottom"/>
            <w:vMerge w:val="continue"/>
            <w:shd w:val="clear" w:color="auto" w:fill="0A2299"/>
          </w:tcPr>
          <w:p>
            <w:pPr>
              <w:spacing w:after="0"/>
              <w:rPr>
                <w:sz w:val="18"/>
                <w:szCs w:val="18"/>
                <w:color w:val="auto"/>
              </w:rPr>
            </w:pPr>
          </w:p>
        </w:tc>
        <w:tc>
          <w:tcPr>
            <w:tcW w:w="2000" w:type="dxa"/>
            <w:vAlign w:val="bottom"/>
            <w:shd w:val="clear" w:color="auto" w:fill="0A2299"/>
          </w:tcPr>
          <w:p>
            <w:pPr>
              <w:jc w:val="right"/>
              <w:ind w:right="894"/>
              <w:spacing w:after="0"/>
              <w:rPr>
                <w:sz w:val="20"/>
                <w:szCs w:val="20"/>
                <w:color w:val="auto"/>
              </w:rPr>
            </w:pPr>
            <w:r>
              <w:rPr>
                <w:rFonts w:ascii="Arial" w:cs="Arial" w:eastAsia="Arial" w:hAnsi="Arial"/>
                <w:sz w:val="11"/>
                <w:szCs w:val="11"/>
                <w:b w:val="1"/>
                <w:bCs w:val="1"/>
                <w:color w:val="FFFFFF"/>
              </w:rPr>
              <w:t>(1)</w:t>
            </w:r>
          </w:p>
        </w:tc>
        <w:tc>
          <w:tcPr>
            <w:tcW w:w="220" w:type="dxa"/>
            <w:vAlign w:val="bottom"/>
            <w:shd w:val="clear" w:color="auto" w:fill="0A2299"/>
          </w:tcPr>
          <w:p>
            <w:pPr>
              <w:spacing w:after="0"/>
              <w:rPr>
                <w:sz w:val="18"/>
                <w:szCs w:val="18"/>
                <w:color w:val="auto"/>
              </w:rPr>
            </w:pPr>
          </w:p>
        </w:tc>
        <w:tc>
          <w:tcPr>
            <w:tcW w:w="1500" w:type="dxa"/>
            <w:vAlign w:val="bottom"/>
            <w:vMerge w:val="continue"/>
            <w:shd w:val="clear" w:color="auto" w:fill="0A2299"/>
          </w:tcPr>
          <w:p>
            <w:pPr>
              <w:spacing w:after="0"/>
              <w:rPr>
                <w:sz w:val="18"/>
                <w:szCs w:val="18"/>
                <w:color w:val="auto"/>
              </w:rPr>
            </w:pPr>
          </w:p>
        </w:tc>
        <w:tc>
          <w:tcPr>
            <w:tcW w:w="1760" w:type="dxa"/>
            <w:vAlign w:val="bottom"/>
            <w:vMerge w:val="continue"/>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DBDBDB"/>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1,548,980</w:t>
            </w:r>
          </w:p>
        </w:tc>
        <w:tc>
          <w:tcPr>
            <w:tcW w:w="200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1,583,077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990,255</w:t>
            </w:r>
          </w:p>
        </w:tc>
        <w:tc>
          <w:tcPr>
            <w:tcW w:w="2000" w:type="dxa"/>
            <w:vAlign w:val="bottom"/>
            <w:tcBorders>
              <w:bottom w:val="single" w:sz="8" w:color="DBDBDB"/>
            </w:tcBorders>
          </w:tcPr>
          <w:p>
            <w:pPr>
              <w:jc w:val="right"/>
              <w:ind w:right="114"/>
              <w:spacing w:after="0"/>
              <w:rPr>
                <w:sz w:val="20"/>
                <w:szCs w:val="20"/>
                <w:color w:val="auto"/>
              </w:rPr>
            </w:pPr>
            <w:r>
              <w:rPr>
                <w:rFonts w:ascii="Arial" w:cs="Arial" w:eastAsia="Arial" w:hAnsi="Arial"/>
                <w:sz w:val="18"/>
                <w:szCs w:val="18"/>
                <w:b w:val="1"/>
                <w:bCs w:val="1"/>
                <w:color w:val="auto"/>
              </w:rPr>
              <w:t>63.9 %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1,019,631</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64.4 %</w:t>
            </w:r>
          </w:p>
        </w:tc>
        <w:tc>
          <w:tcPr>
            <w:tcW w:w="0" w:type="dxa"/>
            <w:vAlign w:val="bottom"/>
          </w:tcPr>
          <w:p>
            <w:pPr>
              <w:spacing w:after="0"/>
              <w:rPr>
                <w:sz w:val="1"/>
                <w:szCs w:val="1"/>
                <w:color w:val="auto"/>
              </w:rPr>
            </w:pP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558,725</w:t>
            </w:r>
          </w:p>
        </w:tc>
        <w:tc>
          <w:tcPr>
            <w:tcW w:w="200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36.1 %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563,446</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368,639</w:t>
            </w:r>
          </w:p>
        </w:tc>
        <w:tc>
          <w:tcPr>
            <w:tcW w:w="2000" w:type="dxa"/>
            <w:vAlign w:val="bottom"/>
            <w:tcBorders>
              <w:bottom w:val="single" w:sz="8" w:color="DBDBDB"/>
            </w:tcBorders>
          </w:tcPr>
          <w:p>
            <w:pPr>
              <w:jc w:val="right"/>
              <w:ind w:right="114"/>
              <w:spacing w:after="0"/>
              <w:rPr>
                <w:sz w:val="20"/>
                <w:szCs w:val="20"/>
                <w:color w:val="auto"/>
              </w:rPr>
            </w:pPr>
            <w:r>
              <w:rPr>
                <w:rFonts w:ascii="Arial" w:cs="Arial" w:eastAsia="Arial" w:hAnsi="Arial"/>
                <w:sz w:val="18"/>
                <w:szCs w:val="18"/>
                <w:b w:val="1"/>
                <w:bCs w:val="1"/>
                <w:color w:val="auto"/>
              </w:rPr>
              <w:t>23.8 %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352,483</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190,086</w:t>
            </w:r>
          </w:p>
        </w:tc>
        <w:tc>
          <w:tcPr>
            <w:tcW w:w="200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12.3 %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210,963</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9,071</w:t>
            </w:r>
          </w:p>
        </w:tc>
        <w:tc>
          <w:tcPr>
            <w:tcW w:w="2000" w:type="dxa"/>
            <w:vAlign w:val="bottom"/>
          </w:tcPr>
          <w:p>
            <w:pPr>
              <w:jc w:val="right"/>
              <w:ind w:right="114"/>
              <w:spacing w:after="0"/>
              <w:rPr>
                <w:sz w:val="20"/>
                <w:szCs w:val="20"/>
                <w:color w:val="auto"/>
              </w:rPr>
            </w:pPr>
            <w:r>
              <w:rPr>
                <w:rFonts w:ascii="Arial" w:cs="Arial" w:eastAsia="Arial" w:hAnsi="Arial"/>
                <w:sz w:val="18"/>
                <w:szCs w:val="18"/>
                <w:b w:val="1"/>
                <w:bCs w:val="1"/>
                <w:color w:val="auto"/>
              </w:rPr>
              <w:t>0.6 %</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11,313</w:t>
            </w:r>
          </w:p>
        </w:tc>
        <w:tc>
          <w:tcPr>
            <w:tcW w:w="176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1"/>
        </w:trPr>
        <w:tc>
          <w:tcPr>
            <w:tcW w:w="4000" w:type="dxa"/>
            <w:vAlign w:val="bottom"/>
            <w:shd w:val="clear" w:color="auto" w:fill="DBDBDB"/>
          </w:tcPr>
          <w:p>
            <w:pPr>
              <w:spacing w:after="0"/>
              <w:rPr>
                <w:sz w:val="20"/>
                <w:szCs w:val="20"/>
                <w:color w:val="auto"/>
              </w:rPr>
            </w:pPr>
            <w:r>
              <w:rPr>
                <w:rFonts w:ascii="Arial" w:cs="Arial" w:eastAsia="Arial" w:hAnsi="Arial"/>
                <w:sz w:val="18"/>
                <w:szCs w:val="18"/>
                <w:color w:val="auto"/>
              </w:rPr>
              <w:t>Write off of deferred loan costs</w:t>
            </w:r>
          </w:p>
        </w:tc>
        <w:tc>
          <w:tcPr>
            <w:tcW w:w="18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0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0.0 %</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(5,531)</w:t>
            </w:r>
          </w:p>
        </w:tc>
        <w:tc>
          <w:tcPr>
            <w:tcW w:w="2000" w:type="dxa"/>
            <w:vAlign w:val="bottom"/>
            <w:tcBorders>
              <w:bottom w:val="single" w:sz="8" w:color="DBDBDB"/>
            </w:tcBorders>
          </w:tcPr>
          <w:p>
            <w:pPr>
              <w:jc w:val="right"/>
              <w:ind w:right="114"/>
              <w:spacing w:after="0"/>
              <w:rPr>
                <w:sz w:val="20"/>
                <w:szCs w:val="20"/>
                <w:color w:val="auto"/>
              </w:rPr>
            </w:pPr>
            <w:r>
              <w:rPr>
                <w:rFonts w:ascii="Arial" w:cs="Arial" w:eastAsia="Arial" w:hAnsi="Arial"/>
                <w:sz w:val="18"/>
                <w:szCs w:val="18"/>
                <w:b w:val="1"/>
                <w:bCs w:val="1"/>
                <w:color w:val="auto"/>
              </w:rPr>
              <w:t>(0.4)%</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186,546</w:t>
            </w:r>
          </w:p>
        </w:tc>
        <w:tc>
          <w:tcPr>
            <w:tcW w:w="200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12.0 %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203,273</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43,958</w:t>
            </w:r>
          </w:p>
        </w:tc>
        <w:tc>
          <w:tcPr>
            <w:tcW w:w="2000" w:type="dxa"/>
            <w:vAlign w:val="bottom"/>
            <w:tcBorders>
              <w:bottom w:val="single" w:sz="8" w:color="DBDBDB"/>
            </w:tcBorders>
          </w:tcPr>
          <w:p>
            <w:pPr>
              <w:jc w:val="right"/>
              <w:ind w:right="114"/>
              <w:spacing w:after="0"/>
              <w:rPr>
                <w:sz w:val="20"/>
                <w:szCs w:val="20"/>
                <w:color w:val="auto"/>
              </w:rPr>
            </w:pPr>
            <w:r>
              <w:rPr>
                <w:rFonts w:ascii="Arial" w:cs="Arial" w:eastAsia="Arial" w:hAnsi="Arial"/>
                <w:sz w:val="18"/>
                <w:szCs w:val="18"/>
                <w:b w:val="1"/>
                <w:bCs w:val="1"/>
                <w:color w:val="auto"/>
              </w:rPr>
              <w:t>2.8 %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46,198</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88"/>
        </w:trPr>
        <w:tc>
          <w:tcPr>
            <w:tcW w:w="4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142,588</w:t>
            </w:r>
          </w:p>
        </w:tc>
        <w:tc>
          <w:tcPr>
            <w:tcW w:w="2000" w:type="dxa"/>
            <w:vAlign w:val="bottom"/>
            <w:tcBorders>
              <w:bottom w:val="single" w:sz="8" w:color="DBDBDB"/>
            </w:tcBorders>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9.2 %</w:t>
            </w:r>
          </w:p>
        </w:tc>
        <w:tc>
          <w:tcPr>
            <w:tcW w:w="2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157,075</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20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00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2.06</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1.95</w:t>
            </w:r>
          </w:p>
        </w:tc>
        <w:tc>
          <w:tcPr>
            <w:tcW w:w="20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w:t>
            </w:r>
          </w:p>
        </w:tc>
        <w:tc>
          <w:tcPr>
            <w:tcW w:w="176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20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71,829</w:t>
            </w: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76,104</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73,289</w:t>
            </w:r>
          </w:p>
        </w:tc>
        <w:tc>
          <w:tcPr>
            <w:tcW w:w="20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78,091</w:t>
            </w:r>
          </w:p>
        </w:tc>
        <w:tc>
          <w:tcPr>
            <w:tcW w:w="176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-3216275</wp:posOffset>
            </wp:positionV>
            <wp:extent cx="4562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2475"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-3525520</wp:posOffset>
            </wp:positionV>
            <wp:extent cx="4562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2475" cy="8255"/>
                    </a:xfrm>
                    <a:prstGeom prst="rect">
                      <a:avLst/>
                    </a:prstGeom>
                    <a:noFill/>
                  </pic:spPr>
                </pic:pic>
              </a:graphicData>
            </a:graphic>
          </wp:anchor>
        </w:drawing>
      </w:r>
    </w:p>
    <w:p>
      <w:pPr>
        <w:ind w:left="160" w:hanging="155"/>
        <w:spacing w:after="0"/>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Column may not add due to rounding</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7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4000" w:type="dxa"/>
            <w:vAlign w:val="bottom"/>
          </w:tcPr>
          <w:p>
            <w:pPr>
              <w:spacing w:after="0"/>
              <w:rPr>
                <w:sz w:val="23"/>
                <w:szCs w:val="23"/>
                <w:color w:val="auto"/>
              </w:rPr>
            </w:pPr>
          </w:p>
        </w:tc>
        <w:tc>
          <w:tcPr>
            <w:tcW w:w="180" w:type="dxa"/>
            <w:vAlign w:val="bottom"/>
            <w:tcBorders>
              <w:bottom w:val="single" w:sz="8" w:color="1928A0"/>
            </w:tcBorders>
            <w:shd w:val="clear" w:color="auto" w:fill="1928A0"/>
          </w:tcPr>
          <w:p>
            <w:pPr>
              <w:spacing w:after="0"/>
              <w:rPr>
                <w:sz w:val="23"/>
                <w:szCs w:val="23"/>
                <w:color w:val="auto"/>
              </w:rPr>
            </w:pPr>
          </w:p>
        </w:tc>
        <w:tc>
          <w:tcPr>
            <w:tcW w:w="1520" w:type="dxa"/>
            <w:vAlign w:val="bottom"/>
            <w:tcBorders>
              <w:bottom w:val="single" w:sz="8" w:color="1928A0"/>
            </w:tcBorders>
            <w:shd w:val="clear" w:color="auto" w:fill="1928A0"/>
          </w:tcPr>
          <w:p>
            <w:pPr>
              <w:spacing w:after="0"/>
              <w:rPr>
                <w:sz w:val="23"/>
                <w:szCs w:val="23"/>
                <w:color w:val="auto"/>
              </w:rPr>
            </w:pPr>
          </w:p>
        </w:tc>
        <w:tc>
          <w:tcPr>
            <w:tcW w:w="3700" w:type="dxa"/>
            <w:vAlign w:val="bottom"/>
            <w:tcBorders>
              <w:bottom w:val="single" w:sz="8" w:color="1928A0"/>
            </w:tcBorders>
            <w:gridSpan w:val="3"/>
            <w:shd w:val="clear" w:color="auto" w:fill="1928A0"/>
          </w:tcPr>
          <w:p>
            <w:pPr>
              <w:jc w:val="right"/>
              <w:ind w:right="712"/>
              <w:spacing w:after="0"/>
              <w:rPr>
                <w:sz w:val="20"/>
                <w:szCs w:val="20"/>
                <w:color w:val="auto"/>
              </w:rPr>
            </w:pPr>
            <w:r>
              <w:rPr>
                <w:rFonts w:ascii="Calibri" w:cs="Calibri" w:eastAsia="Calibri" w:hAnsi="Calibri"/>
                <w:sz w:val="19"/>
                <w:szCs w:val="19"/>
                <w:b w:val="1"/>
                <w:bCs w:val="1"/>
                <w:color w:val="FFFFFF"/>
              </w:rPr>
              <w:t>Twenty-Six Weeks Ended</w:t>
            </w:r>
          </w:p>
        </w:tc>
        <w:tc>
          <w:tcPr>
            <w:tcW w:w="1780" w:type="dxa"/>
            <w:vAlign w:val="bottom"/>
            <w:tcBorders>
              <w:bottom w:val="single" w:sz="8" w:color="1928A0"/>
            </w:tcBorders>
            <w:shd w:val="clear" w:color="auto" w:fill="1928A0"/>
          </w:tcPr>
          <w:p>
            <w:pPr>
              <w:spacing w:after="0"/>
              <w:rPr>
                <w:sz w:val="23"/>
                <w:szCs w:val="23"/>
                <w:color w:val="auto"/>
              </w:rPr>
            </w:pPr>
          </w:p>
        </w:tc>
      </w:tr>
      <w:tr>
        <w:trPr>
          <w:trHeight w:val="229"/>
        </w:trPr>
        <w:tc>
          <w:tcPr>
            <w:tcW w:w="4000" w:type="dxa"/>
            <w:vAlign w:val="bottom"/>
          </w:tcPr>
          <w:p>
            <w:pPr>
              <w:spacing w:after="0"/>
              <w:rPr>
                <w:sz w:val="19"/>
                <w:szCs w:val="19"/>
                <w:color w:val="auto"/>
              </w:rPr>
            </w:pPr>
          </w:p>
        </w:tc>
        <w:tc>
          <w:tcPr>
            <w:tcW w:w="180" w:type="dxa"/>
            <w:vAlign w:val="bottom"/>
            <w:shd w:val="clear" w:color="auto" w:fill="0A2299"/>
          </w:tcPr>
          <w:p>
            <w:pPr>
              <w:spacing w:after="0"/>
              <w:rPr>
                <w:sz w:val="19"/>
                <w:szCs w:val="19"/>
                <w:color w:val="auto"/>
              </w:rPr>
            </w:pPr>
          </w:p>
        </w:tc>
        <w:tc>
          <w:tcPr>
            <w:tcW w:w="1520" w:type="dxa"/>
            <w:vAlign w:val="bottom"/>
            <w:shd w:val="clear" w:color="auto" w:fill="0A2299"/>
          </w:tcPr>
          <w:p>
            <w:pPr>
              <w:spacing w:after="0"/>
              <w:rPr>
                <w:sz w:val="19"/>
                <w:szCs w:val="19"/>
                <w:color w:val="auto"/>
              </w:rPr>
            </w:pPr>
          </w:p>
        </w:tc>
        <w:tc>
          <w:tcPr>
            <w:tcW w:w="1980" w:type="dxa"/>
            <w:vAlign w:val="bottom"/>
            <w:shd w:val="clear" w:color="auto" w:fill="0A2299"/>
          </w:tcPr>
          <w:p>
            <w:pPr>
              <w:jc w:val="right"/>
              <w:ind w:right="372"/>
              <w:spacing w:after="0"/>
              <w:rPr>
                <w:sz w:val="20"/>
                <w:szCs w:val="20"/>
                <w:color w:val="auto"/>
              </w:rPr>
            </w:pPr>
            <w:r>
              <w:rPr>
                <w:rFonts w:ascii="Arial" w:cs="Arial" w:eastAsia="Arial" w:hAnsi="Arial"/>
                <w:sz w:val="18"/>
                <w:szCs w:val="18"/>
                <w:b w:val="1"/>
                <w:bCs w:val="1"/>
                <w:color w:val="FFFFFF"/>
              </w:rPr>
              <w:t>Percentage of</w:t>
            </w:r>
          </w:p>
        </w:tc>
        <w:tc>
          <w:tcPr>
            <w:tcW w:w="220" w:type="dxa"/>
            <w:vAlign w:val="bottom"/>
            <w:shd w:val="clear" w:color="auto" w:fill="0A2299"/>
          </w:tcPr>
          <w:p>
            <w:pPr>
              <w:spacing w:after="0"/>
              <w:rPr>
                <w:sz w:val="19"/>
                <w:szCs w:val="19"/>
                <w:color w:val="auto"/>
              </w:rPr>
            </w:pPr>
          </w:p>
        </w:tc>
        <w:tc>
          <w:tcPr>
            <w:tcW w:w="1500" w:type="dxa"/>
            <w:vAlign w:val="bottom"/>
            <w:shd w:val="clear" w:color="auto" w:fill="0A2299"/>
          </w:tcPr>
          <w:p>
            <w:pPr>
              <w:spacing w:after="0"/>
              <w:rPr>
                <w:sz w:val="19"/>
                <w:szCs w:val="19"/>
                <w:color w:val="auto"/>
              </w:rPr>
            </w:pPr>
          </w:p>
        </w:tc>
        <w:tc>
          <w:tcPr>
            <w:tcW w:w="1780" w:type="dxa"/>
            <w:vAlign w:val="bottom"/>
            <w:shd w:val="clear" w:color="auto" w:fill="0A2299"/>
          </w:tcPr>
          <w:p>
            <w:pPr>
              <w:jc w:val="right"/>
              <w:ind w:right="172"/>
              <w:spacing w:after="0"/>
              <w:rPr>
                <w:sz w:val="20"/>
                <w:szCs w:val="20"/>
                <w:color w:val="auto"/>
              </w:rPr>
            </w:pPr>
            <w:r>
              <w:rPr>
                <w:rFonts w:ascii="Arial" w:cs="Arial" w:eastAsia="Arial" w:hAnsi="Arial"/>
                <w:sz w:val="18"/>
                <w:szCs w:val="18"/>
                <w:b w:val="1"/>
                <w:bCs w:val="1"/>
                <w:color w:val="FFFFFF"/>
              </w:rPr>
              <w:t>Percentage of</w:t>
            </w:r>
          </w:p>
        </w:tc>
      </w:tr>
      <w:tr>
        <w:trPr>
          <w:trHeight w:val="258"/>
        </w:trPr>
        <w:tc>
          <w:tcPr>
            <w:tcW w:w="4000" w:type="dxa"/>
            <w:vAlign w:val="bottom"/>
          </w:tcPr>
          <w:p>
            <w:pPr>
              <w:spacing w:after="0"/>
              <w:rPr>
                <w:sz w:val="22"/>
                <w:szCs w:val="22"/>
                <w:color w:val="auto"/>
              </w:rPr>
            </w:pPr>
          </w:p>
        </w:tc>
        <w:tc>
          <w:tcPr>
            <w:tcW w:w="180" w:type="dxa"/>
            <w:vAlign w:val="bottom"/>
            <w:shd w:val="clear" w:color="auto" w:fill="0A2299"/>
          </w:tcPr>
          <w:p>
            <w:pPr>
              <w:spacing w:after="0"/>
              <w:rPr>
                <w:sz w:val="22"/>
                <w:szCs w:val="22"/>
                <w:color w:val="auto"/>
              </w:rPr>
            </w:pPr>
          </w:p>
        </w:tc>
        <w:tc>
          <w:tcPr>
            <w:tcW w:w="1520" w:type="dxa"/>
            <w:vAlign w:val="bottom"/>
            <w:shd w:val="clear" w:color="auto" w:fill="0A2299"/>
          </w:tcPr>
          <w:p>
            <w:pPr>
              <w:jc w:val="right"/>
              <w:ind w:right="132"/>
              <w:spacing w:after="0"/>
              <w:rPr>
                <w:sz w:val="20"/>
                <w:szCs w:val="20"/>
                <w:color w:val="auto"/>
              </w:rPr>
            </w:pPr>
            <w:r>
              <w:rPr>
                <w:rFonts w:ascii="Arial" w:cs="Arial" w:eastAsia="Arial" w:hAnsi="Arial"/>
                <w:sz w:val="18"/>
                <w:szCs w:val="18"/>
                <w:b w:val="1"/>
                <w:bCs w:val="1"/>
                <w:color w:val="FFFFFF"/>
              </w:rPr>
              <w:t>August 3, 2024</w:t>
            </w:r>
          </w:p>
        </w:tc>
        <w:tc>
          <w:tcPr>
            <w:tcW w:w="1980" w:type="dxa"/>
            <w:vAlign w:val="bottom"/>
            <w:shd w:val="clear" w:color="auto" w:fill="0A2299"/>
          </w:tcPr>
          <w:p>
            <w:pPr>
              <w:jc w:val="right"/>
              <w:ind w:right="63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c>
          <w:tcPr>
            <w:tcW w:w="220" w:type="dxa"/>
            <w:vAlign w:val="bottom"/>
            <w:shd w:val="clear" w:color="auto" w:fill="0A2299"/>
          </w:tcPr>
          <w:p>
            <w:pPr>
              <w:spacing w:after="0"/>
              <w:rPr>
                <w:sz w:val="22"/>
                <w:szCs w:val="22"/>
                <w:color w:val="auto"/>
              </w:rPr>
            </w:pPr>
          </w:p>
        </w:tc>
        <w:tc>
          <w:tcPr>
            <w:tcW w:w="1500" w:type="dxa"/>
            <w:vAlign w:val="bottom"/>
            <w:shd w:val="clear" w:color="auto" w:fill="0A2299"/>
          </w:tcPr>
          <w:p>
            <w:pPr>
              <w:jc w:val="right"/>
              <w:ind w:right="232"/>
              <w:spacing w:after="0"/>
              <w:rPr>
                <w:sz w:val="20"/>
                <w:szCs w:val="20"/>
                <w:color w:val="auto"/>
              </w:rPr>
            </w:pPr>
            <w:r>
              <w:rPr>
                <w:rFonts w:ascii="Arial" w:cs="Arial" w:eastAsia="Arial" w:hAnsi="Arial"/>
                <w:sz w:val="18"/>
                <w:szCs w:val="18"/>
                <w:b w:val="1"/>
                <w:bCs w:val="1"/>
                <w:color w:val="FFFFFF"/>
              </w:rPr>
              <w:t>July 29, 2023</w:t>
            </w:r>
          </w:p>
        </w:tc>
        <w:tc>
          <w:tcPr>
            <w:tcW w:w="1780" w:type="dxa"/>
            <w:vAlign w:val="bottom"/>
            <w:shd w:val="clear" w:color="auto" w:fill="0A2299"/>
          </w:tcPr>
          <w:p>
            <w:pPr>
              <w:jc w:val="right"/>
              <w:ind w:right="43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r>
      <w:tr>
        <w:trPr>
          <w:trHeight w:val="276"/>
        </w:trPr>
        <w:tc>
          <w:tcPr>
            <w:tcW w:w="4000" w:type="dxa"/>
            <w:vAlign w:val="bottom"/>
            <w:shd w:val="clear" w:color="auto" w:fill="DBDBDB"/>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2,913,200</w:t>
            </w:r>
          </w:p>
        </w:tc>
        <w:tc>
          <w:tcPr>
            <w:tcW w:w="198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2,966,686</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1,898,681</w:t>
            </w:r>
          </w:p>
        </w:tc>
        <w:tc>
          <w:tcPr>
            <w:tcW w:w="198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65.2 %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1,936,125</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65.3 %</w:t>
            </w: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1,014,519</w:t>
            </w:r>
          </w:p>
        </w:tc>
        <w:tc>
          <w:tcPr>
            <w:tcW w:w="198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34.8 %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1,030,561</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34.7 %</w:t>
            </w: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722,050</w:t>
            </w:r>
          </w:p>
        </w:tc>
        <w:tc>
          <w:tcPr>
            <w:tcW w:w="198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24.8 %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693,402</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23.4 %</w:t>
            </w: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292,469</w:t>
            </w:r>
          </w:p>
        </w:tc>
        <w:tc>
          <w:tcPr>
            <w:tcW w:w="198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10.0 %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337,159</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11.4 %</w:t>
            </w: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18,557</w:t>
            </w:r>
          </w:p>
        </w:tc>
        <w:tc>
          <w:tcPr>
            <w:tcW w:w="1980" w:type="dxa"/>
            <w:vAlign w:val="bottom"/>
          </w:tcPr>
          <w:p>
            <w:pPr>
              <w:jc w:val="right"/>
              <w:ind w:right="152"/>
              <w:spacing w:after="0"/>
              <w:rPr>
                <w:sz w:val="20"/>
                <w:szCs w:val="20"/>
                <w:color w:val="auto"/>
              </w:rPr>
            </w:pPr>
            <w:r>
              <w:rPr>
                <w:rFonts w:ascii="Arial" w:cs="Arial" w:eastAsia="Arial" w:hAnsi="Arial"/>
                <w:sz w:val="18"/>
                <w:szCs w:val="18"/>
                <w:b w:val="1"/>
                <w:bCs w:val="1"/>
                <w:color w:val="auto"/>
              </w:rPr>
              <w:t>0.6 %</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22,543</w:t>
            </w:r>
          </w:p>
        </w:tc>
        <w:tc>
          <w:tcPr>
            <w:tcW w:w="178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1"/>
        </w:trPr>
        <w:tc>
          <w:tcPr>
            <w:tcW w:w="4000" w:type="dxa"/>
            <w:vAlign w:val="bottom"/>
            <w:shd w:val="clear" w:color="auto" w:fill="DBDBDB"/>
          </w:tcPr>
          <w:p>
            <w:pPr>
              <w:spacing w:after="0"/>
              <w:rPr>
                <w:sz w:val="20"/>
                <w:szCs w:val="20"/>
                <w:color w:val="auto"/>
              </w:rPr>
            </w:pPr>
            <w:r>
              <w:rPr>
                <w:rFonts w:ascii="Arial" w:cs="Arial" w:eastAsia="Arial" w:hAnsi="Arial"/>
                <w:sz w:val="18"/>
                <w:szCs w:val="18"/>
                <w:color w:val="auto"/>
              </w:rPr>
              <w:t>Write off of deferred loan costs</w:t>
            </w:r>
          </w:p>
        </w:tc>
        <w:tc>
          <w:tcPr>
            <w:tcW w:w="18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198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 %</w:t>
            </w: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0.0 %</w:t>
            </w: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(10,735)</w:t>
            </w:r>
          </w:p>
        </w:tc>
        <w:tc>
          <w:tcPr>
            <w:tcW w:w="198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(0.4)%</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DBDBDB"/>
          </w:tcPr>
          <w:p>
            <w:pPr>
              <w:spacing w:after="0"/>
              <w:rPr>
                <w:sz w:val="22"/>
                <w:szCs w:val="2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284,198</w:t>
            </w:r>
          </w:p>
        </w:tc>
        <w:tc>
          <w:tcPr>
            <w:tcW w:w="198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9.8 %</w:t>
            </w:r>
          </w:p>
        </w:tc>
        <w:tc>
          <w:tcPr>
            <w:tcW w:w="220" w:type="dxa"/>
            <w:vAlign w:val="bottom"/>
            <w:shd w:val="clear" w:color="auto" w:fill="DBDBDB"/>
          </w:tcPr>
          <w:p>
            <w:pPr>
              <w:spacing w:after="0"/>
              <w:rPr>
                <w:sz w:val="22"/>
                <w:szCs w:val="2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321,952</w:t>
            </w:r>
          </w:p>
        </w:tc>
        <w:tc>
          <w:tcPr>
            <w:tcW w:w="1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10.9 %</w:t>
            </w:r>
          </w:p>
        </w:tc>
      </w:tr>
      <w:tr>
        <w:trPr>
          <w:trHeight w:val="256"/>
        </w:trPr>
        <w:tc>
          <w:tcPr>
            <w:tcW w:w="40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65,145</w:t>
            </w:r>
          </w:p>
        </w:tc>
        <w:tc>
          <w:tcPr>
            <w:tcW w:w="198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2.2 %</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70,907</w:t>
            </w:r>
          </w:p>
        </w:tc>
        <w:tc>
          <w:tcPr>
            <w:tcW w:w="17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2.4 %</w:t>
            </w:r>
          </w:p>
        </w:tc>
      </w:tr>
      <w:tr>
        <w:trPr>
          <w:trHeight w:val="288"/>
        </w:trPr>
        <w:tc>
          <w:tcPr>
            <w:tcW w:w="4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219,053</w:t>
            </w:r>
          </w:p>
        </w:tc>
        <w:tc>
          <w:tcPr>
            <w:tcW w:w="198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7.5 %</w:t>
            </w:r>
          </w:p>
        </w:tc>
        <w:tc>
          <w:tcPr>
            <w:tcW w:w="2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251,045</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tcBorders>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43"/>
        </w:trPr>
        <w:tc>
          <w:tcPr>
            <w:tcW w:w="4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19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spacing w:after="0"/>
              <w:rPr>
                <w:sz w:val="21"/>
                <w:szCs w:val="21"/>
                <w:color w:val="auto"/>
              </w:rPr>
            </w:pPr>
          </w:p>
        </w:tc>
      </w:tr>
      <w:tr>
        <w:trPr>
          <w:trHeight w:val="256"/>
        </w:trPr>
        <w:tc>
          <w:tcPr>
            <w:tcW w:w="40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98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3.28</w:t>
            </w:r>
          </w:p>
        </w:tc>
        <w:tc>
          <w:tcPr>
            <w:tcW w:w="1780" w:type="dxa"/>
            <w:vAlign w:val="bottom"/>
          </w:tcPr>
          <w:p>
            <w:pPr>
              <w:spacing w:after="0"/>
              <w:rPr>
                <w:sz w:val="22"/>
                <w:szCs w:val="22"/>
                <w:color w:val="auto"/>
              </w:rPr>
            </w:pPr>
          </w:p>
        </w:tc>
      </w:tr>
      <w:tr>
        <w:trPr>
          <w:trHeight w:val="271"/>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2.93</w:t>
            </w:r>
          </w:p>
        </w:tc>
        <w:tc>
          <w:tcPr>
            <w:tcW w:w="198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780" w:type="dxa"/>
            <w:vAlign w:val="bottom"/>
            <w:shd w:val="clear" w:color="auto" w:fill="DBDBDB"/>
          </w:tcPr>
          <w:p>
            <w:pPr>
              <w:spacing w:after="0"/>
              <w:rPr>
                <w:sz w:val="23"/>
                <w:szCs w:val="23"/>
                <w:color w:val="auto"/>
              </w:rPr>
            </w:pPr>
          </w:p>
        </w:tc>
      </w:tr>
      <w:tr>
        <w:trPr>
          <w:trHeight w:val="250"/>
        </w:trPr>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4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19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spacing w:after="0"/>
              <w:rPr>
                <w:sz w:val="21"/>
                <w:szCs w:val="21"/>
                <w:color w:val="auto"/>
              </w:rPr>
            </w:pPr>
          </w:p>
        </w:tc>
      </w:tr>
      <w:tr>
        <w:trPr>
          <w:trHeight w:val="256"/>
        </w:trPr>
        <w:tc>
          <w:tcPr>
            <w:tcW w:w="40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72,911</w:t>
            </w:r>
          </w:p>
        </w:tc>
        <w:tc>
          <w:tcPr>
            <w:tcW w:w="1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76,483</w:t>
            </w:r>
          </w:p>
        </w:tc>
        <w:tc>
          <w:tcPr>
            <w:tcW w:w="1780" w:type="dxa"/>
            <w:vAlign w:val="bottom"/>
          </w:tcPr>
          <w:p>
            <w:pPr>
              <w:spacing w:after="0"/>
              <w:rPr>
                <w:sz w:val="22"/>
                <w:szCs w:val="22"/>
                <w:color w:val="auto"/>
              </w:rPr>
            </w:pPr>
          </w:p>
        </w:tc>
      </w:tr>
      <w:tr>
        <w:trPr>
          <w:trHeight w:val="271"/>
        </w:trPr>
        <w:tc>
          <w:tcPr>
            <w:tcW w:w="4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74,651</w:t>
            </w:r>
          </w:p>
        </w:tc>
        <w:tc>
          <w:tcPr>
            <w:tcW w:w="19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78,735</w:t>
            </w:r>
          </w:p>
        </w:tc>
        <w:tc>
          <w:tcPr>
            <w:tcW w:w="1780" w:type="dxa"/>
            <w:vAlign w:val="bottom"/>
            <w:shd w:val="clear" w:color="auto" w:fill="DBDBDB"/>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-3216275</wp:posOffset>
            </wp:positionV>
            <wp:extent cx="45535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3585"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-3525520</wp:posOffset>
            </wp:positionV>
            <wp:extent cx="45535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53585" cy="8255"/>
                    </a:xfrm>
                    <a:prstGeom prst="rect">
                      <a:avLst/>
                    </a:prstGeom>
                    <a:noFill/>
                  </pic:spPr>
                </pic:pic>
              </a:graphicData>
            </a:graphic>
          </wp:anchor>
        </w:drawing>
      </w:r>
    </w:p>
    <w:p>
      <w:pPr>
        <w:ind w:left="160" w:hanging="155"/>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2"/>
          <w:szCs w:val="12"/>
          <w:color w:val="auto"/>
        </w:rPr>
        <w:t>Column may not add due to rounding</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39"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ACADEMY SPORTS AND OUTDOORS, INC.</w:t>
      </w:r>
    </w:p>
    <w:p>
      <w:pPr>
        <w:jc w:val="center"/>
        <w:ind w:right="40"/>
        <w:spacing w:after="0" w:line="238" w:lineRule="auto"/>
        <w:rPr>
          <w:sz w:val="20"/>
          <w:szCs w:val="20"/>
          <w:color w:val="auto"/>
        </w:rPr>
      </w:pPr>
      <w:r>
        <w:rPr>
          <w:rFonts w:ascii="Arial" w:cs="Arial" w:eastAsia="Arial" w:hAnsi="Arial"/>
          <w:sz w:val="18"/>
          <w:szCs w:val="18"/>
          <w:b w:val="1"/>
          <w:bCs w:val="1"/>
          <w:color w:val="auto"/>
        </w:rPr>
        <w:t>CONSOLIDATED BALANCE SHEETS</w:t>
      </w:r>
    </w:p>
    <w:p>
      <w:pPr>
        <w:jc w:val="center"/>
        <w:ind w:right="40"/>
        <w:spacing w:after="0" w:line="229" w:lineRule="auto"/>
        <w:rPr>
          <w:sz w:val="20"/>
          <w:szCs w:val="20"/>
          <w:color w:val="auto"/>
        </w:rPr>
      </w:pPr>
      <w:r>
        <w:rPr>
          <w:rFonts w:ascii="Arial" w:cs="Arial" w:eastAsia="Arial" w:hAnsi="Arial"/>
          <w:sz w:val="18"/>
          <w:szCs w:val="18"/>
          <w:b w:val="1"/>
          <w:bCs w:val="1"/>
          <w:color w:val="auto"/>
        </w:rPr>
        <w:t>(Unaudited)</w:t>
      </w:r>
    </w:p>
    <w:p>
      <w:pPr>
        <w:jc w:val="center"/>
        <w:ind w:right="4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80" w:type="dxa"/>
            <w:vAlign w:val="bottom"/>
          </w:tcPr>
          <w:p>
            <w:pPr>
              <w:spacing w:after="0"/>
              <w:rPr>
                <w:sz w:val="22"/>
                <w:szCs w:val="22"/>
                <w:color w:val="auto"/>
              </w:rPr>
            </w:pPr>
          </w:p>
        </w:tc>
        <w:tc>
          <w:tcPr>
            <w:tcW w:w="180" w:type="dxa"/>
            <w:vAlign w:val="bottom"/>
            <w:shd w:val="clear" w:color="auto" w:fill="0A2299"/>
          </w:tcPr>
          <w:p>
            <w:pPr>
              <w:spacing w:after="0"/>
              <w:rPr>
                <w:sz w:val="22"/>
                <w:szCs w:val="22"/>
                <w:color w:val="auto"/>
              </w:rPr>
            </w:pPr>
          </w:p>
        </w:tc>
        <w:tc>
          <w:tcPr>
            <w:tcW w:w="1700" w:type="dxa"/>
            <w:vAlign w:val="bottom"/>
            <w:gridSpan w:val="2"/>
            <w:shd w:val="clear" w:color="auto" w:fill="0A2299"/>
          </w:tcPr>
          <w:p>
            <w:pPr>
              <w:ind w:left="80"/>
              <w:spacing w:after="0"/>
              <w:rPr>
                <w:sz w:val="20"/>
                <w:szCs w:val="20"/>
                <w:color w:val="auto"/>
              </w:rPr>
            </w:pPr>
            <w:r>
              <w:rPr>
                <w:rFonts w:ascii="Arial" w:cs="Arial" w:eastAsia="Arial" w:hAnsi="Arial"/>
                <w:sz w:val="18"/>
                <w:szCs w:val="18"/>
                <w:b w:val="1"/>
                <w:bCs w:val="1"/>
                <w:color w:val="FFFFFF"/>
              </w:rPr>
              <w:t>August 3, 2024</w:t>
            </w:r>
          </w:p>
        </w:tc>
        <w:tc>
          <w:tcPr>
            <w:tcW w:w="160" w:type="dxa"/>
            <w:vAlign w:val="bottom"/>
            <w:shd w:val="clear" w:color="auto" w:fill="0A2299"/>
          </w:tcPr>
          <w:p>
            <w:pPr>
              <w:spacing w:after="0"/>
              <w:rPr>
                <w:sz w:val="22"/>
                <w:szCs w:val="22"/>
                <w:color w:val="auto"/>
              </w:rPr>
            </w:pPr>
          </w:p>
        </w:tc>
        <w:tc>
          <w:tcPr>
            <w:tcW w:w="176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February 3, 2024</w:t>
            </w:r>
          </w:p>
        </w:tc>
        <w:tc>
          <w:tcPr>
            <w:tcW w:w="220" w:type="dxa"/>
            <w:vAlign w:val="bottom"/>
            <w:shd w:val="clear" w:color="auto" w:fill="0A2299"/>
          </w:tcPr>
          <w:p>
            <w:pPr>
              <w:spacing w:after="0"/>
              <w:rPr>
                <w:sz w:val="22"/>
                <w:szCs w:val="22"/>
                <w:color w:val="auto"/>
              </w:rPr>
            </w:pPr>
          </w:p>
        </w:tc>
        <w:tc>
          <w:tcPr>
            <w:tcW w:w="1580" w:type="dxa"/>
            <w:vAlign w:val="bottom"/>
            <w:shd w:val="clear" w:color="auto" w:fill="0A2299"/>
          </w:tcPr>
          <w:p>
            <w:pPr>
              <w:jc w:val="right"/>
              <w:ind w:right="292"/>
              <w:spacing w:after="0"/>
              <w:rPr>
                <w:sz w:val="20"/>
                <w:szCs w:val="20"/>
                <w:color w:val="auto"/>
              </w:rPr>
            </w:pPr>
            <w:r>
              <w:rPr>
                <w:rFonts w:ascii="Arial" w:cs="Arial" w:eastAsia="Arial" w:hAnsi="Arial"/>
                <w:sz w:val="18"/>
                <w:szCs w:val="18"/>
                <w:b w:val="1"/>
                <w:bCs w:val="1"/>
                <w:color w:val="FFFFFF"/>
              </w:rPr>
              <w:t>July 29, 2023</w:t>
            </w:r>
          </w:p>
        </w:tc>
        <w:tc>
          <w:tcPr>
            <w:tcW w:w="0" w:type="dxa"/>
            <w:vAlign w:val="bottom"/>
          </w:tcPr>
          <w:p>
            <w:pPr>
              <w:spacing w:after="0"/>
              <w:rPr>
                <w:sz w:val="1"/>
                <w:szCs w:val="1"/>
                <w:color w:val="auto"/>
              </w:rPr>
            </w:pPr>
          </w:p>
        </w:tc>
      </w:tr>
      <w:tr>
        <w:trPr>
          <w:trHeight w:val="263"/>
        </w:trPr>
        <w:tc>
          <w:tcPr>
            <w:tcW w:w="5580" w:type="dxa"/>
            <w:vAlign w:val="bottom"/>
            <w:shd w:val="clear" w:color="auto" w:fill="DBDBDB"/>
          </w:tcPr>
          <w:p>
            <w:pPr>
              <w:ind w:left="24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324,568</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347,920</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311,336</w:t>
            </w:r>
          </w:p>
        </w:tc>
        <w:tc>
          <w:tcPr>
            <w:tcW w:w="0" w:type="dxa"/>
            <w:vAlign w:val="bottom"/>
          </w:tcPr>
          <w:p>
            <w:pPr>
              <w:spacing w:after="0"/>
              <w:rPr>
                <w:sz w:val="1"/>
                <w:szCs w:val="1"/>
                <w:color w:val="auto"/>
              </w:rPr>
            </w:pPr>
          </w:p>
        </w:tc>
      </w:tr>
      <w:tr>
        <w:trPr>
          <w:trHeight w:val="220"/>
        </w:trPr>
        <w:tc>
          <w:tcPr>
            <w:tcW w:w="5580" w:type="dxa"/>
            <w:vAlign w:val="bottom"/>
          </w:tcPr>
          <w:p>
            <w:pPr>
              <w:ind w:left="220"/>
              <w:spacing w:after="0"/>
              <w:rPr>
                <w:sz w:val="20"/>
                <w:szCs w:val="20"/>
                <w:color w:val="auto"/>
              </w:rPr>
            </w:pPr>
            <w:r>
              <w:rPr>
                <w:rFonts w:ascii="Arial" w:cs="Arial" w:eastAsia="Arial" w:hAnsi="Arial"/>
                <w:sz w:val="18"/>
                <w:szCs w:val="18"/>
                <w:color w:val="auto"/>
              </w:rPr>
              <w:t>Accounts receivable - less allowance for doubtful accounts of</w:t>
            </w:r>
          </w:p>
        </w:tc>
        <w:tc>
          <w:tcPr>
            <w:tcW w:w="180" w:type="dxa"/>
            <w:vAlign w:val="bottom"/>
          </w:tcPr>
          <w:p>
            <w:pPr>
              <w:spacing w:after="0"/>
              <w:rPr>
                <w:sz w:val="19"/>
                <w:szCs w:val="19"/>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220"/>
              <w:spacing w:after="0"/>
              <w:rPr>
                <w:sz w:val="20"/>
                <w:szCs w:val="20"/>
                <w:color w:val="auto"/>
              </w:rPr>
            </w:pPr>
            <w:r>
              <w:rPr>
                <w:rFonts w:ascii="Arial" w:cs="Arial" w:eastAsia="Arial" w:hAnsi="Arial"/>
                <w:sz w:val="18"/>
                <w:szCs w:val="18"/>
                <w:color w:val="auto"/>
              </w:rPr>
              <w:t>$2,080, $2,217 and $2,534, respectively</w:t>
            </w:r>
          </w:p>
        </w:tc>
        <w:tc>
          <w:tcPr>
            <w:tcW w:w="18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19,371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Merchandise inventories, net</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1,366,616</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1,194,159</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1,309,033</w:t>
            </w:r>
          </w:p>
        </w:tc>
        <w:tc>
          <w:tcPr>
            <w:tcW w:w="0" w:type="dxa"/>
            <w:vAlign w:val="bottom"/>
          </w:tcPr>
          <w:p>
            <w:pPr>
              <w:spacing w:after="0"/>
              <w:rPr>
                <w:sz w:val="1"/>
                <w:szCs w:val="1"/>
                <w:color w:val="auto"/>
              </w:rPr>
            </w:pPr>
          </w:p>
        </w:tc>
      </w:tr>
      <w:tr>
        <w:trPr>
          <w:trHeight w:val="256"/>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108,392</w:t>
            </w:r>
          </w:p>
        </w:tc>
        <w:tc>
          <w:tcPr>
            <w:tcW w:w="12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83,450</w:t>
            </w:r>
          </w:p>
        </w:tc>
        <w:tc>
          <w:tcPr>
            <w:tcW w:w="14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80,490</w:t>
            </w:r>
          </w:p>
        </w:tc>
        <w:tc>
          <w:tcPr>
            <w:tcW w:w="0" w:type="dxa"/>
            <w:vAlign w:val="bottom"/>
          </w:tcPr>
          <w:p>
            <w:pPr>
              <w:spacing w:after="0"/>
              <w:rPr>
                <w:sz w:val="1"/>
                <w:szCs w:val="1"/>
                <w:color w:val="auto"/>
              </w:rPr>
            </w:pPr>
          </w:p>
        </w:tc>
      </w:tr>
      <w:tr>
        <w:trPr>
          <w:trHeight w:val="263"/>
        </w:trPr>
        <w:tc>
          <w:tcPr>
            <w:tcW w:w="558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1,812,388</w:t>
            </w:r>
          </w:p>
        </w:tc>
        <w:tc>
          <w:tcPr>
            <w:tcW w:w="1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1,644,900</w:t>
            </w:r>
          </w:p>
        </w:tc>
        <w:tc>
          <w:tcPr>
            <w:tcW w:w="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1,715,484</w:t>
            </w:r>
          </w:p>
        </w:tc>
        <w:tc>
          <w:tcPr>
            <w:tcW w:w="0" w:type="dxa"/>
            <w:vAlign w:val="bottom"/>
          </w:tcPr>
          <w:p>
            <w:pPr>
              <w:spacing w:after="0"/>
              <w:rPr>
                <w:sz w:val="1"/>
                <w:szCs w:val="1"/>
                <w:color w:val="auto"/>
              </w:rPr>
            </w:pPr>
          </w:p>
        </w:tc>
      </w:tr>
      <w:tr>
        <w:trPr>
          <w:trHeight w:val="211"/>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470,752</w:t>
            </w:r>
          </w:p>
        </w:tc>
        <w:tc>
          <w:tcPr>
            <w:tcW w:w="1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445,209</w:t>
            </w:r>
          </w:p>
        </w:tc>
        <w:tc>
          <w:tcPr>
            <w:tcW w:w="14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404,967</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1,103,242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1,111,237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1,091,145</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TRADE NAME</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578,550</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578,236</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577,929</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861,920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861,920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64"/>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8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47,506</w:t>
            </w:r>
          </w:p>
        </w:tc>
        <w:tc>
          <w:tcPr>
            <w:tcW w:w="12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35,211</w:t>
            </w:r>
          </w:p>
        </w:tc>
        <w:tc>
          <w:tcPr>
            <w:tcW w:w="14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63"/>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4,874,358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4,675,416</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5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5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9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704,578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541,077</w:t>
            </w:r>
          </w:p>
        </w:tc>
        <w:tc>
          <w:tcPr>
            <w:tcW w:w="140" w:type="dxa"/>
            <w:vAlign w:val="bottom"/>
          </w:tcPr>
          <w:p>
            <w:pPr>
              <w:spacing w:after="0"/>
              <w:rPr>
                <w:sz w:val="22"/>
                <w:szCs w:val="22"/>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669,832</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259,069</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217,932</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234,011</w:t>
            </w:r>
          </w:p>
        </w:tc>
        <w:tc>
          <w:tcPr>
            <w:tcW w:w="0" w:type="dxa"/>
            <w:vAlign w:val="bottom"/>
          </w:tcPr>
          <w:p>
            <w:pPr>
              <w:spacing w:after="0"/>
              <w:rPr>
                <w:sz w:val="1"/>
                <w:szCs w:val="1"/>
                <w:color w:val="auto"/>
              </w:rPr>
            </w:pPr>
          </w:p>
        </w:tc>
      </w:tr>
      <w:tr>
        <w:trPr>
          <w:trHeight w:val="256"/>
        </w:trPr>
        <w:tc>
          <w:tcPr>
            <w:tcW w:w="5580" w:type="dxa"/>
            <w:vAlign w:val="bottom"/>
          </w:tcPr>
          <w:p>
            <w:pPr>
              <w:ind w:left="22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124,628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117,849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112,936</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1,091,275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879,858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1,019,779</w:t>
            </w:r>
          </w:p>
        </w:tc>
        <w:tc>
          <w:tcPr>
            <w:tcW w:w="0" w:type="dxa"/>
            <w:vAlign w:val="bottom"/>
          </w:tcPr>
          <w:p>
            <w:pPr>
              <w:spacing w:after="0"/>
              <w:rPr>
                <w:sz w:val="1"/>
                <w:szCs w:val="1"/>
                <w:color w:val="auto"/>
              </w:rPr>
            </w:pPr>
          </w:p>
        </w:tc>
      </w:tr>
      <w:tr>
        <w:trPr>
          <w:trHeight w:val="165"/>
        </w:trPr>
        <w:tc>
          <w:tcPr>
            <w:tcW w:w="55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LONG-TERM DEBT, NET</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483,617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484,551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583,729</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1,083,390</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1,091,294</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1,060,996</w:t>
            </w: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252,919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254,796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260,909</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8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10,763</w:t>
            </w:r>
          </w:p>
        </w:tc>
        <w:tc>
          <w:tcPr>
            <w:tcW w:w="12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11,564</w:t>
            </w:r>
          </w:p>
        </w:tc>
        <w:tc>
          <w:tcPr>
            <w:tcW w:w="14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2,921,964</w:t>
            </w:r>
          </w:p>
        </w:tc>
        <w:tc>
          <w:tcPr>
            <w:tcW w:w="12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2,722,063</w:t>
            </w:r>
          </w:p>
        </w:tc>
        <w:tc>
          <w:tcPr>
            <w:tcW w:w="140" w:type="dxa"/>
            <w:vAlign w:val="bottom"/>
            <w:tcBorders>
              <w:bottom w:val="single" w:sz="8" w:color="DBDBD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2,937,377</w:t>
            </w:r>
          </w:p>
        </w:tc>
        <w:tc>
          <w:tcPr>
            <w:tcW w:w="0" w:type="dxa"/>
            <w:vAlign w:val="bottom"/>
          </w:tcPr>
          <w:p>
            <w:pPr>
              <w:spacing w:after="0"/>
              <w:rPr>
                <w:sz w:val="1"/>
                <w:szCs w:val="1"/>
                <w:color w:val="auto"/>
              </w:rPr>
            </w:pPr>
          </w:p>
        </w:tc>
      </w:tr>
      <w:tr>
        <w:trPr>
          <w:trHeight w:val="184"/>
        </w:trPr>
        <w:tc>
          <w:tcPr>
            <w:tcW w:w="55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Preferred stock, $0.01 par value, authorized 50,000,000 shares;</w:t>
            </w:r>
          </w:p>
        </w:tc>
        <w:tc>
          <w:tcPr>
            <w:tcW w:w="180" w:type="dxa"/>
            <w:vAlign w:val="bottom"/>
            <w:shd w:val="clear" w:color="auto" w:fill="DBDBDB"/>
          </w:tcPr>
          <w:p>
            <w:pPr>
              <w:spacing w:after="0"/>
              <w:rPr>
                <w:sz w:val="19"/>
                <w:szCs w:val="19"/>
                <w:color w:val="auto"/>
              </w:rPr>
            </w:pPr>
          </w:p>
        </w:tc>
        <w:tc>
          <w:tcPr>
            <w:tcW w:w="1700" w:type="dxa"/>
            <w:vAlign w:val="bottom"/>
            <w:gridSpan w:val="2"/>
            <w:vMerge w:val="restart"/>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none issued and outstanding</w:t>
            </w:r>
          </w:p>
        </w:tc>
        <w:tc>
          <w:tcPr>
            <w:tcW w:w="180" w:type="dxa"/>
            <w:vAlign w:val="bottom"/>
            <w:shd w:val="clear" w:color="auto" w:fill="DBDBDB"/>
          </w:tcPr>
          <w:p>
            <w:pPr>
              <w:spacing w:after="0"/>
              <w:rPr>
                <w:sz w:val="22"/>
                <w:szCs w:val="22"/>
                <w:color w:val="auto"/>
              </w:rPr>
            </w:pPr>
          </w:p>
        </w:tc>
        <w:tc>
          <w:tcPr>
            <w:tcW w:w="1700" w:type="dxa"/>
            <w:vAlign w:val="bottom"/>
            <w:gridSpan w:val="2"/>
            <w:vMerge w:val="continue"/>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7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80" w:type="dxa"/>
            <w:vAlign w:val="bottom"/>
          </w:tcPr>
          <w:p>
            <w:pPr>
              <w:ind w:left="220"/>
              <w:spacing w:after="0"/>
              <w:rPr>
                <w:sz w:val="20"/>
                <w:szCs w:val="20"/>
                <w:color w:val="auto"/>
              </w:rPr>
            </w:pPr>
            <w:r>
              <w:rPr>
                <w:rFonts w:ascii="Arial" w:cs="Arial" w:eastAsia="Arial" w:hAnsi="Arial"/>
                <w:sz w:val="18"/>
                <w:szCs w:val="18"/>
                <w:color w:val="auto"/>
              </w:rPr>
              <w:t>Common stock, $0.01 par value, authorized 300,000,000 shares;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220"/>
              <w:spacing w:after="0"/>
              <w:rPr>
                <w:sz w:val="20"/>
                <w:szCs w:val="20"/>
                <w:color w:val="auto"/>
              </w:rPr>
            </w:pPr>
            <w:r>
              <w:rPr>
                <w:rFonts w:ascii="Arial" w:cs="Arial" w:eastAsia="Arial" w:hAnsi="Arial"/>
                <w:sz w:val="18"/>
                <w:szCs w:val="18"/>
                <w:color w:val="auto"/>
              </w:rPr>
              <w:t>70,915,916, 74,349,927, and 74,845,563 issued and outstanding</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220"/>
              <w:spacing w:after="0"/>
              <w:rPr>
                <w:sz w:val="20"/>
                <w:szCs w:val="20"/>
                <w:color w:val="auto"/>
              </w:rPr>
            </w:pPr>
            <w:r>
              <w:rPr>
                <w:rFonts w:ascii="Arial" w:cs="Arial" w:eastAsia="Arial" w:hAnsi="Arial"/>
                <w:sz w:val="18"/>
                <w:szCs w:val="18"/>
                <w:color w:val="auto"/>
              </w:rPr>
              <w:t>as of August 3, 2024, February 3, 2024, and July 29, 2023,</w:t>
            </w:r>
          </w:p>
        </w:tc>
        <w:tc>
          <w:tcPr>
            <w:tcW w:w="18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1"/>
        </w:trPr>
        <w:tc>
          <w:tcPr>
            <w:tcW w:w="5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244,584</w:t>
            </w:r>
          </w:p>
        </w:tc>
        <w:tc>
          <w:tcPr>
            <w:tcW w:w="12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242,098</w:t>
            </w:r>
          </w:p>
        </w:tc>
        <w:tc>
          <w:tcPr>
            <w:tcW w:w="14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236,789</w:t>
            </w:r>
          </w:p>
        </w:tc>
        <w:tc>
          <w:tcPr>
            <w:tcW w:w="0" w:type="dxa"/>
            <w:vAlign w:val="bottom"/>
          </w:tcPr>
          <w:p>
            <w:pPr>
              <w:spacing w:after="0"/>
              <w:rPr>
                <w:sz w:val="1"/>
                <w:szCs w:val="1"/>
                <w:color w:val="auto"/>
              </w:rPr>
            </w:pPr>
          </w:p>
        </w:tc>
      </w:tr>
      <w:tr>
        <w:trPr>
          <w:trHeight w:val="256"/>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1,707,101</w:t>
            </w:r>
          </w:p>
        </w:tc>
        <w:tc>
          <w:tcPr>
            <w:tcW w:w="12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1,711,809</w:t>
            </w:r>
          </w:p>
        </w:tc>
        <w:tc>
          <w:tcPr>
            <w:tcW w:w="14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1,500,502</w:t>
            </w:r>
          </w:p>
        </w:tc>
        <w:tc>
          <w:tcPr>
            <w:tcW w:w="0" w:type="dxa"/>
            <w:vAlign w:val="bottom"/>
          </w:tcPr>
          <w:p>
            <w:pPr>
              <w:spacing w:after="0"/>
              <w:rPr>
                <w:sz w:val="1"/>
                <w:szCs w:val="1"/>
                <w:color w:val="auto"/>
              </w:rPr>
            </w:pPr>
          </w:p>
        </w:tc>
      </w:tr>
      <w:tr>
        <w:trPr>
          <w:trHeight w:val="256"/>
        </w:trPr>
        <w:tc>
          <w:tcPr>
            <w:tcW w:w="558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1,952,394</w:t>
            </w:r>
          </w:p>
        </w:tc>
        <w:tc>
          <w:tcPr>
            <w:tcW w:w="12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1,954,650</w:t>
            </w:r>
          </w:p>
        </w:tc>
        <w:tc>
          <w:tcPr>
            <w:tcW w:w="14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1,738,039</w:t>
            </w:r>
          </w:p>
        </w:tc>
        <w:tc>
          <w:tcPr>
            <w:tcW w:w="0" w:type="dxa"/>
            <w:vAlign w:val="bottom"/>
          </w:tcPr>
          <w:p>
            <w:pPr>
              <w:spacing w:after="0"/>
              <w:rPr>
                <w:sz w:val="1"/>
                <w:szCs w:val="1"/>
                <w:color w:val="auto"/>
              </w:rPr>
            </w:pPr>
          </w:p>
        </w:tc>
      </w:tr>
      <w:tr>
        <w:trPr>
          <w:trHeight w:val="263"/>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4,874,358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4,675,416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-6876415</wp:posOffset>
            </wp:positionV>
            <wp:extent cx="3550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00"/>
          </w:cols>
          <w:pgMar w:left="360" w:top="739"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ACADEMY SPORTS AND OUTDOORS, INC.</w:t>
      </w:r>
    </w:p>
    <w:p>
      <w:pPr>
        <w:jc w:val="center"/>
        <w:ind w:right="40"/>
        <w:spacing w:after="0" w:line="238"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line="229" w:lineRule="auto"/>
        <w:rPr>
          <w:sz w:val="20"/>
          <w:szCs w:val="20"/>
          <w:color w:val="auto"/>
        </w:rPr>
      </w:pPr>
      <w:r>
        <w:rPr>
          <w:rFonts w:ascii="Arial" w:cs="Arial" w:eastAsia="Arial" w:hAnsi="Arial"/>
          <w:sz w:val="18"/>
          <w:szCs w:val="18"/>
          <w:b w:val="1"/>
          <w:bCs w:val="1"/>
          <w:color w:val="auto"/>
        </w:rPr>
        <w:t>(Unaudited)</w:t>
      </w: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20" w:type="dxa"/>
            <w:vAlign w:val="bottom"/>
          </w:tcPr>
          <w:p>
            <w:pPr>
              <w:spacing w:after="0"/>
              <w:rPr>
                <w:sz w:val="22"/>
                <w:szCs w:val="22"/>
                <w:color w:val="auto"/>
              </w:rPr>
            </w:pPr>
          </w:p>
        </w:tc>
        <w:tc>
          <w:tcPr>
            <w:tcW w:w="160" w:type="dxa"/>
            <w:vAlign w:val="bottom"/>
            <w:shd w:val="clear" w:color="auto" w:fill="0A2299"/>
          </w:tcPr>
          <w:p>
            <w:pPr>
              <w:spacing w:after="0"/>
              <w:rPr>
                <w:sz w:val="22"/>
                <w:szCs w:val="22"/>
                <w:color w:val="auto"/>
              </w:rPr>
            </w:pPr>
          </w:p>
        </w:tc>
        <w:tc>
          <w:tcPr>
            <w:tcW w:w="3500" w:type="dxa"/>
            <w:vAlign w:val="bottom"/>
            <w:gridSpan w:val="4"/>
            <w:shd w:val="clear" w:color="auto" w:fill="0A2299"/>
          </w:tcPr>
          <w:p>
            <w:pPr>
              <w:jc w:val="right"/>
              <w:ind w:right="692"/>
              <w:spacing w:after="0"/>
              <w:rPr>
                <w:sz w:val="20"/>
                <w:szCs w:val="20"/>
                <w:color w:val="auto"/>
              </w:rPr>
            </w:pPr>
            <w:r>
              <w:rPr>
                <w:rFonts w:ascii="Arial" w:cs="Arial" w:eastAsia="Arial" w:hAnsi="Arial"/>
                <w:sz w:val="18"/>
                <w:szCs w:val="18"/>
                <w:b w:val="1"/>
                <w:bCs w:val="1"/>
                <w:color w:val="FFFFFF"/>
              </w:rPr>
              <w:t>Twenty-Six Weeks Ended</w:t>
            </w:r>
          </w:p>
        </w:tc>
      </w:tr>
      <w:tr>
        <w:trPr>
          <w:trHeight w:val="279"/>
        </w:trPr>
        <w:tc>
          <w:tcPr>
            <w:tcW w:w="7520" w:type="dxa"/>
            <w:vAlign w:val="bottom"/>
          </w:tcPr>
          <w:p>
            <w:pPr>
              <w:spacing w:after="0"/>
              <w:rPr>
                <w:sz w:val="24"/>
                <w:szCs w:val="24"/>
                <w:color w:val="auto"/>
              </w:rPr>
            </w:pPr>
          </w:p>
        </w:tc>
        <w:tc>
          <w:tcPr>
            <w:tcW w:w="160" w:type="dxa"/>
            <w:vAlign w:val="bottom"/>
            <w:shd w:val="clear" w:color="auto" w:fill="0A2299"/>
          </w:tcPr>
          <w:p>
            <w:pPr>
              <w:spacing w:after="0"/>
              <w:rPr>
                <w:sz w:val="24"/>
                <w:szCs w:val="24"/>
                <w:color w:val="auto"/>
              </w:rPr>
            </w:pPr>
          </w:p>
        </w:tc>
        <w:tc>
          <w:tcPr>
            <w:tcW w:w="1680" w:type="dxa"/>
            <w:vAlign w:val="bottom"/>
            <w:gridSpan w:val="2"/>
            <w:shd w:val="clear" w:color="auto" w:fill="0A2299"/>
          </w:tcPr>
          <w:p>
            <w:pPr>
              <w:ind w:left="60"/>
              <w:spacing w:after="0"/>
              <w:rPr>
                <w:sz w:val="20"/>
                <w:szCs w:val="20"/>
                <w:color w:val="auto"/>
              </w:rPr>
            </w:pPr>
            <w:r>
              <w:rPr>
                <w:rFonts w:ascii="Arial" w:cs="Arial" w:eastAsia="Arial" w:hAnsi="Arial"/>
                <w:sz w:val="18"/>
                <w:szCs w:val="18"/>
                <w:b w:val="1"/>
                <w:bCs w:val="1"/>
                <w:color w:val="FFFFFF"/>
              </w:rPr>
              <w:t>August 3, 2024</w:t>
            </w:r>
          </w:p>
        </w:tc>
        <w:tc>
          <w:tcPr>
            <w:tcW w:w="240" w:type="dxa"/>
            <w:vAlign w:val="bottom"/>
            <w:shd w:val="clear" w:color="auto" w:fill="0A2299"/>
          </w:tcPr>
          <w:p>
            <w:pPr>
              <w:spacing w:after="0"/>
              <w:rPr>
                <w:sz w:val="24"/>
                <w:szCs w:val="24"/>
                <w:color w:val="auto"/>
              </w:rPr>
            </w:pPr>
          </w:p>
        </w:tc>
        <w:tc>
          <w:tcPr>
            <w:tcW w:w="1580" w:type="dxa"/>
            <w:vAlign w:val="bottom"/>
            <w:shd w:val="clear" w:color="auto" w:fill="0A2299"/>
          </w:tcPr>
          <w:p>
            <w:pPr>
              <w:jc w:val="right"/>
              <w:ind w:right="292"/>
              <w:spacing w:after="0"/>
              <w:rPr>
                <w:sz w:val="20"/>
                <w:szCs w:val="20"/>
                <w:color w:val="auto"/>
              </w:rPr>
            </w:pPr>
            <w:r>
              <w:rPr>
                <w:rFonts w:ascii="Arial" w:cs="Arial" w:eastAsia="Arial" w:hAnsi="Arial"/>
                <w:sz w:val="18"/>
                <w:szCs w:val="18"/>
                <w:b w:val="1"/>
                <w:bCs w:val="1"/>
                <w:color w:val="FFFFFF"/>
              </w:rPr>
              <w:t>July 29, 2023</w:t>
            </w:r>
          </w:p>
        </w:tc>
      </w:tr>
      <w:tr>
        <w:trPr>
          <w:trHeight w:val="263"/>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DBDBDB"/>
          </w:tcPr>
          <w:p>
            <w:pPr>
              <w:spacing w:after="0"/>
              <w:rPr>
                <w:sz w:val="22"/>
                <w:szCs w:val="22"/>
                <w:color w:val="auto"/>
              </w:rPr>
            </w:pPr>
          </w:p>
        </w:tc>
        <w:tc>
          <w:tcPr>
            <w:tcW w:w="1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219,053</w:t>
            </w:r>
          </w:p>
        </w:tc>
        <w:tc>
          <w:tcPr>
            <w:tcW w:w="16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251,045</w:t>
            </w:r>
          </w:p>
        </w:tc>
      </w:tr>
      <w:tr>
        <w:trPr>
          <w:trHeight w:val="251"/>
        </w:trPr>
        <w:tc>
          <w:tcPr>
            <w:tcW w:w="7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r>
      <w:tr>
        <w:trPr>
          <w:trHeight w:val="256"/>
        </w:trPr>
        <w:tc>
          <w:tcPr>
            <w:tcW w:w="75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57,771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52,021</w:t>
            </w:r>
          </w:p>
        </w:tc>
      </w:tr>
      <w:tr>
        <w:trPr>
          <w:trHeight w:val="271"/>
        </w:trPr>
        <w:tc>
          <w:tcPr>
            <w:tcW w:w="75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7,271</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1,604</w:t>
            </w:r>
          </w:p>
        </w:tc>
      </w:tr>
      <w:tr>
        <w:trPr>
          <w:trHeight w:val="256"/>
        </w:trPr>
        <w:tc>
          <w:tcPr>
            <w:tcW w:w="752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14,093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19,883</w:t>
            </w:r>
          </w:p>
        </w:tc>
      </w:tr>
      <w:tr>
        <w:trPr>
          <w:trHeight w:val="271"/>
        </w:trPr>
        <w:tc>
          <w:tcPr>
            <w:tcW w:w="75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 of deferred loan and other costs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1,279</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1,348</w:t>
            </w:r>
          </w:p>
        </w:tc>
      </w:tr>
      <w:tr>
        <w:trPr>
          <w:trHeight w:val="256"/>
        </w:trPr>
        <w:tc>
          <w:tcPr>
            <w:tcW w:w="75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71"/>
        </w:trPr>
        <w:tc>
          <w:tcPr>
            <w:tcW w:w="75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Write off of deferred loan costs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520" w:type="dxa"/>
            <w:vAlign w:val="bottom"/>
          </w:tcPr>
          <w:p>
            <w:pPr>
              <w:ind w:left="440"/>
              <w:spacing w:after="0"/>
              <w:rPr>
                <w:sz w:val="20"/>
                <w:szCs w:val="20"/>
                <w:color w:val="auto"/>
              </w:rPr>
            </w:pPr>
            <w:r>
              <w:rPr>
                <w:rFonts w:ascii="Arial" w:cs="Arial" w:eastAsia="Arial" w:hAnsi="Arial"/>
                <w:sz w:val="18"/>
                <w:szCs w:val="18"/>
                <w:color w:val="auto"/>
              </w:rPr>
              <w:t>Gain on disposal of property and equipment</w:t>
            </w:r>
          </w:p>
        </w:tc>
        <w:tc>
          <w:tcPr>
            <w:tcW w:w="160" w:type="dxa"/>
            <w:vAlign w:val="bottom"/>
          </w:tcPr>
          <w:p>
            <w:pPr>
              <w:spacing w:after="0"/>
              <w:rPr>
                <w:sz w:val="22"/>
                <w:szCs w:val="2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51"/>
        </w:trPr>
        <w:tc>
          <w:tcPr>
            <w:tcW w:w="752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r>
      <w:tr>
        <w:trPr>
          <w:trHeight w:val="256"/>
        </w:trPr>
        <w:tc>
          <w:tcPr>
            <w:tcW w:w="7520" w:type="dxa"/>
            <w:vAlign w:val="bottom"/>
          </w:tcPr>
          <w:p>
            <w:pPr>
              <w:ind w:left="6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6,559</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71"/>
        </w:trPr>
        <w:tc>
          <w:tcPr>
            <w:tcW w:w="75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(172,457)</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(25,516)</w:t>
            </w:r>
          </w:p>
        </w:tc>
      </w:tr>
      <w:tr>
        <w:trPr>
          <w:trHeight w:val="256"/>
        </w:trPr>
        <w:tc>
          <w:tcPr>
            <w:tcW w:w="752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(24,943)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(37,559)</w:t>
            </w:r>
          </w:p>
        </w:tc>
      </w:tr>
      <w:tr>
        <w:trPr>
          <w:trHeight w:val="271"/>
        </w:trPr>
        <w:tc>
          <w:tcPr>
            <w:tcW w:w="75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(7,462)</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(6,924)</w:t>
            </w:r>
          </w:p>
        </w:tc>
      </w:tr>
      <w:tr>
        <w:trPr>
          <w:trHeight w:val="256"/>
        </w:trPr>
        <w:tc>
          <w:tcPr>
            <w:tcW w:w="752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153,613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(12,446)</w:t>
            </w:r>
          </w:p>
        </w:tc>
      </w:tr>
      <w:tr>
        <w:trPr>
          <w:trHeight w:val="271"/>
        </w:trPr>
        <w:tc>
          <w:tcPr>
            <w:tcW w:w="75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19,073</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(3,316)</w:t>
            </w:r>
          </w:p>
        </w:tc>
      </w:tr>
      <w:tr>
        <w:trPr>
          <w:trHeight w:val="256"/>
        </w:trPr>
        <w:tc>
          <w:tcPr>
            <w:tcW w:w="7520" w:type="dxa"/>
            <w:vAlign w:val="bottom"/>
          </w:tcPr>
          <w:p>
            <w:pPr>
              <w:ind w:left="6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19,801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1"/>
        </w:trPr>
        <w:tc>
          <w:tcPr>
            <w:tcW w:w="75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DBDBDB"/>
          </w:tcPr>
          <w:p>
            <w:pPr>
              <w:spacing w:after="0"/>
              <w:rPr>
                <w:sz w:val="23"/>
                <w:szCs w:val="23"/>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(1,201)</w:t>
            </w:r>
          </w:p>
        </w:tc>
        <w:tc>
          <w:tcPr>
            <w:tcW w:w="160" w:type="dxa"/>
            <w:vAlign w:val="bottom"/>
            <w:shd w:val="clear" w:color="auto" w:fill="DBDBDB"/>
          </w:tcPr>
          <w:p>
            <w:pPr>
              <w:spacing w:after="0"/>
              <w:rPr>
                <w:sz w:val="23"/>
                <w:szCs w:val="23"/>
                <w:color w:val="auto"/>
              </w:rPr>
            </w:pPr>
          </w:p>
        </w:tc>
        <w:tc>
          <w:tcPr>
            <w:tcW w:w="24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(762)</w:t>
            </w:r>
          </w:p>
        </w:tc>
      </w:tr>
      <w:tr>
        <w:trPr>
          <w:trHeight w:val="249"/>
        </w:trPr>
        <w:tc>
          <w:tcPr>
            <w:tcW w:w="75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291,023</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243,566</w:t>
            </w:r>
          </w:p>
        </w:tc>
      </w:tr>
      <w:tr>
        <w:trPr>
          <w:trHeight w:val="237"/>
        </w:trPr>
        <w:tc>
          <w:tcPr>
            <w:tcW w:w="7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(73,425)</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(109,759)</w:t>
            </w: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Purchases of intangible assets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1"/>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shd w:val="clear" w:color="auto" w:fill="DBDBDB"/>
          </w:tcPr>
          <w:p>
            <w:pPr>
              <w:spacing w:after="0"/>
              <w:rPr>
                <w:sz w:val="23"/>
                <w:szCs w:val="23"/>
                <w:color w:val="auto"/>
              </w:rPr>
            </w:pPr>
          </w:p>
        </w:tc>
        <w:tc>
          <w:tcPr>
            <w:tcW w:w="16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2,126</w:t>
            </w:r>
          </w:p>
        </w:tc>
      </w:tr>
      <w:tr>
        <w:trPr>
          <w:trHeight w:val="249"/>
        </w:trPr>
        <w:tc>
          <w:tcPr>
            <w:tcW w:w="75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(73,739)</w:t>
            </w:r>
          </w:p>
        </w:tc>
        <w:tc>
          <w:tcPr>
            <w:tcW w:w="160" w:type="dxa"/>
            <w:vAlign w:val="bottom"/>
            <w:tcBorders>
              <w:bottom w:val="single" w:sz="8" w:color="DBDBDB"/>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(107,846)</w:t>
            </w:r>
          </w:p>
        </w:tc>
      </w:tr>
      <w:tr>
        <w:trPr>
          <w:trHeight w:val="237"/>
        </w:trPr>
        <w:tc>
          <w:tcPr>
            <w:tcW w:w="7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3,900</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Repayment of Revolving Credit Facilities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(3,900)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Repayment of Term Loan</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Debt issuance fees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(5,690)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Repurchase of common stock for retirement</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(220,325)</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(156,447)</w:t>
            </w: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3,575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11,639</w:t>
            </w: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160" w:type="dxa"/>
            <w:vAlign w:val="bottom"/>
            <w:shd w:val="clear" w:color="auto" w:fill="DBDBDB"/>
          </w:tcPr>
          <w:p>
            <w:pPr>
              <w:spacing w:after="0"/>
              <w:rPr>
                <w:sz w:val="23"/>
                <w:szCs w:val="2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2,819</w:t>
            </w:r>
          </w:p>
        </w:tc>
        <w:tc>
          <w:tcPr>
            <w:tcW w:w="16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2,887</w:t>
            </w:r>
          </w:p>
        </w:tc>
      </w:tr>
      <w:tr>
        <w:trPr>
          <w:trHeight w:val="256"/>
        </w:trPr>
        <w:tc>
          <w:tcPr>
            <w:tcW w:w="752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(3,412)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(4,283)</w:t>
            </w:r>
          </w:p>
        </w:tc>
      </w:tr>
      <w:tr>
        <w:trPr>
          <w:trHeight w:val="271"/>
        </w:trPr>
        <w:tc>
          <w:tcPr>
            <w:tcW w:w="7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auto"/>
            </w:tcBorders>
            <w:shd w:val="clear" w:color="auto" w:fill="DBDBDB"/>
          </w:tcPr>
          <w:p>
            <w:pPr>
              <w:spacing w:after="0"/>
              <w:rPr>
                <w:sz w:val="23"/>
                <w:szCs w:val="23"/>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(16,103)</w:t>
            </w:r>
          </w:p>
        </w:tc>
        <w:tc>
          <w:tcPr>
            <w:tcW w:w="160" w:type="dxa"/>
            <w:vAlign w:val="bottom"/>
            <w:shd w:val="clear" w:color="auto" w:fill="DBDBDB"/>
          </w:tcPr>
          <w:p>
            <w:pPr>
              <w:spacing w:after="0"/>
              <w:rPr>
                <w:sz w:val="23"/>
                <w:szCs w:val="23"/>
                <w:color w:val="auto"/>
              </w:rPr>
            </w:pPr>
          </w:p>
        </w:tc>
        <w:tc>
          <w:tcPr>
            <w:tcW w:w="24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(13,825)</w:t>
            </w:r>
          </w:p>
        </w:tc>
      </w:tr>
      <w:tr>
        <w:trPr>
          <w:trHeight w:val="249"/>
        </w:trPr>
        <w:tc>
          <w:tcPr>
            <w:tcW w:w="75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(240,636)</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(161,529)</w:t>
            </w:r>
          </w:p>
        </w:tc>
      </w:tr>
      <w:tr>
        <w:trPr>
          <w:trHeight w:val="237"/>
        </w:trPr>
        <w:tc>
          <w:tcPr>
            <w:tcW w:w="7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(23,352)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(25,809)</w:t>
            </w:r>
          </w:p>
        </w:tc>
      </w:tr>
      <w:tr>
        <w:trPr>
          <w:trHeight w:val="264"/>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0" w:type="dxa"/>
            <w:vAlign w:val="bottom"/>
            <w:tcBorders>
              <w:bottom w:val="single" w:sz="8" w:color="auto"/>
            </w:tcBorders>
            <w:shd w:val="clear" w:color="auto" w:fill="DBDBDB"/>
          </w:tcPr>
          <w:p>
            <w:pPr>
              <w:spacing w:after="0"/>
              <w:rPr>
                <w:sz w:val="22"/>
                <w:szCs w:val="22"/>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347,920</w:t>
            </w:r>
          </w:p>
        </w:tc>
        <w:tc>
          <w:tcPr>
            <w:tcW w:w="160" w:type="dxa"/>
            <w:vAlign w:val="bottom"/>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337,145</w:t>
            </w:r>
          </w:p>
        </w:tc>
      </w:tr>
      <w:tr>
        <w:trPr>
          <w:trHeight w:val="26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324,568</w:t>
            </w: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311,336</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-7059930</wp:posOffset>
            </wp:positionV>
            <wp:extent cx="2322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-7235190</wp:posOffset>
            </wp:positionV>
            <wp:extent cx="2322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ectPr>
          <w:pgSz w:w="11900" w:h="16838" w:orient="portrait"/>
          <w:cols w:equalWidth="0" w:num="1">
            <w:col w:w="11200"/>
          </w:cols>
          <w:pgMar w:left="360" w:top="739"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11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60" w:top="739" w:right="339" w:bottom="1440" w:gutter="0" w:footer="0" w:header="0"/>
          <w:type w:val="continuous"/>
        </w:sectPr>
      </w:pPr>
    </w:p>
    <w:bookmarkStart w:id="11" w:name="page12"/>
    <w:bookmarkEnd w:id="11"/>
    <w:p>
      <w:pPr>
        <w:jc w:val="center"/>
        <w:spacing w:after="0" w:line="251" w:lineRule="auto"/>
        <w:rPr>
          <w:sz w:val="20"/>
          <w:szCs w:val="20"/>
          <w:color w:val="auto"/>
        </w:rPr>
      </w:pPr>
      <w:r>
        <w:rPr>
          <w:rFonts w:ascii="Arial" w:cs="Arial" w:eastAsia="Arial" w:hAnsi="Arial"/>
          <w:sz w:val="18"/>
          <w:szCs w:val="18"/>
          <w:b w:val="1"/>
          <w:bCs w:val="1"/>
          <w:color w:val="auto"/>
        </w:rPr>
        <w:t>ACADEMY SPORTS AND OUTDOORS, INC. RECONCILIATIONS OF GAAP TO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and other adjustments included in the table below. We define “Adjusted EBIT” as Adjusted EBITDA less depreciation and</w:t>
      </w:r>
    </w:p>
    <w:p>
      <w:pPr>
        <w:spacing w:after="0" w:line="231" w:lineRule="auto"/>
        <w:rPr>
          <w:sz w:val="20"/>
          <w:szCs w:val="20"/>
          <w:color w:val="auto"/>
        </w:rPr>
      </w:pPr>
      <w:r>
        <w:rPr>
          <w:rFonts w:ascii="Arial" w:cs="Arial" w:eastAsia="Arial" w:hAnsi="Arial"/>
          <w:sz w:val="18"/>
          <w:szCs w:val="18"/>
          <w:color w:val="auto"/>
        </w:rPr>
        <w:t>amortization. We describe these adjustments reconciling net income (loss) to Adjusted EBITDA and Adjusted EBIT in the following table (amounts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200" w:type="dxa"/>
            <w:vAlign w:val="bottom"/>
            <w:shd w:val="clear" w:color="auto" w:fill="0A2299"/>
          </w:tcPr>
          <w:p>
            <w:pPr>
              <w:spacing w:after="0"/>
              <w:rPr>
                <w:sz w:val="20"/>
                <w:szCs w:val="20"/>
                <w:color w:val="auto"/>
              </w:rPr>
            </w:pPr>
          </w:p>
        </w:tc>
        <w:tc>
          <w:tcPr>
            <w:tcW w:w="3360" w:type="dxa"/>
            <w:vAlign w:val="bottom"/>
            <w:gridSpan w:val="5"/>
            <w:shd w:val="clear" w:color="auto" w:fill="0A2299"/>
          </w:tcPr>
          <w:p>
            <w:pPr>
              <w:ind w:left="660"/>
              <w:spacing w:after="0"/>
              <w:rPr>
                <w:sz w:val="20"/>
                <w:szCs w:val="20"/>
                <w:color w:val="auto"/>
              </w:rPr>
            </w:pPr>
            <w:r>
              <w:rPr>
                <w:rFonts w:ascii="Arial" w:cs="Arial" w:eastAsia="Arial" w:hAnsi="Arial"/>
                <w:sz w:val="16"/>
                <w:szCs w:val="16"/>
                <w:b w:val="1"/>
                <w:bCs w:val="1"/>
                <w:color w:val="FFFFFF"/>
              </w:rPr>
              <w:t>Thirteen Weeks Ended</w:t>
            </w:r>
          </w:p>
        </w:tc>
        <w:tc>
          <w:tcPr>
            <w:tcW w:w="200" w:type="dxa"/>
            <w:vAlign w:val="bottom"/>
            <w:shd w:val="clear" w:color="auto" w:fill="0A2299"/>
          </w:tcPr>
          <w:p>
            <w:pPr>
              <w:spacing w:after="0"/>
              <w:rPr>
                <w:sz w:val="20"/>
                <w:szCs w:val="20"/>
                <w:color w:val="auto"/>
              </w:rPr>
            </w:pPr>
          </w:p>
        </w:tc>
        <w:tc>
          <w:tcPr>
            <w:tcW w:w="3220" w:type="dxa"/>
            <w:vAlign w:val="bottom"/>
            <w:gridSpan w:val="4"/>
            <w:shd w:val="clear" w:color="auto" w:fill="0A2299"/>
          </w:tcPr>
          <w:p>
            <w:pPr>
              <w:jc w:val="right"/>
              <w:ind w:right="681"/>
              <w:spacing w:after="0"/>
              <w:rPr>
                <w:sz w:val="20"/>
                <w:szCs w:val="20"/>
                <w:color w:val="auto"/>
              </w:rPr>
            </w:pPr>
            <w:r>
              <w:rPr>
                <w:rFonts w:ascii="Arial" w:cs="Arial" w:eastAsia="Arial" w:hAnsi="Arial"/>
                <w:sz w:val="16"/>
                <w:szCs w:val="16"/>
                <w:b w:val="1"/>
                <w:bCs w:val="1"/>
                <w:color w:val="FFFFFF"/>
              </w:rPr>
              <w:t>Twenty-Six Weeks Ended</w:t>
            </w:r>
          </w:p>
        </w:tc>
      </w:tr>
      <w:tr>
        <w:trPr>
          <w:trHeight w:val="250"/>
        </w:trPr>
        <w:tc>
          <w:tcPr>
            <w:tcW w:w="4220" w:type="dxa"/>
            <w:vAlign w:val="bottom"/>
          </w:tcPr>
          <w:p>
            <w:pPr>
              <w:spacing w:after="0"/>
              <w:rPr>
                <w:sz w:val="21"/>
                <w:szCs w:val="21"/>
                <w:color w:val="auto"/>
              </w:rPr>
            </w:pPr>
          </w:p>
        </w:tc>
        <w:tc>
          <w:tcPr>
            <w:tcW w:w="200" w:type="dxa"/>
            <w:vAlign w:val="bottom"/>
            <w:shd w:val="clear" w:color="auto" w:fill="0A2299"/>
          </w:tcPr>
          <w:p>
            <w:pPr>
              <w:spacing w:after="0"/>
              <w:rPr>
                <w:sz w:val="21"/>
                <w:szCs w:val="21"/>
                <w:color w:val="auto"/>
              </w:rPr>
            </w:pPr>
          </w:p>
        </w:tc>
        <w:tc>
          <w:tcPr>
            <w:tcW w:w="156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August 3, 2024</w:t>
            </w:r>
          </w:p>
        </w:tc>
        <w:tc>
          <w:tcPr>
            <w:tcW w:w="220" w:type="dxa"/>
            <w:vAlign w:val="bottom"/>
            <w:shd w:val="clear" w:color="auto" w:fill="0A2299"/>
          </w:tcPr>
          <w:p>
            <w:pPr>
              <w:spacing w:after="0"/>
              <w:rPr>
                <w:sz w:val="21"/>
                <w:szCs w:val="21"/>
                <w:color w:val="auto"/>
              </w:rPr>
            </w:pPr>
          </w:p>
        </w:tc>
        <w:tc>
          <w:tcPr>
            <w:tcW w:w="158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29, 2023</w:t>
            </w:r>
          </w:p>
        </w:tc>
        <w:tc>
          <w:tcPr>
            <w:tcW w:w="200" w:type="dxa"/>
            <w:vAlign w:val="bottom"/>
            <w:shd w:val="clear" w:color="auto" w:fill="0A2299"/>
          </w:tcPr>
          <w:p>
            <w:pPr>
              <w:spacing w:after="0"/>
              <w:rPr>
                <w:sz w:val="21"/>
                <w:szCs w:val="21"/>
                <w:color w:val="auto"/>
              </w:rPr>
            </w:pPr>
          </w:p>
        </w:tc>
        <w:tc>
          <w:tcPr>
            <w:tcW w:w="156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August 3, 2024</w:t>
            </w:r>
          </w:p>
        </w:tc>
        <w:tc>
          <w:tcPr>
            <w:tcW w:w="220" w:type="dxa"/>
            <w:vAlign w:val="bottom"/>
            <w:shd w:val="clear" w:color="auto" w:fill="0A2299"/>
          </w:tcPr>
          <w:p>
            <w:pPr>
              <w:spacing w:after="0"/>
              <w:rPr>
                <w:sz w:val="21"/>
                <w:szCs w:val="21"/>
                <w:color w:val="auto"/>
              </w:rPr>
            </w:pPr>
          </w:p>
        </w:tc>
        <w:tc>
          <w:tcPr>
            <w:tcW w:w="1440" w:type="dxa"/>
            <w:vAlign w:val="bottom"/>
            <w:shd w:val="clear" w:color="auto" w:fill="0A2299"/>
          </w:tcPr>
          <w:p>
            <w:pPr>
              <w:jc w:val="right"/>
              <w:ind w:right="261"/>
              <w:spacing w:after="0"/>
              <w:rPr>
                <w:sz w:val="20"/>
                <w:szCs w:val="20"/>
                <w:color w:val="auto"/>
              </w:rPr>
            </w:pPr>
            <w:r>
              <w:rPr>
                <w:rFonts w:ascii="Arial" w:cs="Arial" w:eastAsia="Arial" w:hAnsi="Arial"/>
                <w:sz w:val="16"/>
                <w:szCs w:val="16"/>
                <w:b w:val="1"/>
                <w:bCs w:val="1"/>
                <w:color w:val="FFFFFF"/>
              </w:rPr>
              <w:t>July 29, 2023</w:t>
            </w:r>
          </w:p>
        </w:tc>
      </w:tr>
      <w:tr>
        <w:trPr>
          <w:trHeight w:val="250"/>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142,588</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157,075</w:t>
            </w:r>
          </w:p>
        </w:tc>
        <w:tc>
          <w:tcPr>
            <w:tcW w:w="14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219,053</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251,045</w:t>
            </w:r>
          </w:p>
        </w:tc>
      </w:tr>
      <w:tr>
        <w:trPr>
          <w:trHeight w:val="233"/>
        </w:trPr>
        <w:tc>
          <w:tcPr>
            <w:tcW w:w="42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9,071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11,313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18,557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22,543</w:t>
            </w:r>
          </w:p>
        </w:tc>
      </w:tr>
      <w:tr>
        <w:trPr>
          <w:trHeight w:val="241"/>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43,958</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46,198</w:t>
            </w:r>
          </w:p>
        </w:tc>
        <w:tc>
          <w:tcPr>
            <w:tcW w:w="1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65,145</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70,907</w:t>
            </w:r>
          </w:p>
        </w:tc>
      </w:tr>
      <w:tr>
        <w:trPr>
          <w:trHeight w:val="233"/>
        </w:trPr>
        <w:tc>
          <w:tcPr>
            <w:tcW w:w="4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28,918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25,760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57,771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52,021</w:t>
            </w:r>
          </w:p>
        </w:tc>
      </w:tr>
      <w:tr>
        <w:trPr>
          <w:trHeight w:val="241"/>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20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7,955</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8,501</w:t>
            </w:r>
          </w:p>
        </w:tc>
        <w:tc>
          <w:tcPr>
            <w:tcW w:w="1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14,093</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19,883</w:t>
            </w:r>
          </w:p>
        </w:tc>
      </w:tr>
      <w:tr>
        <w:trPr>
          <w:trHeight w:val="233"/>
        </w:trPr>
        <w:tc>
          <w:tcPr>
            <w:tcW w:w="4220" w:type="dxa"/>
            <w:vAlign w:val="bottom"/>
          </w:tcPr>
          <w:p>
            <w:pPr>
              <w:ind w:left="20"/>
              <w:spacing w:after="0"/>
              <w:rPr>
                <w:sz w:val="20"/>
                <w:szCs w:val="20"/>
                <w:color w:val="auto"/>
              </w:rPr>
            </w:pPr>
            <w:r>
              <w:rPr>
                <w:rFonts w:ascii="Arial" w:cs="Arial" w:eastAsia="Arial" w:hAnsi="Arial"/>
                <w:sz w:val="16"/>
                <w:szCs w:val="16"/>
                <w:color w:val="auto"/>
              </w:rPr>
              <w:t>Write off of deferred loan costs</w:t>
            </w: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449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22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232,490</w:t>
            </w:r>
          </w:p>
        </w:tc>
        <w:tc>
          <w:tcPr>
            <w:tcW w:w="10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bottom w:val="single" w:sz="8" w:color="auto"/>
            </w:tcBorders>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248,847</w:t>
            </w:r>
          </w:p>
        </w:tc>
        <w:tc>
          <w:tcPr>
            <w:tcW w:w="14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375,068</w:t>
            </w: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416,399</w:t>
            </w:r>
          </w:p>
        </w:tc>
      </w:tr>
      <w:tr>
        <w:trPr>
          <w:trHeight w:val="230"/>
        </w:trPr>
        <w:tc>
          <w:tcPr>
            <w:tcW w:w="4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(28,918)</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(25,760)</w:t>
            </w:r>
          </w:p>
        </w:tc>
        <w:tc>
          <w:tcPr>
            <w:tcW w:w="14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(57,771)</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(52,021)</w:t>
            </w:r>
          </w:p>
        </w:tc>
      </w:tr>
      <w:tr>
        <w:trPr>
          <w:trHeight w:val="259"/>
        </w:trPr>
        <w:tc>
          <w:tcPr>
            <w:tcW w:w="42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EBIT</w:t>
            </w:r>
          </w:p>
        </w:tc>
        <w:tc>
          <w:tcPr>
            <w:tcW w:w="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203,572</w:t>
            </w: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223,087</w:t>
            </w:r>
          </w:p>
        </w:tc>
        <w:tc>
          <w:tcPr>
            <w:tcW w:w="14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317,297</w:t>
            </w:r>
          </w:p>
        </w:tc>
        <w:tc>
          <w:tcPr>
            <w:tcW w:w="8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364,378</w:t>
            </w: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-1419860</wp:posOffset>
            </wp:positionV>
            <wp:extent cx="44284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28490" cy="825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-1578610</wp:posOffset>
            </wp:positionV>
            <wp:extent cx="4428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28490" cy="8255"/>
                    </a:xfrm>
                    <a:prstGeom prst="rect">
                      <a:avLst/>
                    </a:prstGeom>
                    <a:noFill/>
                  </pic:spPr>
                </pic:pic>
              </a:graphicData>
            </a:graphic>
          </wp:anchor>
        </w:drawing>
      </w:r>
    </w:p>
    <w:p>
      <w:pPr>
        <w:spacing w:after="0" w:line="107" w:lineRule="exact"/>
        <w:rPr>
          <w:sz w:val="20"/>
          <w:szCs w:val="20"/>
          <w:color w:val="auto"/>
        </w:rPr>
      </w:pPr>
    </w:p>
    <w:p>
      <w:pPr>
        <w:ind w:left="20" w:right="140" w:firstLine="3"/>
        <w:spacing w:after="0" w:line="314" w:lineRule="auto"/>
        <w:tabs>
          <w:tab w:leader="none" w:pos="204"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7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180" w:type="dxa"/>
            <w:vAlign w:val="bottom"/>
            <w:shd w:val="clear" w:color="auto" w:fill="0A2299"/>
          </w:tcPr>
          <w:p>
            <w:pPr>
              <w:spacing w:after="0"/>
              <w:rPr>
                <w:sz w:val="20"/>
                <w:szCs w:val="20"/>
                <w:color w:val="auto"/>
              </w:rPr>
            </w:pPr>
          </w:p>
        </w:tc>
        <w:tc>
          <w:tcPr>
            <w:tcW w:w="3400" w:type="dxa"/>
            <w:vAlign w:val="bottom"/>
            <w:gridSpan w:val="5"/>
            <w:shd w:val="clear" w:color="auto" w:fill="0A2299"/>
          </w:tcPr>
          <w:p>
            <w:pPr>
              <w:ind w:left="680"/>
              <w:spacing w:after="0"/>
              <w:rPr>
                <w:sz w:val="20"/>
                <w:szCs w:val="20"/>
                <w:color w:val="auto"/>
              </w:rPr>
            </w:pPr>
            <w:r>
              <w:rPr>
                <w:rFonts w:ascii="Arial" w:cs="Arial" w:eastAsia="Arial" w:hAnsi="Arial"/>
                <w:sz w:val="16"/>
                <w:szCs w:val="16"/>
                <w:b w:val="1"/>
                <w:bCs w:val="1"/>
                <w:color w:val="FFFFFF"/>
              </w:rPr>
              <w:t>Thirteen Weeks Ended</w:t>
            </w:r>
          </w:p>
        </w:tc>
        <w:tc>
          <w:tcPr>
            <w:tcW w:w="200" w:type="dxa"/>
            <w:vAlign w:val="bottom"/>
            <w:shd w:val="clear" w:color="auto" w:fill="0A2299"/>
          </w:tcPr>
          <w:p>
            <w:pPr>
              <w:spacing w:after="0"/>
              <w:rPr>
                <w:sz w:val="20"/>
                <w:szCs w:val="20"/>
                <w:color w:val="auto"/>
              </w:rPr>
            </w:pPr>
          </w:p>
        </w:tc>
        <w:tc>
          <w:tcPr>
            <w:tcW w:w="3240" w:type="dxa"/>
            <w:vAlign w:val="bottom"/>
            <w:gridSpan w:val="4"/>
            <w:shd w:val="clear" w:color="auto" w:fill="0A2299"/>
          </w:tcPr>
          <w:p>
            <w:pPr>
              <w:jc w:val="right"/>
              <w:ind w:right="681"/>
              <w:spacing w:after="0"/>
              <w:rPr>
                <w:sz w:val="20"/>
                <w:szCs w:val="20"/>
                <w:color w:val="auto"/>
              </w:rPr>
            </w:pPr>
            <w:r>
              <w:rPr>
                <w:rFonts w:ascii="Arial" w:cs="Arial" w:eastAsia="Arial" w:hAnsi="Arial"/>
                <w:sz w:val="16"/>
                <w:szCs w:val="16"/>
                <w:b w:val="1"/>
                <w:bCs w:val="1"/>
                <w:color w:val="FFFFFF"/>
              </w:rPr>
              <w:t>Twenty-Six Weeks Ended</w:t>
            </w:r>
          </w:p>
        </w:tc>
      </w:tr>
      <w:tr>
        <w:trPr>
          <w:trHeight w:val="250"/>
        </w:trPr>
        <w:tc>
          <w:tcPr>
            <w:tcW w:w="4220" w:type="dxa"/>
            <w:vAlign w:val="bottom"/>
          </w:tcPr>
          <w:p>
            <w:pPr>
              <w:spacing w:after="0"/>
              <w:rPr>
                <w:sz w:val="21"/>
                <w:szCs w:val="21"/>
                <w:color w:val="auto"/>
              </w:rPr>
            </w:pPr>
          </w:p>
        </w:tc>
        <w:tc>
          <w:tcPr>
            <w:tcW w:w="180" w:type="dxa"/>
            <w:vAlign w:val="bottom"/>
            <w:shd w:val="clear" w:color="auto" w:fill="0A2299"/>
          </w:tcPr>
          <w:p>
            <w:pPr>
              <w:spacing w:after="0"/>
              <w:rPr>
                <w:sz w:val="21"/>
                <w:szCs w:val="21"/>
                <w:color w:val="auto"/>
              </w:rPr>
            </w:pPr>
          </w:p>
        </w:tc>
        <w:tc>
          <w:tcPr>
            <w:tcW w:w="156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August 3, 2024</w:t>
            </w:r>
          </w:p>
        </w:tc>
        <w:tc>
          <w:tcPr>
            <w:tcW w:w="220" w:type="dxa"/>
            <w:vAlign w:val="bottom"/>
            <w:shd w:val="clear" w:color="auto" w:fill="0A2299"/>
          </w:tcPr>
          <w:p>
            <w:pPr>
              <w:spacing w:after="0"/>
              <w:rPr>
                <w:sz w:val="21"/>
                <w:szCs w:val="21"/>
                <w:color w:val="auto"/>
              </w:rPr>
            </w:pPr>
          </w:p>
        </w:tc>
        <w:tc>
          <w:tcPr>
            <w:tcW w:w="162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July 29, 2023</w:t>
            </w:r>
          </w:p>
        </w:tc>
        <w:tc>
          <w:tcPr>
            <w:tcW w:w="200" w:type="dxa"/>
            <w:vAlign w:val="bottom"/>
            <w:shd w:val="clear" w:color="auto" w:fill="0A2299"/>
          </w:tcPr>
          <w:p>
            <w:pPr>
              <w:spacing w:after="0"/>
              <w:rPr>
                <w:sz w:val="21"/>
                <w:szCs w:val="21"/>
                <w:color w:val="auto"/>
              </w:rPr>
            </w:pPr>
          </w:p>
        </w:tc>
        <w:tc>
          <w:tcPr>
            <w:tcW w:w="158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August 3, 2024</w:t>
            </w:r>
          </w:p>
        </w:tc>
        <w:tc>
          <w:tcPr>
            <w:tcW w:w="220" w:type="dxa"/>
            <w:vAlign w:val="bottom"/>
            <w:shd w:val="clear" w:color="auto" w:fill="0A2299"/>
          </w:tcPr>
          <w:p>
            <w:pPr>
              <w:spacing w:after="0"/>
              <w:rPr>
                <w:sz w:val="21"/>
                <w:szCs w:val="21"/>
                <w:color w:val="auto"/>
              </w:rPr>
            </w:pPr>
          </w:p>
        </w:tc>
        <w:tc>
          <w:tcPr>
            <w:tcW w:w="1440" w:type="dxa"/>
            <w:vAlign w:val="bottom"/>
            <w:shd w:val="clear" w:color="auto" w:fill="0A2299"/>
          </w:tcPr>
          <w:p>
            <w:pPr>
              <w:jc w:val="right"/>
              <w:ind w:right="261"/>
              <w:spacing w:after="0"/>
              <w:rPr>
                <w:sz w:val="20"/>
                <w:szCs w:val="20"/>
                <w:color w:val="auto"/>
              </w:rPr>
            </w:pPr>
            <w:r>
              <w:rPr>
                <w:rFonts w:ascii="Arial" w:cs="Arial" w:eastAsia="Arial" w:hAnsi="Arial"/>
                <w:sz w:val="16"/>
                <w:szCs w:val="16"/>
                <w:b w:val="1"/>
                <w:bCs w:val="1"/>
                <w:color w:val="FFFFFF"/>
              </w:rPr>
              <w:t>July 29, 2023</w:t>
            </w:r>
          </w:p>
        </w:tc>
      </w:tr>
      <w:tr>
        <w:trPr>
          <w:trHeight w:val="250"/>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142,588</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157,075</w:t>
            </w:r>
          </w:p>
        </w:tc>
        <w:tc>
          <w:tcPr>
            <w:tcW w:w="18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219,053</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251,045</w:t>
            </w:r>
          </w:p>
        </w:tc>
      </w:tr>
      <w:tr>
        <w:trPr>
          <w:trHeight w:val="233"/>
        </w:trPr>
        <w:tc>
          <w:tcPr>
            <w:tcW w:w="422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18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7,955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8,501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14,093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19,883</w:t>
            </w:r>
          </w:p>
        </w:tc>
      </w:tr>
      <w:tr>
        <w:trPr>
          <w:trHeight w:val="241"/>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Write off of deferred loan costs</w:t>
            </w:r>
          </w:p>
        </w:tc>
        <w:tc>
          <w:tcPr>
            <w:tcW w:w="180" w:type="dxa"/>
            <w:vAlign w:val="bottom"/>
            <w:shd w:val="clear" w:color="auto" w:fill="DBDBDB"/>
          </w:tcPr>
          <w:p>
            <w:pPr>
              <w:spacing w:after="0"/>
              <w:rPr>
                <w:sz w:val="20"/>
                <w:szCs w:val="20"/>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DBDBDB"/>
          </w:tcPr>
          <w:p>
            <w:pPr>
              <w:spacing w:after="0"/>
              <w:rPr>
                <w:sz w:val="20"/>
                <w:szCs w:val="20"/>
                <w:color w:val="auto"/>
              </w:rPr>
            </w:pPr>
          </w:p>
        </w:tc>
        <w:tc>
          <w:tcPr>
            <w:tcW w:w="162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449</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effects of these adjustments (b)</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(1,901)</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(3,333)</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w:t>
            </w:r>
          </w:p>
        </w:tc>
      </w:tr>
      <w:tr>
        <w:trPr>
          <w:trHeight w:val="234"/>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Net Income</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148,642</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163,568</w:t>
            </w:r>
          </w:p>
        </w:tc>
        <w:tc>
          <w:tcPr>
            <w:tcW w:w="18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230,262</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266,550</w:t>
            </w:r>
          </w:p>
        </w:tc>
      </w:tr>
      <w:tr>
        <w:trPr>
          <w:trHeight w:val="145"/>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7"/>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r>
      <w:tr>
        <w:trPr>
          <w:trHeight w:val="233"/>
        </w:trPr>
        <w:tc>
          <w:tcPr>
            <w:tcW w:w="422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1.99</w:t>
            </w:r>
          </w:p>
        </w:tc>
        <w:tc>
          <w:tcPr>
            <w:tcW w:w="8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2.06</w:t>
            </w:r>
          </w:p>
        </w:tc>
        <w:tc>
          <w:tcPr>
            <w:tcW w:w="18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41"/>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2.93</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29"/>
        </w:trPr>
        <w:tc>
          <w:tcPr>
            <w:tcW w:w="4220" w:type="dxa"/>
            <w:vAlign w:val="bottom"/>
          </w:tcPr>
          <w:p>
            <w:pPr>
              <w:ind w:left="20"/>
              <w:spacing w:after="0"/>
              <w:rPr>
                <w:sz w:val="20"/>
                <w:szCs w:val="20"/>
                <w:color w:val="auto"/>
              </w:rPr>
            </w:pPr>
            <w:r>
              <w:rPr>
                <w:rFonts w:ascii="Arial" w:cs="Arial" w:eastAsia="Arial" w:hAnsi="Arial"/>
                <w:sz w:val="16"/>
                <w:szCs w:val="16"/>
                <w:color w:val="auto"/>
              </w:rPr>
              <w:t>Adjusted earnings per common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5"/>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2.07</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2.15</w:t>
            </w:r>
          </w:p>
        </w:tc>
        <w:tc>
          <w:tcPr>
            <w:tcW w:w="18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3.16</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3.49</w:t>
            </w:r>
          </w:p>
        </w:tc>
      </w:tr>
      <w:tr>
        <w:trPr>
          <w:trHeight w:val="233"/>
        </w:trPr>
        <w:tc>
          <w:tcPr>
            <w:tcW w:w="42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2.03</w:t>
            </w:r>
          </w:p>
        </w:tc>
        <w:tc>
          <w:tcPr>
            <w:tcW w:w="8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3.08</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41"/>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r>
      <w:tr>
        <w:trPr>
          <w:trHeight w:val="233"/>
        </w:trPr>
        <w:tc>
          <w:tcPr>
            <w:tcW w:w="422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71,829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76,104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72,911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76,483</w:t>
            </w:r>
          </w:p>
        </w:tc>
      </w:tr>
      <w:tr>
        <w:trPr>
          <w:trHeight w:val="241"/>
        </w:trPr>
        <w:tc>
          <w:tcPr>
            <w:tcW w:w="4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73,289</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78,091</w:t>
            </w:r>
          </w:p>
        </w:tc>
        <w:tc>
          <w:tcPr>
            <w:tcW w:w="1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74,651</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-2213610</wp:posOffset>
            </wp:positionV>
            <wp:extent cx="4462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62145" cy="825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-2372360</wp:posOffset>
            </wp:positionV>
            <wp:extent cx="4462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62145" cy="8255"/>
                    </a:xfrm>
                    <a:prstGeom prst="rect">
                      <a:avLst/>
                    </a:prstGeom>
                    <a:noFill/>
                  </pic:spPr>
                </pic:pic>
              </a:graphicData>
            </a:graphic>
          </wp:anchor>
        </w:drawing>
      </w:r>
    </w:p>
    <w:p>
      <w:pPr>
        <w:spacing w:after="0" w:line="94" w:lineRule="exact"/>
        <w:rPr>
          <w:sz w:val="20"/>
          <w:szCs w:val="20"/>
          <w:color w:val="auto"/>
        </w:rPr>
      </w:pPr>
    </w:p>
    <w:p>
      <w:pPr>
        <w:ind w:left="20" w:right="140" w:firstLine="3"/>
        <w:spacing w:after="0" w:line="291" w:lineRule="auto"/>
        <w:tabs>
          <w:tab w:leader="none" w:pos="204"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7" w:lineRule="exact"/>
        <w:rPr>
          <w:rFonts w:ascii="Arial" w:cs="Arial" w:eastAsia="Arial" w:hAnsi="Arial"/>
          <w:sz w:val="12"/>
          <w:szCs w:val="12"/>
          <w:color w:val="auto"/>
        </w:rPr>
      </w:pPr>
    </w:p>
    <w:p>
      <w:pPr>
        <w:ind w:left="20" w:right="380" w:firstLine="3"/>
        <w:spacing w:after="0" w:line="291" w:lineRule="auto"/>
        <w:tabs>
          <w:tab w:leader="none" w:pos="204"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the thirteen and twenty-six weeks ended August 3, 2024 and July 29, 2023, this represents the estimated tax effect (by using the projected full year tax rates for the respective years) of the total adjustments made to arrive at Adjusted Net Income.</w:t>
      </w:r>
    </w:p>
    <w:p>
      <w:pPr>
        <w:spacing w:after="0" w:line="272"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Adjusted Net Income and Adjusted Earnings Per Common Share, Diluted, Guidance Reconciliation (amounts 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1840" w:type="dxa"/>
            <w:vAlign w:val="bottom"/>
            <w:shd w:val="clear" w:color="auto" w:fill="0A2299"/>
          </w:tcPr>
          <w:p>
            <w:pPr>
              <w:jc w:val="center"/>
              <w:ind w:left="381"/>
              <w:spacing w:after="0"/>
              <w:rPr>
                <w:sz w:val="20"/>
                <w:szCs w:val="20"/>
                <w:color w:val="auto"/>
              </w:rPr>
            </w:pPr>
            <w:r>
              <w:rPr>
                <w:rFonts w:ascii="Arial" w:cs="Arial" w:eastAsia="Arial" w:hAnsi="Arial"/>
                <w:sz w:val="16"/>
                <w:szCs w:val="16"/>
                <w:b w:val="1"/>
                <w:bCs w:val="1"/>
                <w:color w:val="FFFFFF"/>
                <w:w w:val="98"/>
              </w:rPr>
              <w:t>Low Range*</w:t>
            </w:r>
          </w:p>
        </w:tc>
        <w:tc>
          <w:tcPr>
            <w:tcW w:w="460" w:type="dxa"/>
            <w:vAlign w:val="bottom"/>
            <w:shd w:val="clear" w:color="auto" w:fill="0A2299"/>
          </w:tcPr>
          <w:p>
            <w:pPr>
              <w:spacing w:after="0"/>
              <w:rPr>
                <w:sz w:val="20"/>
                <w:szCs w:val="20"/>
                <w:color w:val="auto"/>
              </w:rPr>
            </w:pPr>
          </w:p>
        </w:tc>
        <w:tc>
          <w:tcPr>
            <w:tcW w:w="100" w:type="dxa"/>
            <w:vAlign w:val="bottom"/>
            <w:shd w:val="clear" w:color="auto" w:fill="0A2299"/>
          </w:tcPr>
          <w:p>
            <w:pPr>
              <w:spacing w:after="0"/>
              <w:rPr>
                <w:sz w:val="20"/>
                <w:szCs w:val="20"/>
                <w:color w:val="auto"/>
              </w:rPr>
            </w:pPr>
          </w:p>
        </w:tc>
        <w:tc>
          <w:tcPr>
            <w:tcW w:w="260" w:type="dxa"/>
            <w:vAlign w:val="bottom"/>
            <w:shd w:val="clear" w:color="auto" w:fill="0A2299"/>
          </w:tcPr>
          <w:p>
            <w:pPr>
              <w:spacing w:after="0"/>
              <w:rPr>
                <w:sz w:val="20"/>
                <w:szCs w:val="20"/>
                <w:color w:val="auto"/>
              </w:rPr>
            </w:pPr>
          </w:p>
        </w:tc>
        <w:tc>
          <w:tcPr>
            <w:tcW w:w="2040" w:type="dxa"/>
            <w:vAlign w:val="bottom"/>
            <w:shd w:val="clear" w:color="auto" w:fill="0A2299"/>
          </w:tcPr>
          <w:p>
            <w:pPr>
              <w:jc w:val="center"/>
              <w:ind w:right="181"/>
              <w:spacing w:after="0"/>
              <w:rPr>
                <w:sz w:val="20"/>
                <w:szCs w:val="20"/>
                <w:color w:val="auto"/>
              </w:rPr>
            </w:pPr>
            <w:r>
              <w:rPr>
                <w:rFonts w:ascii="Arial" w:cs="Arial" w:eastAsia="Arial" w:hAnsi="Arial"/>
                <w:sz w:val="16"/>
                <w:szCs w:val="16"/>
                <w:b w:val="1"/>
                <w:bCs w:val="1"/>
                <w:color w:val="FFFFFF"/>
                <w:w w:val="98"/>
              </w:rPr>
              <w:t>High Range*</w:t>
            </w:r>
          </w:p>
        </w:tc>
      </w:tr>
      <w:tr>
        <w:trPr>
          <w:trHeight w:val="210"/>
        </w:trPr>
        <w:tc>
          <w:tcPr>
            <w:tcW w:w="6540" w:type="dxa"/>
            <w:vAlign w:val="bottom"/>
          </w:tcPr>
          <w:p>
            <w:pPr>
              <w:spacing w:after="0"/>
              <w:rPr>
                <w:sz w:val="18"/>
                <w:szCs w:val="18"/>
                <w:color w:val="auto"/>
              </w:rPr>
            </w:pPr>
          </w:p>
        </w:tc>
        <w:tc>
          <w:tcPr>
            <w:tcW w:w="1840" w:type="dxa"/>
            <w:vAlign w:val="bottom"/>
            <w:shd w:val="clear" w:color="auto" w:fill="0A2299"/>
          </w:tcPr>
          <w:p>
            <w:pPr>
              <w:jc w:val="center"/>
              <w:ind w:left="361"/>
              <w:spacing w:after="0"/>
              <w:rPr>
                <w:sz w:val="20"/>
                <w:szCs w:val="20"/>
                <w:color w:val="auto"/>
              </w:rPr>
            </w:pPr>
            <w:r>
              <w:rPr>
                <w:rFonts w:ascii="Arial" w:cs="Arial" w:eastAsia="Arial" w:hAnsi="Arial"/>
                <w:sz w:val="16"/>
                <w:szCs w:val="16"/>
                <w:b w:val="1"/>
                <w:bCs w:val="1"/>
                <w:color w:val="FFFFFF"/>
                <w:w w:val="97"/>
              </w:rPr>
              <w:t>Fiscal Year Ending</w:t>
            </w:r>
          </w:p>
        </w:tc>
        <w:tc>
          <w:tcPr>
            <w:tcW w:w="460" w:type="dxa"/>
            <w:vAlign w:val="bottom"/>
            <w:shd w:val="clear" w:color="auto" w:fill="0A2299"/>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2040" w:type="dxa"/>
            <w:vAlign w:val="bottom"/>
            <w:shd w:val="clear" w:color="auto" w:fill="0A2299"/>
          </w:tcPr>
          <w:p>
            <w:pPr>
              <w:jc w:val="center"/>
              <w:ind w:right="221"/>
              <w:spacing w:after="0"/>
              <w:rPr>
                <w:sz w:val="20"/>
                <w:szCs w:val="20"/>
                <w:color w:val="auto"/>
              </w:rPr>
            </w:pPr>
            <w:r>
              <w:rPr>
                <w:rFonts w:ascii="Arial" w:cs="Arial" w:eastAsia="Arial" w:hAnsi="Arial"/>
                <w:sz w:val="16"/>
                <w:szCs w:val="16"/>
                <w:b w:val="1"/>
                <w:bCs w:val="1"/>
                <w:color w:val="FFFFFF"/>
                <w:w w:val="99"/>
              </w:rPr>
              <w:t>Fiscal Year Ending</w:t>
            </w:r>
          </w:p>
        </w:tc>
      </w:tr>
      <w:tr>
        <w:trPr>
          <w:trHeight w:val="218"/>
        </w:trPr>
        <w:tc>
          <w:tcPr>
            <w:tcW w:w="6540" w:type="dxa"/>
            <w:vAlign w:val="bottom"/>
          </w:tcPr>
          <w:p>
            <w:pPr>
              <w:spacing w:after="0"/>
              <w:rPr>
                <w:sz w:val="18"/>
                <w:szCs w:val="18"/>
                <w:color w:val="auto"/>
              </w:rPr>
            </w:pPr>
          </w:p>
        </w:tc>
        <w:tc>
          <w:tcPr>
            <w:tcW w:w="1840" w:type="dxa"/>
            <w:vAlign w:val="bottom"/>
            <w:tcBorders>
              <w:bottom w:val="single" w:sz="8" w:color="0A2299"/>
            </w:tcBorders>
            <w:shd w:val="clear" w:color="auto" w:fill="0A2299"/>
          </w:tcPr>
          <w:p>
            <w:pPr>
              <w:jc w:val="center"/>
              <w:ind w:left="401"/>
              <w:spacing w:after="0"/>
              <w:rPr>
                <w:sz w:val="20"/>
                <w:szCs w:val="20"/>
                <w:color w:val="auto"/>
              </w:rPr>
            </w:pPr>
            <w:r>
              <w:rPr>
                <w:rFonts w:ascii="Arial" w:cs="Arial" w:eastAsia="Arial" w:hAnsi="Arial"/>
                <w:sz w:val="16"/>
                <w:szCs w:val="16"/>
                <w:b w:val="1"/>
                <w:bCs w:val="1"/>
                <w:color w:val="FFFFFF"/>
                <w:w w:val="98"/>
              </w:rPr>
              <w:t>February 1, 2025</w:t>
            </w:r>
          </w:p>
        </w:tc>
        <w:tc>
          <w:tcPr>
            <w:tcW w:w="460" w:type="dxa"/>
            <w:vAlign w:val="bottom"/>
            <w:tcBorders>
              <w:bottom w:val="single" w:sz="8" w:color="0A2299"/>
            </w:tcBorders>
            <w:shd w:val="clear" w:color="auto" w:fill="0A2299"/>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A2299"/>
            </w:tcBorders>
            <w:shd w:val="clear" w:color="auto" w:fill="0A2299"/>
          </w:tcPr>
          <w:p>
            <w:pPr>
              <w:spacing w:after="0"/>
              <w:rPr>
                <w:sz w:val="18"/>
                <w:szCs w:val="18"/>
                <w:color w:val="auto"/>
              </w:rPr>
            </w:pPr>
          </w:p>
        </w:tc>
        <w:tc>
          <w:tcPr>
            <w:tcW w:w="2040" w:type="dxa"/>
            <w:vAlign w:val="bottom"/>
            <w:tcBorders>
              <w:bottom w:val="single" w:sz="8" w:color="0A2299"/>
            </w:tcBorders>
            <w:shd w:val="clear" w:color="auto" w:fill="0A2299"/>
          </w:tcPr>
          <w:p>
            <w:pPr>
              <w:jc w:val="center"/>
              <w:ind w:right="181"/>
              <w:spacing w:after="0"/>
              <w:rPr>
                <w:sz w:val="20"/>
                <w:szCs w:val="20"/>
                <w:color w:val="auto"/>
              </w:rPr>
            </w:pPr>
            <w:r>
              <w:rPr>
                <w:rFonts w:ascii="Arial" w:cs="Arial" w:eastAsia="Arial" w:hAnsi="Arial"/>
                <w:sz w:val="16"/>
                <w:szCs w:val="16"/>
                <w:b w:val="1"/>
                <w:bCs w:val="1"/>
                <w:color w:val="FFFFFF"/>
                <w:w w:val="99"/>
              </w:rPr>
              <w:t>February 1, 2025</w:t>
            </w:r>
          </w:p>
        </w:tc>
      </w:tr>
      <w:tr>
        <w:trPr>
          <w:trHeight w:val="250"/>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840" w:type="dxa"/>
            <w:vAlign w:val="bottom"/>
            <w:shd w:val="clear" w:color="auto" w:fill="DBDBDB"/>
          </w:tcPr>
          <w:p>
            <w:pPr>
              <w:jc w:val="right"/>
              <w:ind w:right="1641"/>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4"/>
              </w:rPr>
              <w:t>400.0</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-158115</wp:posOffset>
            </wp:positionV>
            <wp:extent cx="2983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-441960</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Tax effects of these adjustments </w:t>
      </w:r>
      <w:r>
        <w:rPr>
          <w:rFonts w:ascii="Arial" w:cs="Arial" w:eastAsia="Arial" w:hAnsi="Arial"/>
          <w:sz w:val="11"/>
          <w:szCs w:val="11"/>
          <w:color w:val="auto"/>
        </w:rPr>
        <w:t>(a)</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Adjusted 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7"/>
                <w:szCs w:val="17"/>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46"/>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0"/>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r>
      <w:tr>
        <w:trPr>
          <w:trHeight w:val="26"/>
        </w:trPr>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-342265</wp:posOffset>
            </wp:positionV>
            <wp:extent cx="7135495" cy="150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-15875</wp:posOffset>
            </wp:positionV>
            <wp:extent cx="7135495" cy="167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700"/>
          </w:cols>
          <w:pgMar w:left="320" w:top="952" w:right="3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Earnings Per Common Share, Diluted</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821"/>
              <w:spacing w:after="0"/>
              <w:rPr>
                <w:sz w:val="20"/>
                <w:szCs w:val="20"/>
                <w:color w:val="auto"/>
              </w:rPr>
            </w:pPr>
            <w:r>
              <w:rPr>
                <w:rFonts w:ascii="Arial" w:cs="Arial" w:eastAsia="Arial" w:hAnsi="Arial"/>
                <w:sz w:val="16"/>
                <w:szCs w:val="16"/>
                <w:color w:val="auto"/>
                <w:w w:val="96"/>
              </w:rPr>
              <w:t>5.45</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801"/>
              <w:spacing w:after="0"/>
              <w:rPr>
                <w:sz w:val="20"/>
                <w:szCs w:val="20"/>
                <w:color w:val="auto"/>
              </w:rPr>
            </w:pPr>
            <w:r>
              <w:rPr>
                <w:rFonts w:ascii="Arial" w:cs="Arial" w:eastAsia="Arial" w:hAnsi="Arial"/>
                <w:sz w:val="16"/>
                <w:szCs w:val="16"/>
                <w:color w:val="auto"/>
              </w:rPr>
              <w:t>6.20</w:t>
            </w:r>
          </w:p>
        </w:tc>
      </w:tr>
      <w:tr>
        <w:trPr>
          <w:trHeight w:val="245"/>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980" w:type="dxa"/>
            <w:vAlign w:val="bottom"/>
            <w:shd w:val="clear" w:color="auto" w:fill="DBDBDB"/>
          </w:tcPr>
          <w:p>
            <w:pPr>
              <w:spacing w:after="0"/>
              <w:rPr>
                <w:sz w:val="21"/>
                <w:szCs w:val="21"/>
                <w:color w:val="auto"/>
              </w:rPr>
            </w:pPr>
          </w:p>
        </w:tc>
        <w:tc>
          <w:tcPr>
            <w:tcW w:w="1320" w:type="dxa"/>
            <w:vAlign w:val="bottom"/>
            <w:shd w:val="clear" w:color="auto" w:fill="DBDBDB"/>
          </w:tcPr>
          <w:p>
            <w:pPr>
              <w:jc w:val="center"/>
              <w:ind w:left="821"/>
              <w:spacing w:after="0"/>
              <w:rPr>
                <w:sz w:val="20"/>
                <w:szCs w:val="20"/>
                <w:color w:val="auto"/>
              </w:rPr>
            </w:pPr>
            <w:r>
              <w:rPr>
                <w:rFonts w:ascii="Arial" w:cs="Arial" w:eastAsia="Arial" w:hAnsi="Arial"/>
                <w:sz w:val="16"/>
                <w:szCs w:val="16"/>
                <w:color w:val="auto"/>
                <w:w w:val="96"/>
              </w:rPr>
              <w:t>0.40</w:t>
            </w:r>
          </w:p>
        </w:tc>
        <w:tc>
          <w:tcPr>
            <w:tcW w:w="100" w:type="dxa"/>
            <w:vAlign w:val="bottom"/>
            <w:shd w:val="clear" w:color="auto" w:fill="DBDBDB"/>
          </w:tcPr>
          <w:p>
            <w:pPr>
              <w:spacing w:after="0"/>
              <w:rPr>
                <w:sz w:val="21"/>
                <w:szCs w:val="21"/>
                <w:color w:val="auto"/>
              </w:rPr>
            </w:pPr>
          </w:p>
        </w:tc>
        <w:tc>
          <w:tcPr>
            <w:tcW w:w="980" w:type="dxa"/>
            <w:vAlign w:val="bottom"/>
            <w:shd w:val="clear" w:color="auto" w:fill="DBDBDB"/>
          </w:tcPr>
          <w:p>
            <w:pPr>
              <w:spacing w:after="0"/>
              <w:rPr>
                <w:sz w:val="21"/>
                <w:szCs w:val="21"/>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0.40</w:t>
            </w:r>
          </w:p>
        </w:tc>
      </w:tr>
      <w:tr>
        <w:trPr>
          <w:trHeight w:val="230"/>
        </w:trPr>
        <w:tc>
          <w:tcPr>
            <w:tcW w:w="6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DBDBDB"/>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rPr>
              <w:t>(0.10)</w:t>
            </w:r>
          </w:p>
        </w:tc>
      </w:tr>
      <w:tr>
        <w:trPr>
          <w:trHeight w:val="262"/>
        </w:trPr>
        <w:tc>
          <w:tcPr>
            <w:tcW w:w="65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980" w:type="dxa"/>
            <w:vAlign w:val="bottom"/>
            <w:tcBorders>
              <w:bottom w:val="single" w:sz="8" w:color="auto"/>
            </w:tcBorders>
            <w:shd w:val="clear" w:color="auto" w:fill="DBDBDB"/>
          </w:tcPr>
          <w:p>
            <w:pPr>
              <w:jc w:val="right"/>
              <w:ind w:right="7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center"/>
              <w:ind w:left="821"/>
              <w:spacing w:after="0"/>
              <w:rPr>
                <w:sz w:val="20"/>
                <w:szCs w:val="20"/>
                <w:color w:val="auto"/>
              </w:rPr>
            </w:pPr>
            <w:r>
              <w:rPr>
                <w:rFonts w:ascii="Arial" w:cs="Arial" w:eastAsia="Arial" w:hAnsi="Arial"/>
                <w:sz w:val="16"/>
                <w:szCs w:val="16"/>
                <w:color w:val="auto"/>
                <w:w w:val="96"/>
              </w:rPr>
              <w:t>5.75</w:t>
            </w:r>
          </w:p>
        </w:tc>
        <w:tc>
          <w:tcPr>
            <w:tcW w:w="100" w:type="dxa"/>
            <w:vAlign w:val="bottom"/>
            <w:tcBorders>
              <w:bottom w:val="single" w:sz="8" w:color="DBDBDB"/>
            </w:tcBorders>
            <w:shd w:val="clear" w:color="auto" w:fill="DBDBDB"/>
          </w:tcPr>
          <w:p>
            <w:pPr>
              <w:spacing w:after="0"/>
              <w:rPr>
                <w:sz w:val="22"/>
                <w:szCs w:val="22"/>
                <w:color w:val="auto"/>
              </w:rPr>
            </w:pPr>
          </w:p>
        </w:tc>
        <w:tc>
          <w:tcPr>
            <w:tcW w:w="980" w:type="dxa"/>
            <w:vAlign w:val="bottom"/>
            <w:tcBorders>
              <w:bottom w:val="single" w:sz="8" w:color="auto"/>
            </w:tcBorders>
            <w:shd w:val="clear" w:color="auto" w:fill="DBDBDB"/>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center"/>
              <w:ind w:left="801"/>
              <w:spacing w:after="0"/>
              <w:rPr>
                <w:sz w:val="20"/>
                <w:szCs w:val="20"/>
                <w:color w:val="auto"/>
              </w:rPr>
            </w:pPr>
            <w:r>
              <w:rPr>
                <w:rFonts w:ascii="Arial" w:cs="Arial" w:eastAsia="Arial" w:hAnsi="Arial"/>
                <w:sz w:val="16"/>
                <w:szCs w:val="16"/>
                <w:color w:val="auto"/>
              </w:rPr>
              <w:t>6.50</w:t>
            </w:r>
          </w:p>
        </w:tc>
      </w:tr>
      <w:tr>
        <w:trPr>
          <w:trHeight w:val="20"/>
        </w:trPr>
        <w:tc>
          <w:tcPr>
            <w:tcW w:w="65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60" w:hanging="337"/>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Amounts presented have been rounded.</w:t>
      </w:r>
    </w:p>
    <w:p>
      <w:pPr>
        <w:spacing w:after="0" w:line="59" w:lineRule="exact"/>
        <w:rPr>
          <w:sz w:val="20"/>
          <w:szCs w:val="20"/>
          <w:color w:val="auto"/>
        </w:rPr>
      </w:pPr>
    </w:p>
    <w:p>
      <w:pPr>
        <w:ind w:left="360" w:right="20" w:hanging="337"/>
        <w:spacing w:after="0" w:line="291"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5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240" w:type="dxa"/>
            <w:vAlign w:val="bottom"/>
            <w:shd w:val="clear" w:color="auto" w:fill="0A2299"/>
          </w:tcPr>
          <w:p>
            <w:pPr>
              <w:spacing w:after="0"/>
              <w:rPr>
                <w:sz w:val="20"/>
                <w:szCs w:val="20"/>
                <w:color w:val="auto"/>
              </w:rPr>
            </w:pPr>
          </w:p>
        </w:tc>
        <w:tc>
          <w:tcPr>
            <w:tcW w:w="3480" w:type="dxa"/>
            <w:vAlign w:val="bottom"/>
            <w:gridSpan w:val="4"/>
            <w:shd w:val="clear" w:color="auto" w:fill="0A2299"/>
          </w:tcPr>
          <w:p>
            <w:pPr>
              <w:jc w:val="right"/>
              <w:ind w:right="941"/>
              <w:spacing w:after="0"/>
              <w:rPr>
                <w:sz w:val="20"/>
                <w:szCs w:val="20"/>
                <w:color w:val="auto"/>
              </w:rPr>
            </w:pPr>
            <w:r>
              <w:rPr>
                <w:rFonts w:ascii="Arial" w:cs="Arial" w:eastAsia="Arial" w:hAnsi="Arial"/>
                <w:sz w:val="16"/>
                <w:szCs w:val="16"/>
                <w:b w:val="1"/>
                <w:bCs w:val="1"/>
                <w:color w:val="FFFFFF"/>
              </w:rPr>
              <w:t>Thirteen Weeks Ended</w:t>
            </w:r>
          </w:p>
        </w:tc>
        <w:tc>
          <w:tcPr>
            <w:tcW w:w="100" w:type="dxa"/>
            <w:vAlign w:val="bottom"/>
          </w:tcPr>
          <w:p>
            <w:pPr>
              <w:spacing w:after="0"/>
              <w:rPr>
                <w:sz w:val="20"/>
                <w:szCs w:val="20"/>
                <w:color w:val="auto"/>
              </w:rPr>
            </w:pPr>
          </w:p>
        </w:tc>
        <w:tc>
          <w:tcPr>
            <w:tcW w:w="200" w:type="dxa"/>
            <w:vAlign w:val="bottom"/>
            <w:shd w:val="clear" w:color="auto" w:fill="0A2299"/>
          </w:tcPr>
          <w:p>
            <w:pPr>
              <w:spacing w:after="0"/>
              <w:rPr>
                <w:sz w:val="20"/>
                <w:szCs w:val="20"/>
                <w:color w:val="auto"/>
              </w:rPr>
            </w:pPr>
          </w:p>
        </w:tc>
        <w:tc>
          <w:tcPr>
            <w:tcW w:w="3320" w:type="dxa"/>
            <w:vAlign w:val="bottom"/>
            <w:gridSpan w:val="4"/>
            <w:shd w:val="clear" w:color="auto" w:fill="0A2299"/>
          </w:tcPr>
          <w:p>
            <w:pPr>
              <w:ind w:left="620"/>
              <w:spacing w:after="0"/>
              <w:rPr>
                <w:sz w:val="20"/>
                <w:szCs w:val="20"/>
                <w:color w:val="auto"/>
              </w:rPr>
            </w:pPr>
            <w:r>
              <w:rPr>
                <w:rFonts w:ascii="Arial" w:cs="Arial" w:eastAsia="Arial" w:hAnsi="Arial"/>
                <w:sz w:val="16"/>
                <w:szCs w:val="16"/>
                <w:b w:val="1"/>
                <w:bCs w:val="1"/>
                <w:color w:val="FFFFFF"/>
              </w:rPr>
              <w:t>Twenty-Six Weeks Ended</w:t>
            </w:r>
          </w:p>
        </w:tc>
      </w:tr>
      <w:tr>
        <w:trPr>
          <w:trHeight w:val="250"/>
        </w:trPr>
        <w:tc>
          <w:tcPr>
            <w:tcW w:w="3900" w:type="dxa"/>
            <w:vAlign w:val="bottom"/>
          </w:tcPr>
          <w:p>
            <w:pPr>
              <w:spacing w:after="0"/>
              <w:rPr>
                <w:sz w:val="21"/>
                <w:szCs w:val="21"/>
                <w:color w:val="auto"/>
              </w:rPr>
            </w:pPr>
          </w:p>
        </w:tc>
        <w:tc>
          <w:tcPr>
            <w:tcW w:w="240" w:type="dxa"/>
            <w:vAlign w:val="bottom"/>
            <w:shd w:val="clear" w:color="auto" w:fill="0A2299"/>
          </w:tcPr>
          <w:p>
            <w:pPr>
              <w:spacing w:after="0"/>
              <w:rPr>
                <w:sz w:val="21"/>
                <w:szCs w:val="21"/>
                <w:color w:val="auto"/>
              </w:rPr>
            </w:pPr>
          </w:p>
        </w:tc>
        <w:tc>
          <w:tcPr>
            <w:tcW w:w="1700" w:type="dxa"/>
            <w:vAlign w:val="bottom"/>
            <w:gridSpan w:val="2"/>
            <w:shd w:val="clear" w:color="auto" w:fill="0A2299"/>
          </w:tcPr>
          <w:p>
            <w:pPr>
              <w:ind w:left="120"/>
              <w:spacing w:after="0"/>
              <w:rPr>
                <w:sz w:val="20"/>
                <w:szCs w:val="20"/>
                <w:color w:val="auto"/>
              </w:rPr>
            </w:pPr>
            <w:r>
              <w:rPr>
                <w:rFonts w:ascii="Arial" w:cs="Arial" w:eastAsia="Arial" w:hAnsi="Arial"/>
                <w:sz w:val="16"/>
                <w:szCs w:val="16"/>
                <w:b w:val="1"/>
                <w:bCs w:val="1"/>
                <w:color w:val="FFFFFF"/>
              </w:rPr>
              <w:t>August 3, 2024</w:t>
            </w:r>
          </w:p>
        </w:tc>
        <w:tc>
          <w:tcPr>
            <w:tcW w:w="260" w:type="dxa"/>
            <w:vAlign w:val="bottom"/>
            <w:shd w:val="clear" w:color="auto" w:fill="0A2299"/>
          </w:tcPr>
          <w:p>
            <w:pPr>
              <w:spacing w:after="0"/>
              <w:rPr>
                <w:sz w:val="21"/>
                <w:szCs w:val="21"/>
                <w:color w:val="auto"/>
              </w:rPr>
            </w:pPr>
          </w:p>
        </w:tc>
        <w:tc>
          <w:tcPr>
            <w:tcW w:w="1520" w:type="dxa"/>
            <w:vAlign w:val="bottom"/>
            <w:shd w:val="clear" w:color="auto" w:fill="0A2299"/>
          </w:tcPr>
          <w:p>
            <w:pPr>
              <w:jc w:val="right"/>
              <w:ind w:right="321"/>
              <w:spacing w:after="0"/>
              <w:rPr>
                <w:sz w:val="20"/>
                <w:szCs w:val="20"/>
                <w:color w:val="auto"/>
              </w:rPr>
            </w:pPr>
            <w:r>
              <w:rPr>
                <w:rFonts w:ascii="Arial" w:cs="Arial" w:eastAsia="Arial" w:hAnsi="Arial"/>
                <w:sz w:val="16"/>
                <w:szCs w:val="16"/>
                <w:b w:val="1"/>
                <w:bCs w:val="1"/>
                <w:color w:val="FFFFFF"/>
              </w:rPr>
              <w:t>July 29, 2023</w:t>
            </w:r>
          </w:p>
        </w:tc>
        <w:tc>
          <w:tcPr>
            <w:tcW w:w="100" w:type="dxa"/>
            <w:vAlign w:val="bottom"/>
          </w:tcPr>
          <w:p>
            <w:pPr>
              <w:spacing w:after="0"/>
              <w:rPr>
                <w:sz w:val="21"/>
                <w:szCs w:val="21"/>
                <w:color w:val="auto"/>
              </w:rPr>
            </w:pPr>
          </w:p>
        </w:tc>
        <w:tc>
          <w:tcPr>
            <w:tcW w:w="200" w:type="dxa"/>
            <w:vAlign w:val="bottom"/>
            <w:shd w:val="clear" w:color="auto" w:fill="0A2299"/>
          </w:tcPr>
          <w:p>
            <w:pPr>
              <w:spacing w:after="0"/>
              <w:rPr>
                <w:sz w:val="21"/>
                <w:szCs w:val="21"/>
                <w:color w:val="auto"/>
              </w:rPr>
            </w:pPr>
          </w:p>
        </w:tc>
        <w:tc>
          <w:tcPr>
            <w:tcW w:w="158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August 3, 2024</w:t>
            </w:r>
          </w:p>
        </w:tc>
        <w:tc>
          <w:tcPr>
            <w:tcW w:w="240" w:type="dxa"/>
            <w:vAlign w:val="bottom"/>
            <w:shd w:val="clear" w:color="auto" w:fill="0A2299"/>
          </w:tcPr>
          <w:p>
            <w:pPr>
              <w:spacing w:after="0"/>
              <w:rPr>
                <w:sz w:val="21"/>
                <w:szCs w:val="21"/>
                <w:color w:val="auto"/>
              </w:rPr>
            </w:pPr>
          </w:p>
        </w:tc>
        <w:tc>
          <w:tcPr>
            <w:tcW w:w="1500" w:type="dxa"/>
            <w:vAlign w:val="bottom"/>
            <w:shd w:val="clear" w:color="auto" w:fill="0A2299"/>
          </w:tcPr>
          <w:p>
            <w:pPr>
              <w:ind w:left="140"/>
              <w:spacing w:after="0"/>
              <w:rPr>
                <w:sz w:val="20"/>
                <w:szCs w:val="20"/>
                <w:color w:val="auto"/>
              </w:rPr>
            </w:pPr>
            <w:r>
              <w:rPr>
                <w:rFonts w:ascii="Arial" w:cs="Arial" w:eastAsia="Arial" w:hAnsi="Arial"/>
                <w:sz w:val="16"/>
                <w:szCs w:val="16"/>
                <w:b w:val="1"/>
                <w:bCs w:val="1"/>
                <w:color w:val="FFFFFF"/>
              </w:rPr>
              <w:t>July 29, 2023</w:t>
            </w:r>
          </w:p>
        </w:tc>
      </w:tr>
      <w:tr>
        <w:trPr>
          <w:trHeight w:val="250"/>
        </w:trPr>
        <w:tc>
          <w:tcPr>
            <w:tcW w:w="3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DBDBDB"/>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DBDBDB"/>
          </w:tcPr>
          <w:p>
            <w:pPr>
              <w:jc w:val="center"/>
              <w:ind w:left="901"/>
              <w:spacing w:after="0"/>
              <w:rPr>
                <w:sz w:val="20"/>
                <w:szCs w:val="20"/>
                <w:color w:val="auto"/>
              </w:rPr>
            </w:pPr>
            <w:r>
              <w:rPr>
                <w:rFonts w:ascii="Arial" w:cs="Arial" w:eastAsia="Arial" w:hAnsi="Arial"/>
                <w:sz w:val="16"/>
                <w:szCs w:val="16"/>
                <w:b w:val="1"/>
                <w:bCs w:val="1"/>
                <w:color w:val="auto"/>
              </w:rPr>
              <w:t>91,346</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191,431</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291,023</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ind w:left="721"/>
              <w:spacing w:after="0"/>
              <w:rPr>
                <w:sz w:val="20"/>
                <w:szCs w:val="20"/>
                <w:color w:val="auto"/>
              </w:rPr>
            </w:pPr>
            <w:r>
              <w:rPr>
                <w:rFonts w:ascii="Arial" w:cs="Arial" w:eastAsia="Arial" w:hAnsi="Arial"/>
                <w:sz w:val="16"/>
                <w:szCs w:val="16"/>
                <w:color w:val="auto"/>
              </w:rPr>
              <w:t>243,566</w:t>
            </w:r>
          </w:p>
        </w:tc>
      </w:tr>
      <w:tr>
        <w:trPr>
          <w:trHeight w:val="233"/>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b w:val="1"/>
                <w:bCs w:val="1"/>
                <w:color w:val="auto"/>
              </w:rPr>
              <w:t>(41,384)</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(67,299)</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(73,739)</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99"/>
              </w:rPr>
              <w:t>(107,846)</w:t>
            </w:r>
          </w:p>
        </w:tc>
      </w:tr>
      <w:tr>
        <w:trPr>
          <w:trHeight w:val="254"/>
        </w:trPr>
        <w:tc>
          <w:tcPr>
            <w:tcW w:w="3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240" w:type="dxa"/>
            <w:vAlign w:val="bottom"/>
            <w:shd w:val="clear" w:color="auto" w:fill="DBDBDB"/>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DBDBDB"/>
          </w:tcPr>
          <w:p>
            <w:pPr>
              <w:jc w:val="center"/>
              <w:ind w:left="901"/>
              <w:spacing w:after="0"/>
              <w:rPr>
                <w:sz w:val="20"/>
                <w:szCs w:val="20"/>
                <w:color w:val="auto"/>
              </w:rPr>
            </w:pPr>
            <w:r>
              <w:rPr>
                <w:rFonts w:ascii="Arial" w:cs="Arial" w:eastAsia="Arial" w:hAnsi="Arial"/>
                <w:sz w:val="16"/>
                <w:szCs w:val="16"/>
                <w:b w:val="1"/>
                <w:bCs w:val="1"/>
                <w:color w:val="auto"/>
              </w:rPr>
              <w:t>49,962</w:t>
            </w: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124,132</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217,284</w:t>
            </w:r>
          </w:p>
        </w:tc>
        <w:tc>
          <w:tcPr>
            <w:tcW w:w="80" w:type="dxa"/>
            <w:vAlign w:val="bottom"/>
            <w:shd w:val="clear" w:color="auto" w:fill="DBDBDB"/>
          </w:tcPr>
          <w:p>
            <w:pPr>
              <w:spacing w:after="0"/>
              <w:rPr>
                <w:sz w:val="22"/>
                <w:szCs w:val="22"/>
                <w:color w:val="auto"/>
              </w:rPr>
            </w:pPr>
          </w:p>
        </w:tc>
        <w:tc>
          <w:tcPr>
            <w:tcW w:w="24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center"/>
              <w:ind w:left="721"/>
              <w:spacing w:after="0"/>
              <w:rPr>
                <w:sz w:val="20"/>
                <w:szCs w:val="20"/>
                <w:color w:val="auto"/>
              </w:rPr>
            </w:pPr>
            <w:r>
              <w:rPr>
                <w:rFonts w:ascii="Arial" w:cs="Arial" w:eastAsia="Arial" w:hAnsi="Arial"/>
                <w:sz w:val="16"/>
                <w:szCs w:val="16"/>
                <w:color w:val="auto"/>
              </w:rPr>
              <w:t>135,720</w:t>
            </w: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-501015</wp:posOffset>
            </wp:positionV>
            <wp:extent cx="4662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62805" cy="825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-659765</wp:posOffset>
            </wp:positionV>
            <wp:extent cx="4662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62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sectPr>
      <w:pgSz w:w="11900" w:h="16838" w:orient="portrait"/>
      <w:cols w:equalWidth="0" w:num="1">
        <w:col w:w="11240"/>
      </w:cols>
      <w:pgMar w:left="320" w:top="9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2024-09-10T07:23:48Z</dcterms:created>
  <dcterms:modified xsi:type="dcterms:W3CDTF">2024-09-10T07:23:48Z</dcterms:modified>
</cp:coreProperties>
</file>