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February 1, 2021 (January 27,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226695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Academy Sports and Outdoors, Inc.</w:t>
      </w:r>
    </w:p>
    <w:p>
      <w:pPr>
        <w:spacing w:after="0" w:line="5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001-39589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85-1800912</w:t>
      </w:r>
    </w:p>
    <w:p>
      <w:pPr>
        <w:spacing w:after="0" w:line="24" w:lineRule="exact"/>
        <w:rPr>
          <w:sz w:val="24"/>
          <w:szCs w:val="24"/>
          <w:color w:val="auto"/>
        </w:rPr>
      </w:pPr>
    </w:p>
    <w:p>
      <w:pPr>
        <w:sectPr>
          <w:pgSz w:w="11900" w:h="16838" w:orient="portrait"/>
          <w:cols w:equalWidth="0" w:num="3">
            <w:col w:w="4504" w:space="720"/>
            <w:col w:w="2880" w:space="720"/>
            <w:col w:w="2200"/>
          </w:cols>
          <w:pgMar w:left="436" w:top="362"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62" w:right="439" w:bottom="1440"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1800 North Mason Road</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Katy, Texas 77449</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(281) 646-5200</w:t>
      </w:r>
    </w:p>
    <w:p>
      <w:pPr>
        <w:spacing w:after="0" w:line="2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ASO</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On January 27, 2021, Academy Sports and Outdoors, Inc. (the “Company”) entered into an Underwriting Agreement (the “Underwriting Agreement”), by and among the Company, Allstar LLC, Allstar Co-Invest Blocker L.P., KKR 2006 Allstar Blocker L.P., MSI 2011 LLC, MG Family Limited Partnership and the management selling stockholder named therein (collectively, the “Selling Stockholders”), and Credit Suisse Securities (USA) LLC and J.P. Morgan Securities LLC, as representatives of the several underwriters named therein (the “Underwriters”), relating to an underwritten offering (the “Secondary Offering”) of 12,000,000 shares of the Company’s common stock, par value $0.01 per share (“Common Stock”), pursuant to the Company’s Registration Statement on Form S-1 (File No. 333-252390), filed on January 25, 2021. The Selling Stockholders have granted the Underwriters the option to purchase, within 30 days from the date of the Underwriting Agreement, an additional 1,800,000 shares of Common Stock. On January 29, 2021, the Underwriters exercised in full their option to purchase the additional shares. The Secondary Offering was completed on February 1, 2021. Pursuant to the Underwriting Agreement, the Underwriters purchased the shares from the Selling Stockholders at a price of $20.69375 per share. The Company did not receive any proceeds from the Secondary Offering.</w:t>
      </w:r>
    </w:p>
    <w:p>
      <w:pPr>
        <w:sectPr>
          <w:pgSz w:w="11900" w:h="16838" w:orient="portrait"/>
          <w:cols w:equalWidth="0" w:num="1">
            <w:col w:w="10920"/>
          </w:cols>
          <w:pgMar w:left="440" w:top="293" w:right="5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20" w:type="dxa"/>
            <w:vAlign w:val="bottom"/>
            <w:gridSpan w:val="2"/>
          </w:tcPr>
          <w:p>
            <w:pPr>
              <w:ind w:left="6800"/>
              <w:spacing w:after="0"/>
              <w:rPr>
                <w:sz w:val="20"/>
                <w:szCs w:val="20"/>
                <w:color w:val="auto"/>
              </w:rPr>
            </w:pPr>
            <w:r>
              <w:rPr>
                <w:rFonts w:ascii="Times New Roman" w:cs="Times New Roman" w:eastAsia="Times New Roman" w:hAnsi="Times New Roman"/>
                <w:sz w:val="18"/>
                <w:szCs w:val="18"/>
                <w:color w:val="auto"/>
              </w:rPr>
              <w:t>Academy Sports and Outdoors, Inc.</w:t>
            </w: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 2021</w:t>
            </w:r>
          </w:p>
        </w:tc>
        <w:tc>
          <w:tcPr>
            <w:tcW w:w="3640" w:type="dxa"/>
            <w:vAlign w:val="bottom"/>
          </w:tcPr>
          <w:p>
            <w:pPr>
              <w:spacing w:after="0"/>
              <w:rPr>
                <w:sz w:val="20"/>
                <w:szCs w:val="20"/>
                <w:color w:val="auto"/>
              </w:rPr>
            </w:pPr>
          </w:p>
        </w:tc>
      </w:tr>
      <w:tr>
        <w:trPr>
          <w:trHeight w:val="432"/>
        </w:trPr>
        <w:tc>
          <w:tcPr>
            <w:tcW w:w="7380" w:type="dxa"/>
            <w:vAlign w:val="bottom"/>
          </w:tcPr>
          <w:p>
            <w:pPr>
              <w:ind w:left="6800"/>
              <w:spacing w:after="0"/>
              <w:rPr>
                <w:sz w:val="20"/>
                <w:szCs w:val="20"/>
                <w:color w:val="auto"/>
              </w:rPr>
            </w:pPr>
            <w:r>
              <w:rPr>
                <w:rFonts w:ascii="Times New Roman" w:cs="Times New Roman" w:eastAsia="Times New Roman" w:hAnsi="Times New Roman"/>
                <w:sz w:val="18"/>
                <w:szCs w:val="18"/>
                <w:color w:val="auto"/>
              </w:rPr>
              <w:t>By:</w:t>
            </w:r>
          </w:p>
        </w:tc>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Rene G. Casares</w:t>
            </w:r>
          </w:p>
        </w:tc>
      </w:tr>
      <w:tr>
        <w:trPr>
          <w:trHeight w:val="205"/>
        </w:trPr>
        <w:tc>
          <w:tcPr>
            <w:tcW w:w="7380" w:type="dxa"/>
            <w:vAlign w:val="bottom"/>
          </w:tcPr>
          <w:p>
            <w:pPr>
              <w:ind w:left="68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Rene G. Casares</w:t>
            </w:r>
          </w:p>
        </w:tc>
      </w:tr>
      <w:tr>
        <w:trPr>
          <w:trHeight w:val="216"/>
        </w:trPr>
        <w:tc>
          <w:tcPr>
            <w:tcW w:w="7380" w:type="dxa"/>
            <w:vAlign w:val="bottom"/>
          </w:tcPr>
          <w:p>
            <w:pPr>
              <w:ind w:left="6800"/>
              <w:spacing w:after="0"/>
              <w:rPr>
                <w:sz w:val="20"/>
                <w:szCs w:val="20"/>
                <w:color w:val="auto"/>
              </w:rPr>
            </w:pPr>
            <w:r>
              <w:rPr>
                <w:rFonts w:ascii="Times New Roman" w:cs="Times New Roman" w:eastAsia="Times New Roman" w:hAnsi="Times New Roman"/>
                <w:sz w:val="18"/>
                <w:szCs w:val="18"/>
                <w:color w:val="auto"/>
              </w:rPr>
              <w:t>Title:</w:t>
            </w: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General Counsel and</w:t>
            </w:r>
          </w:p>
        </w:tc>
      </w:tr>
      <w:tr>
        <w:trPr>
          <w:trHeight w:val="234"/>
        </w:trPr>
        <w:tc>
          <w:tcPr>
            <w:tcW w:w="738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2021-02-01T15:07:15Z</dcterms:created>
  <dcterms:modified xsi:type="dcterms:W3CDTF">2021-02-01T15:07:15Z</dcterms:modified>
</cp:coreProperties>
</file>