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212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Johnson Samuel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0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220" w:type="dxa"/>
            <w:vAlign w:val="bottom"/>
          </w:tcPr>
          <w:p>
            <w:pPr>
              <w:ind w:left="1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22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2"/>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80" w:type="dxa"/>
            <w:vAlign w:val="bottom"/>
            <w:vMerge w:val="restart"/>
          </w:tcPr>
          <w:p>
            <w:pPr>
              <w:ind w:left="1140"/>
              <w:spacing w:after="0"/>
              <w:rPr>
                <w:sz w:val="20"/>
                <w:szCs w:val="20"/>
                <w:color w:val="auto"/>
              </w:rPr>
            </w:pPr>
            <w:r>
              <w:rPr>
                <w:rFonts w:ascii="Times New Roman" w:cs="Times New Roman" w:eastAsia="Times New Roman" w:hAnsi="Times New Roman"/>
                <w:sz w:val="17"/>
                <w:szCs w:val="17"/>
                <w:color w:val="0000FF"/>
              </w:rPr>
              <w:t>President</w:t>
            </w: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01/30/2026</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01/30/2026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1,991</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ind w:right="221"/>
              <w:spacing w:after="0"/>
              <w:rPr>
                <w:sz w:val="20"/>
                <w:szCs w:val="20"/>
                <w:color w:val="auto"/>
              </w:rPr>
            </w:pPr>
            <w:r>
              <w:rPr>
                <w:rFonts w:ascii="Times New Roman" w:cs="Times New Roman" w:eastAsia="Times New Roman" w:hAnsi="Times New Roman"/>
                <w:sz w:val="17"/>
                <w:szCs w:val="17"/>
                <w:color w:val="0000FF"/>
              </w:rPr>
              <w:t>97,839</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01/30/2026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863</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55.36</w:t>
            </w: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96,976</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1,991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01/30/2026</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1,991</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540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(3)</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of Common Stock acquired under the Issuer's employee stock purchase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3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8,501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7,961 PRSUs were deemed earned. Of this earned amount, 25% of the earned amount of this grant vested on March 1, 2023, and the remaining 75% will vest in three equal annual installments beginning on January 30, 2024, subject to the Reporting Person's continued service with the Issuer through each applicable vesting date. The remaining unearned amount of this grant (i.e., 540 PRSUs) may vest upon certification by the Issuer's compensation committee of achievement of certain Issuer stock price conditions as of January 30, 2026.</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01/30/2026</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2299"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2026-01-30T16:20:41Z</dcterms:created>
  <dcterms:modified xsi:type="dcterms:W3CDTF">2026-01-30T16:20:41Z</dcterms:modified>
</cp:coreProperties>
</file>