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137160</wp:posOffset>
            </wp:positionV>
            <wp:extent cx="1809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140335</wp:posOffset>
            </wp:positionV>
            <wp:extent cx="1809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Date of report (Date of earliest event reported): March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142875</wp:posOffset>
            </wp:positionV>
            <wp:extent cx="2152015" cy="1131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2015"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Academy Sports and Outdoors, Inc.</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137795</wp:posOffset>
            </wp:positionV>
            <wp:extent cx="1809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sectPr>
      </w:pPr>
    </w:p>
    <w:p>
      <w:pPr>
        <w:spacing w:after="0" w:line="200" w:lineRule="exact"/>
        <w:rPr>
          <w:sz w:val="24"/>
          <w:szCs w:val="24"/>
          <w:color w:val="auto"/>
        </w:rPr>
      </w:pPr>
    </w:p>
    <w:p>
      <w:pPr>
        <w:spacing w:after="0" w:line="211"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001-39589</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85-1800912</w:t>
      </w:r>
    </w:p>
    <w:p>
      <w:pPr>
        <w:spacing w:after="0" w:line="160" w:lineRule="exact"/>
        <w:rPr>
          <w:sz w:val="24"/>
          <w:szCs w:val="24"/>
          <w:color w:val="auto"/>
        </w:rPr>
      </w:pPr>
    </w:p>
    <w:p>
      <w:pPr>
        <w:sectPr>
          <w:pgSz w:w="11900" w:h="16838" w:orient="portrait"/>
          <w:cols w:equalWidth="0" w:num="3">
            <w:col w:w="4880" w:space="720"/>
            <w:col w:w="2660" w:space="720"/>
            <w:col w:w="2180"/>
          </w:cols>
          <w:pgMar w:left="340" w:top="747" w:right="399" w:bottom="1440" w:gutter="0" w:footer="0" w:header="0"/>
          <w:type w:val="continuous"/>
        </w:sectPr>
      </w:pPr>
    </w:p>
    <w:p>
      <w:pPr>
        <w:ind w:left="132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Arial" w:cs="Arial" w:eastAsia="Arial" w:hAnsi="Arial"/>
          <w:sz w:val="14"/>
          <w:szCs w:val="14"/>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149" w:lineRule="exact"/>
        <w:rPr>
          <w:sz w:val="24"/>
          <w:szCs w:val="24"/>
          <w:color w:val="auto"/>
        </w:rPr>
      </w:pPr>
    </w:p>
    <w:p>
      <w:pPr>
        <w:sectPr>
          <w:pgSz w:w="11900" w:h="16838" w:orient="portrait"/>
          <w:cols w:equalWidth="0" w:num="3">
            <w:col w:w="4800" w:space="720"/>
            <w:col w:w="2500" w:space="720"/>
            <w:col w:w="2420"/>
          </w:cols>
          <w:pgMar w:left="340" w:top="747" w:right="399" w:bottom="1440" w:gutter="0" w:footer="0" w:header="0"/>
          <w:type w:val="continuous"/>
        </w:sectPr>
      </w:pPr>
    </w:p>
    <w:p>
      <w:pPr>
        <w:ind w:left="1780"/>
        <w:spacing w:after="0"/>
        <w:rPr>
          <w:sz w:val="20"/>
          <w:szCs w:val="20"/>
          <w:color w:val="auto"/>
        </w:rPr>
      </w:pPr>
      <w:r>
        <w:rPr>
          <w:rFonts w:ascii="Arial" w:cs="Arial" w:eastAsia="Arial" w:hAnsi="Arial"/>
          <w:sz w:val="15"/>
          <w:szCs w:val="15"/>
          <w:color w:val="auto"/>
        </w:rPr>
        <w:t>incorporation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161" w:lineRule="exact"/>
        <w:rPr>
          <w:sz w:val="24"/>
          <w:szCs w:val="24"/>
          <w:color w:val="auto"/>
        </w:rPr>
      </w:pPr>
    </w:p>
    <w:p>
      <w:pPr>
        <w:sectPr>
          <w:pgSz w:w="11900" w:h="16838" w:orient="portrait"/>
          <w:cols w:equalWidth="0" w:num="3">
            <w:col w:w="4940" w:space="720"/>
            <w:col w:w="2300" w:space="720"/>
            <w:col w:w="2480"/>
          </w:cols>
          <w:pgMar w:left="340" w:top="747" w:right="399" w:bottom="1440" w:gutter="0" w:footer="0" w:header="0"/>
          <w:type w:val="continuous"/>
        </w:sectPr>
      </w:pPr>
    </w:p>
    <w:p>
      <w:pPr>
        <w:ind w:left="5100"/>
        <w:spacing w:after="0"/>
        <w:rPr>
          <w:sz w:val="20"/>
          <w:szCs w:val="20"/>
          <w:color w:val="auto"/>
        </w:rPr>
      </w:pPr>
      <w:r>
        <w:rPr>
          <w:rFonts w:ascii="Arial" w:cs="Arial" w:eastAsia="Arial" w:hAnsi="Arial"/>
          <w:sz w:val="16"/>
          <w:szCs w:val="16"/>
          <w:b w:val="1"/>
          <w:bCs w:val="1"/>
          <w:color w:val="auto"/>
        </w:rPr>
        <w:t>1800 North Mason Road</w:t>
      </w:r>
    </w:p>
    <w:p>
      <w:pPr>
        <w:spacing w:after="0" w:line="59" w:lineRule="exact"/>
        <w:rPr>
          <w:sz w:val="24"/>
          <w:szCs w:val="24"/>
          <w:color w:val="auto"/>
        </w:rPr>
      </w:pPr>
    </w:p>
    <w:p>
      <w:pPr>
        <w:ind w:left="5340"/>
        <w:spacing w:after="0"/>
        <w:rPr>
          <w:sz w:val="20"/>
          <w:szCs w:val="20"/>
          <w:color w:val="auto"/>
        </w:rPr>
      </w:pPr>
      <w:r>
        <w:rPr>
          <w:rFonts w:ascii="Arial" w:cs="Arial" w:eastAsia="Arial" w:hAnsi="Arial"/>
          <w:sz w:val="16"/>
          <w:szCs w:val="16"/>
          <w:b w:val="1"/>
          <w:bCs w:val="1"/>
          <w:color w:val="auto"/>
        </w:rPr>
        <w:t>Katy, Texas 77449</w:t>
      </w:r>
    </w:p>
    <w:p>
      <w:pPr>
        <w:spacing w:after="0" w:line="63" w:lineRule="exact"/>
        <w:rPr>
          <w:sz w:val="24"/>
          <w:szCs w:val="24"/>
          <w:color w:val="auto"/>
        </w:rPr>
      </w:pPr>
    </w:p>
    <w:p>
      <w:pPr>
        <w:ind w:left="4120"/>
        <w:spacing w:after="0"/>
        <w:rPr>
          <w:sz w:val="20"/>
          <w:szCs w:val="20"/>
          <w:color w:val="auto"/>
        </w:rPr>
      </w:pPr>
      <w:r>
        <w:rPr>
          <w:rFonts w:ascii="Arial" w:cs="Arial" w:eastAsia="Arial" w:hAnsi="Arial"/>
          <w:sz w:val="15"/>
          <w:szCs w:val="15"/>
          <w:i w:val="1"/>
          <w:iCs w:val="1"/>
          <w:color w:val="auto"/>
        </w:rPr>
        <w:t>(Address of principal executive offices including Zip Code)</w:t>
      </w:r>
    </w:p>
    <w:p>
      <w:pPr>
        <w:spacing w:after="0" w:line="161" w:lineRule="exact"/>
        <w:rPr>
          <w:sz w:val="24"/>
          <w:szCs w:val="24"/>
          <w:color w:val="auto"/>
        </w:rPr>
      </w:pPr>
    </w:p>
    <w:p>
      <w:pPr>
        <w:jc w:val="center"/>
        <w:ind w:left="700"/>
        <w:spacing w:after="0"/>
        <w:rPr>
          <w:sz w:val="20"/>
          <w:szCs w:val="20"/>
          <w:color w:val="auto"/>
        </w:rPr>
      </w:pPr>
      <w:r>
        <w:rPr>
          <w:rFonts w:ascii="Arial" w:cs="Arial" w:eastAsia="Arial" w:hAnsi="Arial"/>
          <w:sz w:val="16"/>
          <w:szCs w:val="16"/>
          <w:b w:val="1"/>
          <w:bCs w:val="1"/>
          <w:color w:val="auto"/>
        </w:rPr>
        <w:t>(281) 646-5200</w:t>
      </w:r>
    </w:p>
    <w:p>
      <w:pPr>
        <w:spacing w:after="0" w:line="117" w:lineRule="exact"/>
        <w:rPr>
          <w:sz w:val="24"/>
          <w:szCs w:val="24"/>
          <w:color w:val="auto"/>
        </w:rPr>
      </w:pPr>
    </w:p>
    <w:p>
      <w:pPr>
        <w:jc w:val="center"/>
        <w:ind w:left="70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71" w:lineRule="exact"/>
        <w:rPr>
          <w:sz w:val="24"/>
          <w:szCs w:val="24"/>
          <w:color w:val="auto"/>
        </w:rPr>
      </w:pPr>
    </w:p>
    <w:p>
      <w:pPr>
        <w:jc w:val="center"/>
        <w:ind w:left="700"/>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ind w:left="700"/>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144145</wp:posOffset>
            </wp:positionV>
            <wp:extent cx="1809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80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860" w:type="dxa"/>
            <w:vAlign w:val="bottom"/>
            <w:gridSpan w:val="2"/>
          </w:tcPr>
          <w:p>
            <w:pPr>
              <w:jc w:val="center"/>
              <w:ind w:right="1640"/>
              <w:spacing w:after="0"/>
              <w:rPr>
                <w:sz w:val="20"/>
                <w:szCs w:val="20"/>
                <w:color w:val="auto"/>
              </w:rPr>
            </w:pPr>
            <w:r>
              <w:rPr>
                <w:rFonts w:ascii="Arial" w:cs="Arial" w:eastAsia="Arial" w:hAnsi="Arial"/>
                <w:sz w:val="16"/>
                <w:szCs w:val="16"/>
                <w:b w:val="1"/>
                <w:bCs w:val="1"/>
                <w:color w:val="auto"/>
                <w:w w:val="88"/>
              </w:rPr>
              <w:t>Title of each class</w:t>
            </w:r>
          </w:p>
        </w:tc>
        <w:tc>
          <w:tcPr>
            <w:tcW w:w="328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2"/>
              </w:rPr>
              <w:t>Trading Symbol(s)</w:t>
            </w: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8"/>
        </w:trPr>
        <w:tc>
          <w:tcPr>
            <w:tcW w:w="370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800" w:type="dxa"/>
            <w:vAlign w:val="bottom"/>
          </w:tcPr>
          <w:p>
            <w:pPr>
              <w:spacing w:after="0"/>
              <w:rPr>
                <w:sz w:val="22"/>
                <w:szCs w:val="22"/>
                <w:color w:val="auto"/>
              </w:rPr>
            </w:pPr>
          </w:p>
        </w:tc>
        <w:tc>
          <w:tcPr>
            <w:tcW w:w="2480" w:type="dxa"/>
            <w:vAlign w:val="bottom"/>
            <w:gridSpan w:val="2"/>
          </w:tcPr>
          <w:p>
            <w:pPr>
              <w:jc w:val="center"/>
              <w:ind w:right="1180"/>
              <w:spacing w:after="0"/>
              <w:rPr>
                <w:sz w:val="20"/>
                <w:szCs w:val="20"/>
                <w:color w:val="auto"/>
              </w:rPr>
            </w:pPr>
            <w:r>
              <w:rPr>
                <w:rFonts w:ascii="Arial" w:cs="Arial" w:eastAsia="Arial" w:hAnsi="Arial"/>
                <w:sz w:val="16"/>
                <w:szCs w:val="16"/>
                <w:b w:val="1"/>
                <w:bCs w:val="1"/>
                <w:color w:val="auto"/>
                <w:w w:val="97"/>
              </w:rPr>
              <w:t>ASO</w:t>
            </w: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91"/>
              </w:rPr>
              <w:t>Nasdaq Global Select Market</w:t>
            </w:r>
          </w:p>
        </w:tc>
      </w:tr>
    </w:tbl>
    <w:p>
      <w:pPr>
        <w:spacing w:after="0" w:line="199" w:lineRule="exact"/>
        <w:rPr>
          <w:sz w:val="24"/>
          <w:szCs w:val="24"/>
          <w:color w:val="auto"/>
        </w:rPr>
      </w:pPr>
    </w:p>
    <w:p>
      <w:pPr>
        <w:spacing w:after="0" w:line="27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4" w:lineRule="exact"/>
        <w:rPr>
          <w:sz w:val="24"/>
          <w:szCs w:val="24"/>
          <w:color w:val="auto"/>
        </w:rPr>
      </w:pPr>
    </w:p>
    <w:p>
      <w:pPr>
        <w:ind w:right="5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400050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95885</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121285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Cash Dividend</w:t>
      </w:r>
    </w:p>
    <w:p>
      <w:pPr>
        <w:spacing w:after="0" w:line="22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On March 2, 2023, Academy Sports and Outdoors, Inc. (the "Company") issued a press release announcing that the Company’s Board of Directors declared a cash dividend with respect to the fiscal quarter ended January 28, 2023 of $0.09 per share of common stock of the Company, payable on April 13, 2023, to stockholders of record as of the close of business on March 23, 2023.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1" w:right="35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333" w:lineRule="exact"/>
        <w:rPr>
          <w:sz w:val="20"/>
          <w:szCs w:val="20"/>
          <w:color w:val="auto"/>
        </w:rPr>
      </w:pPr>
    </w:p>
    <w:p>
      <w:pPr>
        <w:ind w:left="720"/>
        <w:spacing w:after="0"/>
        <w:tabs>
          <w:tab w:leader="none" w:pos="2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 of Exhibit</w:t>
      </w:r>
    </w:p>
    <w:p>
      <w:pPr>
        <w:spacing w:after="0" w:line="65" w:lineRule="exact"/>
        <w:rPr>
          <w:sz w:val="20"/>
          <w:szCs w:val="20"/>
          <w:color w:val="auto"/>
        </w:rPr>
      </w:pPr>
    </w:p>
    <w:p>
      <w:pPr>
        <w:ind w:left="1460"/>
        <w:spacing w:after="0"/>
        <w:tabs>
          <w:tab w:leader="none" w:pos="2140" w:val="left"/>
        </w:tabs>
        <w:rPr>
          <w:sz w:val="20"/>
          <w:szCs w:val="20"/>
          <w:color w:val="auto"/>
        </w:rPr>
      </w:pPr>
      <w:r>
        <w:rPr>
          <w:rFonts w:ascii="Arial" w:cs="Arial" w:eastAsia="Arial" w:hAnsi="Arial"/>
          <w:sz w:val="20"/>
          <w:szCs w:val="20"/>
          <w:u w:val="single" w:color="auto"/>
          <w:color w:val="0000FF"/>
        </w:rPr>
        <w:t>99.1</w:t>
      </w:r>
      <w:r>
        <w:rPr>
          <w:sz w:val="20"/>
          <w:szCs w:val="20"/>
          <w:color w:val="auto"/>
        </w:rPr>
        <w:tab/>
      </w:r>
      <w:r>
        <w:rPr>
          <w:rFonts w:ascii="Arial" w:cs="Arial" w:eastAsia="Arial" w:hAnsi="Arial"/>
          <w:sz w:val="15"/>
          <w:szCs w:val="15"/>
          <w:color w:val="auto"/>
        </w:rPr>
        <w:t>Press Release, dated March 2, 2023.</w:t>
      </w:r>
    </w:p>
    <w:p>
      <w:pPr>
        <w:spacing w:after="0" w:line="97" w:lineRule="exact"/>
        <w:rPr>
          <w:sz w:val="20"/>
          <w:szCs w:val="20"/>
          <w:color w:val="auto"/>
        </w:rPr>
      </w:pPr>
    </w:p>
    <w:p>
      <w:pPr>
        <w:ind w:left="2160" w:hanging="653"/>
        <w:spacing w:after="0"/>
        <w:tabs>
          <w:tab w:leader="none" w:pos="2160" w:val="left"/>
        </w:tabs>
        <w:numPr>
          <w:ilvl w:val="0"/>
          <w:numId w:val="2"/>
        </w:numPr>
        <w:rPr>
          <w:rFonts w:ascii="Arial" w:cs="Arial" w:eastAsia="Arial" w:hAnsi="Arial"/>
          <w:sz w:val="18"/>
          <w:szCs w:val="18"/>
          <w:color w:val="auto"/>
        </w:rPr>
      </w:pPr>
      <w:r>
        <w:rPr>
          <w:rFonts w:ascii="Arial" w:cs="Arial" w:eastAsia="Arial" w:hAnsi="Arial"/>
          <w:sz w:val="16"/>
          <w:szCs w:val="16"/>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3" w:name="page4"/>
    <w:bookmarkEnd w:id="3"/>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40" w:val="left"/>
          <w:tab w:leader="none" w:pos="6940" w:val="left"/>
          <w:tab w:leader="none" w:pos="7280" w:val="left"/>
        </w:tabs>
        <w:rPr>
          <w:sz w:val="20"/>
          <w:szCs w:val="20"/>
          <w:color w:val="auto"/>
        </w:rPr>
      </w:pPr>
      <w:r>
        <w:rPr>
          <w:rFonts w:ascii="Arial" w:cs="Arial" w:eastAsia="Arial" w:hAnsi="Arial"/>
          <w:sz w:val="18"/>
          <w:szCs w:val="18"/>
          <w:color w:val="auto"/>
        </w:rPr>
        <w:t>March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260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6260"/>
        <w:spacing w:after="0"/>
        <w:tabs>
          <w:tab w:leader="none" w:pos="6940" w:val="left"/>
        </w:tabs>
        <w:rPr>
          <w:sz w:val="20"/>
          <w:szCs w:val="20"/>
          <w:color w:val="auto"/>
        </w:rPr>
      </w:pPr>
      <w:r>
        <w:rPr>
          <w:rFonts w:ascii="Arial" w:cs="Arial" w:eastAsia="Arial" w:hAnsi="Arial"/>
          <w:sz w:val="18"/>
          <w:szCs w:val="18"/>
          <w:color w:val="auto"/>
        </w:rPr>
        <w:t>Name:</w:t>
        <w:tab/>
        <w:t>Rene G. Casares</w:t>
      </w:r>
    </w:p>
    <w:p>
      <w:pPr>
        <w:spacing w:after="0" w:line="63" w:lineRule="exact"/>
        <w:rPr>
          <w:sz w:val="20"/>
          <w:szCs w:val="20"/>
          <w:color w:val="auto"/>
        </w:rPr>
      </w:pPr>
    </w:p>
    <w:p>
      <w:pPr>
        <w:ind w:left="6260"/>
        <w:spacing w:after="0"/>
        <w:tabs>
          <w:tab w:leader="none" w:pos="69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Senior Vice President, General Counsel and Secretary</w:t>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848995</wp:posOffset>
            </wp:positionV>
            <wp:extent cx="2494280" cy="1028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Academy Sports + Outdoors Increases Quarterly Cash Dividend</w:t>
      </w:r>
    </w:p>
    <w:p>
      <w:pPr>
        <w:spacing w:after="0" w:line="275" w:lineRule="exact"/>
        <w:rPr>
          <w:sz w:val="20"/>
          <w:szCs w:val="20"/>
          <w:color w:val="auto"/>
        </w:rPr>
      </w:pPr>
    </w:p>
    <w:p>
      <w:pPr>
        <w:jc w:val="both"/>
        <w:ind w:right="260"/>
        <w:spacing w:after="0" w:line="282" w:lineRule="auto"/>
        <w:rPr>
          <w:sz w:val="20"/>
          <w:szCs w:val="20"/>
          <w:color w:val="auto"/>
        </w:rPr>
      </w:pPr>
      <w:r>
        <w:rPr>
          <w:rFonts w:ascii="Arial" w:cs="Arial" w:eastAsia="Arial" w:hAnsi="Arial"/>
          <w:sz w:val="19"/>
          <w:szCs w:val="19"/>
          <w:color w:val="auto"/>
        </w:rPr>
        <w:t>KATY, Texas, March 2, 2023 / PRNewswire -- Academy Sports and Outdoors, Inc. (the “Company” or “Academy”) (Nasdaq: ASO) announced today that its Board of Directors declared a cash dividend with respect to the fiscal quarter ended January 28, 2023 of $0.09 per share of common stock of the Company, a 20% increase from the previous quarterly dividend payment. The dividend is payable on April 13, 2023, to stockholders of record as of the close of business on March 23, 2023.</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Academy Sports + Outdoors</w:t>
      </w:r>
    </w:p>
    <w:p>
      <w:pPr>
        <w:spacing w:after="0" w:line="14"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Academy is a leading full-line sporting goods and outdoor recreation retailer in the United States. Originally founded in 1938 as a family business in Texas, Academy has grown to 268 stores across 18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 For more information, visit academy.com.</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14"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You can identify these forward-looking statements by the use of words such as “outlook,” “guidance,” “believes,” “expects,” “potential,” “continues,” “may,” “will,” “should,” “could,” “seeks,” “projects,” “predicts,” “intends,” “plans,” “estimates,” “anticipates” or the negative version of these words or other comparable words. The forward-looking statements include, among other things, statements regarding the payment of the dividend, including the timing and amount thereof, the Company’s expectations regarding its future performance, and the Company’s future financial condition to support future dividend growth and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including ongoing inflation and continued increases in interest rates, many of which are beyond Academy’s control. Important factors that could cause actual results to differ materially from those in the forward-looking statements are set forth in Academy’s filings with the U.S. Securities and Exchange Commission (the “SEC”), including the Company’s Annual Report on Form 10-K,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Media inquiries:</w:t>
      </w:r>
    </w:p>
    <w:p>
      <w:pPr>
        <w:spacing w:after="0" w:line="238" w:lineRule="auto"/>
        <w:rPr>
          <w:sz w:val="20"/>
          <w:szCs w:val="20"/>
          <w:color w:val="auto"/>
        </w:rPr>
      </w:pPr>
      <w:r>
        <w:rPr>
          <w:rFonts w:ascii="Arial" w:cs="Arial" w:eastAsia="Arial" w:hAnsi="Arial"/>
          <w:sz w:val="22"/>
          <w:szCs w:val="22"/>
          <w:color w:val="auto"/>
        </w:rPr>
        <w:t>Elise Hasbrook, Vice President Communications</w:t>
      </w:r>
    </w:p>
    <w:p>
      <w:pPr>
        <w:spacing w:after="0" w:line="230" w:lineRule="auto"/>
        <w:rPr>
          <w:sz w:val="20"/>
          <w:szCs w:val="20"/>
          <w:color w:val="auto"/>
        </w:rPr>
      </w:pPr>
      <w:r>
        <w:rPr>
          <w:rFonts w:ascii="Arial" w:cs="Arial" w:eastAsia="Arial" w:hAnsi="Arial"/>
          <w:sz w:val="22"/>
          <w:szCs w:val="22"/>
          <w:color w:val="auto"/>
        </w:rPr>
        <w:t>281.253.8200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elise.hasbrook@academy.com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Investor inquiries:</w:t>
      </w:r>
    </w:p>
    <w:p>
      <w:pPr>
        <w:spacing w:after="0" w:line="225" w:lineRule="auto"/>
        <w:rPr>
          <w:sz w:val="20"/>
          <w:szCs w:val="20"/>
          <w:color w:val="auto"/>
        </w:rPr>
      </w:pPr>
      <w:r>
        <w:rPr>
          <w:rFonts w:ascii="Arial" w:cs="Arial" w:eastAsia="Arial" w:hAnsi="Arial"/>
          <w:sz w:val="22"/>
          <w:szCs w:val="22"/>
          <w:color w:val="auto"/>
        </w:rPr>
        <w:t>Matt Hodges, Vice President Investor Relations</w:t>
      </w:r>
    </w:p>
    <w:p>
      <w:pPr>
        <w:spacing w:after="0" w:line="230" w:lineRule="auto"/>
        <w:rPr>
          <w:sz w:val="20"/>
          <w:szCs w:val="20"/>
          <w:color w:val="auto"/>
        </w:rPr>
      </w:pPr>
      <w:r>
        <w:rPr>
          <w:rFonts w:ascii="Arial" w:cs="Arial" w:eastAsia="Arial" w:hAnsi="Arial"/>
          <w:sz w:val="22"/>
          <w:szCs w:val="22"/>
          <w:color w:val="auto"/>
        </w:rPr>
        <w:t>281.646.5362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matt.hodges@academy.com</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2023-03-02T16:38:55Z</dcterms:created>
  <dcterms:modified xsi:type="dcterms:W3CDTF">2023-03-02T16:38:55Z</dcterms:modified>
</cp:coreProperties>
</file>