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1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1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Ennis William S.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SVP &amp; CHRO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March 21, 2023, the Reporting Person was granted 6,958 performance-based restricted stock units ("PRSUs"). These PRSUs vest if certain preestablished performance metrics related to the Company's</w:t>
      </w:r>
    </w:p>
    <w:p>
      <w:pPr>
        <w:spacing w:after="0" w:line="2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500"/>
        <w:spacing w:after="0" w:line="310" w:lineRule="auto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12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6063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2023-03-23T19:36:07Z</dcterms:created>
  <dcterms:modified xsi:type="dcterms:W3CDTF">2023-03-23T19:36:07Z</dcterms:modified>
</cp:coreProperties>
</file>