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MARLEY BRIAN 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06/02/2021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06/02/2021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3,194</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35,801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3,194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line="139" w:lineRule="exact"/>
              <w:rPr>
                <w:sz w:val="20"/>
                <w:szCs w:val="20"/>
                <w:color w:val="auto"/>
              </w:rPr>
            </w:pPr>
            <w:r>
              <w:rPr>
                <w:rFonts w:ascii="Arial" w:cs="Arial" w:eastAsia="Arial" w:hAnsi="Arial"/>
                <w:sz w:val="13"/>
                <w:szCs w:val="13"/>
                <w:color w:val="0000FF"/>
              </w:rPr>
              <w:t>06/02/2021</w:t>
            </w:r>
          </w:p>
        </w:tc>
        <w:tc>
          <w:tcPr>
            <w:tcW w:w="110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tcPr>
          <w:p>
            <w:pPr>
              <w:ind w:left="460"/>
              <w:spacing w:after="0" w:line="139" w:lineRule="exact"/>
              <w:rPr>
                <w:sz w:val="20"/>
                <w:szCs w:val="20"/>
                <w:color w:val="auto"/>
              </w:rPr>
            </w:pPr>
            <w:r>
              <w:rPr>
                <w:rFonts w:ascii="Arial" w:cs="Arial" w:eastAsia="Arial" w:hAnsi="Arial"/>
                <w:sz w:val="13"/>
                <w:szCs w:val="13"/>
                <w:color w:val="0000FF"/>
              </w:rPr>
              <w:t>3,194</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w:t>
      </w:r>
    </w:p>
    <w:p>
      <w:pPr>
        <w:spacing w:after="0" w:line="45"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9, 2021, the Reporting Person was granted 3,194 time-based restricted stock units that vest 100%, subject to the Reporting Person's continued services with the Issuer, on the vesting date,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Janet Morrow,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06/02/2021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6421"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2021-06-02T08:30:03Z</dcterms:created>
  <dcterms:modified xsi:type="dcterms:W3CDTF">2021-06-02T08:30:03Z</dcterms:modified>
</cp:coreProperties>
</file>