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148590</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268605</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58" w:lineRule="exact"/>
        <w:rPr>
          <w:sz w:val="24"/>
          <w:szCs w:val="24"/>
          <w:color w:val="auto"/>
        </w:rPr>
      </w:pPr>
    </w:p>
    <w:p>
      <w:pPr>
        <w:sectPr>
          <w:pgSz w:w="11900" w:h="16838" w:orient="portrait"/>
          <w:cols w:equalWidth="0" w:num="3">
            <w:col w:w="4500" w:space="720"/>
            <w:col w:w="282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640"/>
        <w:spacing w:after="0"/>
        <w:rPr>
          <w:sz w:val="20"/>
          <w:szCs w:val="20"/>
          <w:color w:val="auto"/>
        </w:rPr>
      </w:pPr>
      <w:r>
        <w:rPr>
          <w:rFonts w:ascii="Arial" w:cs="Arial" w:eastAsia="Arial" w:hAnsi="Arial"/>
          <w:sz w:val="15"/>
          <w:szCs w:val="15"/>
          <w:color w:val="auto"/>
        </w:rPr>
        <w:t>incorporation )</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3760"/>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Appointment of Chris Turner to Board of Directors</w:t>
      </w:r>
    </w:p>
    <w:p>
      <w:pPr>
        <w:spacing w:after="0" w:line="25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Effective December 17, 2021, the Board of Directors (the “Board”) of Academy Sports and Outdoors, Inc. (the "Company") increased the size of the Board from nine to ten directors with the one newly created directorship being allocated to Class I and filled the resulting vacancy created by such increase by appointing Chris Turner, 47, as an independent Class I director. Mr. Turner will hold office until the Company’s 2024 Annual Meeting of Stockholders. Mr. Turner was appointed to serve on the Audit Committee of the Board.</w:t>
      </w:r>
    </w:p>
    <w:p>
      <w:pPr>
        <w:spacing w:after="0" w:line="214"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Mr. Turner has served as the Chief Financial Officer of Yum! Brands since August 2019. Before joining Yum! Brands, he served as Senior Vice President and General Manager in PepsiCo’s retail and e-commerce businesses with Walmart in the U.S. and more than 25 countries and across PepsiCo’s brands from December 2017 to July 2019. Prior to leading PepsiCo’s Walmart business, he served in various positions, including Senior Vice President of Transformation for PepsiCo’s Frito-Lay North America business from July 2017 to December 2017 and Senior Vice President of Strategy for Frito-Lay from February 2016 to June 2017. Prior to joining PepsiCo, he was a partner in the Dallas office of McKinsey &amp; Company, a strategic management consulting firm, serving clients in the retail, restaurant, consumer packaged goods, airline, high-tech and media industries. He holds an MBA from Stanford University and a bachelor’s degree in industrial engineering from the University of Arkansas.</w:t>
      </w:r>
    </w:p>
    <w:p>
      <w:pPr>
        <w:spacing w:after="0" w:line="191" w:lineRule="exact"/>
        <w:rPr>
          <w:sz w:val="20"/>
          <w:szCs w:val="20"/>
          <w:color w:val="auto"/>
        </w:rPr>
      </w:pPr>
    </w:p>
    <w:p>
      <w:pPr>
        <w:ind w:right="80" w:firstLine="401"/>
        <w:spacing w:after="0" w:line="246" w:lineRule="auto"/>
        <w:rPr>
          <w:sz w:val="20"/>
          <w:szCs w:val="20"/>
          <w:color w:val="auto"/>
        </w:rPr>
      </w:pPr>
      <w:r>
        <w:rPr>
          <w:rFonts w:ascii="Arial" w:cs="Arial" w:eastAsia="Arial" w:hAnsi="Arial"/>
          <w:sz w:val="18"/>
          <w:szCs w:val="18"/>
          <w:color w:val="auto"/>
        </w:rPr>
        <w:t>The Board selected Mr. Turner because of his finance, corporate strategy, supply chain, eCommerce and information technology experience as both a retailer and vendor serving the retail community.</w:t>
      </w:r>
    </w:p>
    <w:p>
      <w:pPr>
        <w:spacing w:after="0" w:line="21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Board has determined that Mr. Turner qualifies as an independent director under the corporate governance standards of Nasdaq and the independence requirements of Section 10A-3(b)(1) under the Securities Exchange Act of 1934, as amended (the “Exchange Act”).</w:t>
      </w:r>
    </w:p>
    <w:p>
      <w:pPr>
        <w:spacing w:after="0" w:line="197" w:lineRule="exact"/>
        <w:rPr>
          <w:sz w:val="20"/>
          <w:szCs w:val="20"/>
          <w:color w:val="auto"/>
        </w:rPr>
      </w:pPr>
    </w:p>
    <w:p>
      <w:pPr>
        <w:jc w:val="both"/>
        <w:ind w:firstLine="401"/>
        <w:spacing w:after="0" w:line="248" w:lineRule="auto"/>
        <w:rPr>
          <w:sz w:val="20"/>
          <w:szCs w:val="20"/>
          <w:color w:val="auto"/>
        </w:rPr>
      </w:pPr>
      <w:r>
        <w:rPr>
          <w:rFonts w:ascii="Arial" w:cs="Arial" w:eastAsia="Arial" w:hAnsi="Arial"/>
          <w:sz w:val="18"/>
          <w:szCs w:val="18"/>
          <w:color w:val="auto"/>
        </w:rPr>
        <w:t>As compensation for his service on the Board and Audit Committee of the Board, Mr. Turner will receive the Company's standard compensation for non-employee directors as disclosed in the Company's 2021 proxy statement filed by the Company with the U.S. Securities and Exchange Commission (the "SEC") on April 23, 2021.</w:t>
      </w:r>
    </w:p>
    <w:p>
      <w:pPr>
        <w:spacing w:after="0" w:line="209"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In addition, the Company and Mr. Turner will enter into the Company’s standard form of indemnification agreement for directors, a copy of which was previously filed as Exhibit 10.37 to Amendment No. 2 to the Company’s Registration Statement on Form S-1 filed with the SEC on September 23, 2020.</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On December 17, 2021, the Company issued a press release announcing Mr. Turner's appointment, a copy of which is attached hereto as Exhibit 99.1 and incorporated herein by reference.</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0" w:lineRule="auto"/>
        <w:framePr w:w="980" w:h="444" w:wrap="auto" w:vAnchor="page" w:hAnchor="page" w:x="1200" w:y="2437"/>
        <w:rPr>
          <w:rFonts w:ascii="Arial" w:cs="Arial" w:eastAsia="Arial" w:hAnsi="Arial"/>
          <w:sz w:val="17"/>
          <w:szCs w:val="17"/>
          <w:u w:val="single" w:color="auto"/>
          <w:color w:val="0000FF"/>
        </w:rPr>
      </w:pPr>
      <w:r>
        <w:rPr>
          <w:rFonts w:ascii="Arial" w:cs="Arial" w:eastAsia="Arial" w:hAnsi="Arial"/>
          <w:sz w:val="16"/>
          <w:szCs w:val="16"/>
          <w:b w:val="1"/>
          <w:bCs w:val="1"/>
          <w:color w:val="auto"/>
        </w:rPr>
        <w:t xml:space="preserve">Exhibit No. </w:t>
      </w:r>
      <w:hyperlink w:anchor="page5">
        <w:r>
          <w:rPr>
            <w:rFonts w:ascii="Arial" w:cs="Arial" w:eastAsia="Arial" w:hAnsi="Arial"/>
            <w:sz w:val="17"/>
            <w:szCs w:val="17"/>
            <w:u w:val="single" w:color="auto"/>
            <w:color w:val="0000FF"/>
          </w:rPr>
          <w:t>99.1</w:t>
        </w:r>
      </w:hyperlink>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b w:val="1"/>
          <w:bCs w:val="1"/>
          <w:color w:val="auto"/>
        </w:rPr>
        <w:t>(d) Exhibits.</w:t>
      </w:r>
    </w:p>
    <w:p>
      <w:pPr>
        <w:spacing w:after="0" w:line="333" w:lineRule="exact"/>
        <w:rPr>
          <w:rFonts w:ascii="Arial" w:cs="Arial" w:eastAsia="Arial" w:hAnsi="Arial"/>
          <w:sz w:val="17"/>
          <w:szCs w:val="17"/>
          <w:u w:val="single" w:color="auto"/>
          <w:color w:val="0000FF"/>
        </w:rPr>
      </w:pPr>
    </w:p>
    <w:p>
      <w:pPr>
        <w:ind w:left="2580"/>
        <w:spacing w:after="0"/>
        <w:rPr>
          <w:sz w:val="20"/>
          <w:szCs w:val="20"/>
          <w:color w:val="auto"/>
        </w:rPr>
      </w:pPr>
      <w:r>
        <w:rPr>
          <w:rFonts w:ascii="Arial" w:cs="Arial" w:eastAsia="Arial" w:hAnsi="Arial"/>
          <w:sz w:val="18"/>
          <w:szCs w:val="18"/>
          <w:b w:val="1"/>
          <w:bCs w:val="1"/>
          <w:color w:val="auto"/>
        </w:rPr>
        <w:t>Description of Exhibit</w:t>
      </w:r>
    </w:p>
    <w:p>
      <w:pPr>
        <w:spacing w:after="0" w:line="81" w:lineRule="exact"/>
        <w:rPr>
          <w:rFonts w:ascii="Arial" w:cs="Arial" w:eastAsia="Arial" w:hAnsi="Arial"/>
          <w:sz w:val="17"/>
          <w:szCs w:val="17"/>
          <w:u w:val="single" w:color="auto"/>
          <w:color w:val="0000FF"/>
        </w:rPr>
      </w:pPr>
    </w:p>
    <w:p>
      <w:pPr>
        <w:ind w:left="2580"/>
        <w:spacing w:after="0"/>
        <w:rPr>
          <w:sz w:val="20"/>
          <w:szCs w:val="20"/>
          <w:color w:val="auto"/>
        </w:rPr>
      </w:pPr>
      <w:r>
        <w:rPr>
          <w:rFonts w:ascii="Arial" w:cs="Arial" w:eastAsia="Arial" w:hAnsi="Arial"/>
          <w:sz w:val="16"/>
          <w:szCs w:val="16"/>
          <w:color w:val="auto"/>
        </w:rPr>
        <w:t>Academy Sports and Outdoors, Inc. Press Release dated December 17, 2021.</w:t>
      </w:r>
    </w:p>
    <w:p>
      <w:pPr>
        <w:spacing w:after="0" w:line="100" w:lineRule="exact"/>
        <w:rPr>
          <w:rFonts w:ascii="Arial" w:cs="Arial" w:eastAsia="Arial" w:hAnsi="Arial"/>
          <w:sz w:val="17"/>
          <w:szCs w:val="17"/>
          <w:u w:val="single" w:color="auto"/>
          <w:color w:val="0000FF"/>
        </w:rPr>
      </w:pPr>
    </w:p>
    <w:p>
      <w:pPr>
        <w:ind w:left="2580" w:hanging="1060"/>
        <w:spacing w:after="0"/>
        <w:tabs>
          <w:tab w:leader="none" w:pos="2580" w:val="left"/>
        </w:tabs>
        <w:numPr>
          <w:ilvl w:val="0"/>
          <w:numId w:val="2"/>
        </w:numPr>
        <w:rPr>
          <w:rFonts w:ascii="Arial" w:cs="Arial" w:eastAsia="Arial" w:hAnsi="Arial"/>
          <w:sz w:val="18"/>
          <w:szCs w:val="18"/>
          <w:color w:val="auto"/>
        </w:rPr>
      </w:pPr>
      <w:r>
        <w:rPr>
          <w:rFonts w:ascii="Arial" w:cs="Arial" w:eastAsia="Arial" w:hAnsi="Arial"/>
          <w:sz w:val="16"/>
          <w:szCs w:val="16"/>
          <w:color w:val="auto"/>
        </w:rPr>
        <w:t>Cover Page Interactive Date File (embedded within the Inline XBRL document).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 w:name="page4"/>
    <w:bookmarkEnd w:id="3"/>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Date: December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2322830"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283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60"/>
        <w:spacing w:after="0"/>
        <w:rPr>
          <w:sz w:val="20"/>
          <w:szCs w:val="20"/>
          <w:color w:val="auto"/>
        </w:rPr>
      </w:pPr>
      <w:r>
        <w:rPr>
          <w:rFonts w:ascii="Arial" w:cs="Arial" w:eastAsia="Arial" w:hAnsi="Arial"/>
          <w:sz w:val="41"/>
          <w:szCs w:val="41"/>
          <w:b w:val="1"/>
          <w:bCs w:val="1"/>
          <w:color w:val="auto"/>
        </w:rPr>
        <w:t>PRESS RELEASE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Academy Sports + Outdoors Announces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Appointment of Chris Turner to Board of Directors</w:t>
      </w:r>
    </w:p>
    <w:p>
      <w:pPr>
        <w:spacing w:after="0" w:line="32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KATY, TEXAS (PRNewswire December 17, 2021) – Academy Sports and Outdoors, Inc. (“Academy” or the “Company”) (Nasdaq: ASO) announced today, effective immediately, the appointment of Chris Turner to its Board of Directors (the "Board") and Audit Committee. With this change, Academy’s Board now comprises ten directors.</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“Chris has an impressive background of business leadership and deep knowledge in consumer brands and elevating the customer experience that will be very valuable to Academy and our Board,” said Ken C. Hicks, Academy Chairman, President and Chief Executive Officer. “As a Texan and Academy Sports + Outdoors customer, he’ll bring a unique passion to his role as a director.”</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Turner has over 20 years of strategy, finance, mergers &amp; acquisitions and operations experience at world-class consumer-oriented and strategic consulting companies. Turner has served as the Chief Financial Officer of Yum! Brands since August 2019 where he has global responsibility for finance, corporate strategy, supply chain and information technology. Before joining Yum! Brands, he served as Senior Vice President and General Manager leading PepsiCo’s retail and e-commerce businesses with Walmart in the U.S. and more than 25 countries and across PepsiCo’s brands. Prior to leading PepsiCo’s Walmart business, he served in various positions including Senior Vice President of Transformation for PepsiCo’s Frito-Lay North America business and Senior Vice President of Strategy for Frito-Lay. Prior to joining PepsiCo, Turner spent more than 13 years at McKinsey &amp; Company, a strategic management consulting firm, where he was a Partner in the firm’s Dallas office. During this time, he served clients in the retail, restaurant, consumer packaged goods, airline, high-tech and media industries. He holds an MBA from Stanford University and a bachelor’s degree in industrial engineering from the University of Arkansas.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3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19 private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label brands, which go well beyond traditional sporting goods and apparel offerings. For more information, visit www.academy.com.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SOURCE: Academy Sports and Outdoors, Inc.</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Media inquiries: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Elise Hasbrook, Vice President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281.253.8200</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elise.hasbrook@academy.com</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Investor inquiries: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Matt Hodges, 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281.646.5362</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matt.hodges@academy.com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2021-12-17T07:34:23Z</dcterms:created>
  <dcterms:modified xsi:type="dcterms:W3CDTF">2021-12-17T07:34:23Z</dcterms:modified>
</cp:coreProperties>
</file>