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356870</wp:posOffset>
            </wp:positionH>
            <wp:positionV relativeFrom="page">
              <wp:posOffset>260350</wp:posOffset>
            </wp:positionV>
            <wp:extent cx="66351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35115" cy="5715"/>
                    </a:xfrm>
                    <a:prstGeom prst="rect">
                      <a:avLst/>
                    </a:prstGeom>
                    <a:noFill/>
                  </pic:spPr>
                </pic:pic>
              </a:graphicData>
            </a:graphic>
          </wp:anchor>
        </w:drawing>
        <w:drawing>
          <wp:anchor simplePos="0" relativeHeight="251657728" behindDoc="1" locked="0" layoutInCell="0" allowOverlap="1">
            <wp:simplePos x="0" y="0"/>
            <wp:positionH relativeFrom="page">
              <wp:posOffset>356870</wp:posOffset>
            </wp:positionH>
            <wp:positionV relativeFrom="page">
              <wp:posOffset>277495</wp:posOffset>
            </wp:positionV>
            <wp:extent cx="66351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5115" cy="5715"/>
                    </a:xfrm>
                    <a:prstGeom prst="rect">
                      <a:avLst/>
                    </a:prstGeom>
                    <a:noFill/>
                  </pic:spPr>
                </pic:pic>
              </a:graphicData>
            </a:graphic>
          </wp:anchor>
        </w:drawing>
        <w:t>UNITED STATES</w:t>
      </w:r>
    </w:p>
    <w:p>
      <w:pPr>
        <w:spacing w:after="0" w:line="46"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2"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93345</wp:posOffset>
            </wp:positionV>
            <wp:extent cx="17030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4"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93345</wp:posOffset>
            </wp:positionV>
            <wp:extent cx="17030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7"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49"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12"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98425</wp:posOffset>
            </wp:positionV>
            <wp:extent cx="17030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3070" cy="5715"/>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167005</wp:posOffset>
            </wp:positionV>
            <wp:extent cx="1325880" cy="405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5880"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57"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91440</wp:posOffset>
            </wp:positionV>
            <wp:extent cx="17030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10249"/>
          </w:cols>
          <w:pgMar w:left="571" w:top="542" w:right="1079" w:bottom="1440" w:gutter="0" w:footer="0" w:header="0"/>
        </w:sectPr>
      </w:pPr>
    </w:p>
    <w:p>
      <w:pPr>
        <w:spacing w:after="0" w:line="262" w:lineRule="exact"/>
        <w:rPr>
          <w:sz w:val="24"/>
          <w:szCs w:val="24"/>
          <w:color w:val="auto"/>
        </w:rPr>
      </w:pPr>
    </w:p>
    <w:p>
      <w:pPr>
        <w:ind w:left="2129"/>
        <w:spacing w:after="0"/>
        <w:rPr>
          <w:sz w:val="20"/>
          <w:szCs w:val="20"/>
          <w:color w:val="auto"/>
        </w:rPr>
      </w:pPr>
      <w:r>
        <w:rPr>
          <w:rFonts w:ascii="Times New Roman" w:cs="Times New Roman" w:eastAsia="Times New Roman" w:hAnsi="Times New Roman"/>
          <w:sz w:val="8"/>
          <w:szCs w:val="8"/>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001-39589</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85-1800912</w:t>
      </w:r>
    </w:p>
    <w:p>
      <w:pPr>
        <w:spacing w:after="0" w:line="104" w:lineRule="exact"/>
        <w:rPr>
          <w:sz w:val="24"/>
          <w:szCs w:val="24"/>
          <w:color w:val="auto"/>
        </w:rPr>
      </w:pPr>
    </w:p>
    <w:p>
      <w:pPr>
        <w:sectPr>
          <w:pgSz w:w="11900" w:h="16838" w:orient="portrait"/>
          <w:cols w:equalWidth="0" w:num="3">
            <w:col w:w="4829" w:space="720"/>
            <w:col w:w="2360" w:space="720"/>
            <w:col w:w="1620"/>
          </w:cols>
          <w:pgMar w:left="571" w:top="542" w:right="1079" w:bottom="1440" w:gutter="0" w:footer="0" w:header="0"/>
          <w:type w:val="continuous"/>
        </w:sectPr>
      </w:pPr>
    </w:p>
    <w:p>
      <w:pPr>
        <w:ind w:left="1649"/>
        <w:spacing w:after="0"/>
        <w:rPr>
          <w:sz w:val="20"/>
          <w:szCs w:val="20"/>
          <w:color w:val="auto"/>
        </w:rPr>
      </w:pPr>
      <w:r>
        <w:rPr>
          <w:rFonts w:ascii="Times New Roman" w:cs="Times New Roman" w:eastAsia="Times New Roman" w:hAnsi="Times New Roman"/>
          <w:sz w:val="10"/>
          <w:szCs w:val="10"/>
          <w:color w:val="auto"/>
        </w:rPr>
        <w:t>(State or other jurisdiction of</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Times New Roman" w:cs="Times New Roman" w:eastAsia="Times New Roman" w:hAnsi="Times New Roman"/>
          <w:sz w:val="10"/>
          <w:szCs w:val="10"/>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w:t>
      </w:r>
    </w:p>
    <w:p>
      <w:pPr>
        <w:spacing w:after="0" w:line="91" w:lineRule="exact"/>
        <w:rPr>
          <w:sz w:val="24"/>
          <w:szCs w:val="24"/>
          <w:color w:val="auto"/>
        </w:rPr>
      </w:pPr>
    </w:p>
    <w:p>
      <w:pPr>
        <w:sectPr>
          <w:pgSz w:w="11900" w:h="16838" w:orient="portrait"/>
          <w:cols w:equalWidth="0" w:num="3">
            <w:col w:w="4629" w:space="720"/>
            <w:col w:w="2400" w:space="720"/>
            <w:col w:w="1780"/>
          </w:cols>
          <w:pgMar w:left="571" w:top="542" w:right="1079" w:bottom="1440" w:gutter="0" w:footer="0" w:header="0"/>
          <w:type w:val="continuous"/>
        </w:sectPr>
      </w:pPr>
    </w:p>
    <w:p>
      <w:pPr>
        <w:ind w:left="1969"/>
        <w:spacing w:after="0"/>
        <w:rPr>
          <w:sz w:val="20"/>
          <w:szCs w:val="20"/>
          <w:color w:val="auto"/>
        </w:rPr>
      </w:pPr>
      <w:r>
        <w:rPr>
          <w:rFonts w:ascii="Times New Roman" w:cs="Times New Roman" w:eastAsia="Times New Roman" w:hAnsi="Times New Roman"/>
          <w:sz w:val="10"/>
          <w:szCs w:val="10"/>
          <w:color w:val="auto"/>
        </w:rPr>
        <w:t>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0"/>
          <w:szCs w:val="10"/>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Identification No.)</w:t>
      </w:r>
    </w:p>
    <w:p>
      <w:pPr>
        <w:spacing w:after="0" w:line="117" w:lineRule="exact"/>
        <w:rPr>
          <w:sz w:val="24"/>
          <w:szCs w:val="24"/>
          <w:color w:val="auto"/>
        </w:rPr>
      </w:pPr>
    </w:p>
    <w:p>
      <w:pPr>
        <w:sectPr>
          <w:pgSz w:w="11900" w:h="16838" w:orient="portrait"/>
          <w:cols w:equalWidth="0" w:num="3">
            <w:col w:w="4729" w:space="720"/>
            <w:col w:w="2280" w:space="720"/>
            <w:col w:w="1800"/>
          </w:cols>
          <w:pgMar w:left="571" w:top="542" w:right="1079" w:bottom="1440" w:gutter="0" w:footer="0" w:header="0"/>
          <w:type w:val="continuous"/>
        </w:sectPr>
      </w:pPr>
    </w:p>
    <w:p>
      <w:pPr>
        <w:ind w:left="4649"/>
        <w:spacing w:after="0"/>
        <w:rPr>
          <w:sz w:val="20"/>
          <w:szCs w:val="20"/>
          <w:color w:val="auto"/>
        </w:rPr>
      </w:pPr>
      <w:r>
        <w:rPr>
          <w:rFonts w:ascii="Times New Roman" w:cs="Times New Roman" w:eastAsia="Times New Roman" w:hAnsi="Times New Roman"/>
          <w:sz w:val="11"/>
          <w:szCs w:val="11"/>
          <w:b w:val="1"/>
          <w:bCs w:val="1"/>
          <w:color w:val="auto"/>
        </w:rPr>
        <w:t>1800 North Mason Road</w:t>
      </w:r>
    </w:p>
    <w:p>
      <w:pPr>
        <w:spacing w:after="0" w:line="36" w:lineRule="exact"/>
        <w:rPr>
          <w:sz w:val="24"/>
          <w:szCs w:val="24"/>
          <w:color w:val="auto"/>
        </w:rPr>
      </w:pPr>
    </w:p>
    <w:p>
      <w:pPr>
        <w:ind w:left="4809"/>
        <w:spacing w:after="0"/>
        <w:rPr>
          <w:sz w:val="20"/>
          <w:szCs w:val="20"/>
          <w:color w:val="auto"/>
        </w:rPr>
      </w:pPr>
      <w:r>
        <w:rPr>
          <w:rFonts w:ascii="Times New Roman" w:cs="Times New Roman" w:eastAsia="Times New Roman" w:hAnsi="Times New Roman"/>
          <w:sz w:val="11"/>
          <w:szCs w:val="11"/>
          <w:b w:val="1"/>
          <w:bCs w:val="1"/>
          <w:color w:val="auto"/>
        </w:rPr>
        <w:t>Katy, Texas 77449</w:t>
      </w:r>
    </w:p>
    <w:p>
      <w:pPr>
        <w:spacing w:after="0" w:line="27" w:lineRule="exact"/>
        <w:rPr>
          <w:sz w:val="24"/>
          <w:szCs w:val="24"/>
          <w:color w:val="auto"/>
        </w:rPr>
      </w:pPr>
    </w:p>
    <w:p>
      <w:pPr>
        <w:ind w:left="4109"/>
        <w:spacing w:after="0"/>
        <w:rPr>
          <w:sz w:val="20"/>
          <w:szCs w:val="20"/>
          <w:color w:val="auto"/>
        </w:rPr>
      </w:pPr>
      <w:r>
        <w:rPr>
          <w:rFonts w:ascii="Times New Roman" w:cs="Times New Roman" w:eastAsia="Times New Roman" w:hAnsi="Times New Roman"/>
          <w:sz w:val="10"/>
          <w:szCs w:val="10"/>
          <w:i w:val="1"/>
          <w:iCs w:val="1"/>
          <w:color w:val="auto"/>
        </w:rPr>
        <w:t>(Address of principal executive offices, including Zip Code)</w:t>
      </w:r>
    </w:p>
    <w:p>
      <w:pPr>
        <w:spacing w:after="0" w:line="119" w:lineRule="exact"/>
        <w:rPr>
          <w:sz w:val="24"/>
          <w:szCs w:val="24"/>
          <w:color w:val="auto"/>
        </w:rPr>
      </w:pPr>
    </w:p>
    <w:p>
      <w:pPr>
        <w:ind w:left="4889"/>
        <w:spacing w:after="0"/>
        <w:rPr>
          <w:sz w:val="20"/>
          <w:szCs w:val="20"/>
          <w:color w:val="auto"/>
        </w:rPr>
      </w:pPr>
      <w:r>
        <w:rPr>
          <w:rFonts w:ascii="Times New Roman" w:cs="Times New Roman" w:eastAsia="Times New Roman" w:hAnsi="Times New Roman"/>
          <w:sz w:val="11"/>
          <w:szCs w:val="11"/>
          <w:b w:val="1"/>
          <w:bCs w:val="1"/>
          <w:color w:val="auto"/>
        </w:rPr>
        <w:t>(281) 646-5200</w:t>
      </w:r>
    </w:p>
    <w:p>
      <w:pPr>
        <w:spacing w:after="0" w:line="63" w:lineRule="exact"/>
        <w:rPr>
          <w:sz w:val="24"/>
          <w:szCs w:val="24"/>
          <w:color w:val="auto"/>
        </w:rPr>
      </w:pPr>
    </w:p>
    <w:p>
      <w:pPr>
        <w:ind w:left="4209"/>
        <w:spacing w:after="0"/>
        <w:rPr>
          <w:sz w:val="20"/>
          <w:szCs w:val="20"/>
          <w:color w:val="auto"/>
        </w:rPr>
      </w:pPr>
      <w:r>
        <w:rPr>
          <w:rFonts w:ascii="Times New Roman" w:cs="Times New Roman" w:eastAsia="Times New Roman" w:hAnsi="Times New Roman"/>
          <w:sz w:val="11"/>
          <w:szCs w:val="11"/>
          <w:i w:val="1"/>
          <w:iCs w:val="1"/>
          <w:color w:val="auto"/>
        </w:rPr>
        <w:t>(Registrant’s telephone number, including area code)</w:t>
      </w:r>
    </w:p>
    <w:p>
      <w:pPr>
        <w:spacing w:after="0" w:line="180" w:lineRule="exact"/>
        <w:rPr>
          <w:sz w:val="24"/>
          <w:szCs w:val="24"/>
          <w:color w:val="auto"/>
        </w:rPr>
      </w:pPr>
    </w:p>
    <w:p>
      <w:pPr>
        <w:ind w:left="5009"/>
        <w:spacing w:after="0"/>
        <w:rPr>
          <w:sz w:val="20"/>
          <w:szCs w:val="20"/>
          <w:color w:val="auto"/>
        </w:rPr>
      </w:pPr>
      <w:r>
        <w:rPr>
          <w:rFonts w:ascii="Times New Roman" w:cs="Times New Roman" w:eastAsia="Times New Roman" w:hAnsi="Times New Roman"/>
          <w:sz w:val="11"/>
          <w:szCs w:val="11"/>
          <w:b w:val="1"/>
          <w:bCs w:val="1"/>
          <w:color w:val="auto"/>
        </w:rPr>
        <w:t>Not Applicable</w:t>
      </w:r>
    </w:p>
    <w:p>
      <w:pPr>
        <w:spacing w:after="0" w:line="36" w:lineRule="exact"/>
        <w:rPr>
          <w:sz w:val="24"/>
          <w:szCs w:val="24"/>
          <w:color w:val="auto"/>
        </w:rPr>
      </w:pPr>
    </w:p>
    <w:p>
      <w:pPr>
        <w:ind w:left="3869"/>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86995</wp:posOffset>
            </wp:positionV>
            <wp:extent cx="17030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10249"/>
          </w:cols>
          <w:pgMar w:left="571" w:top="542" w:right="1079" w:bottom="1440" w:gutter="0" w:footer="0" w:header="0"/>
          <w:type w:val="continuous"/>
        </w:sectPr>
      </w:pPr>
    </w:p>
    <w:p>
      <w:pPr>
        <w:spacing w:after="0" w:line="25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129" w:hanging="127"/>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97" w:lineRule="exact"/>
        <w:rPr>
          <w:sz w:val="24"/>
          <w:szCs w:val="24"/>
          <w:color w:val="auto"/>
        </w:rPr>
      </w:pPr>
    </w:p>
    <w:tbl>
      <w:tblPr>
        <w:tblLayout w:type="fixed"/>
        <w:tblInd w:w="1189" w:type="dxa"/>
        <w:tblCellMar>
          <w:top w:w="0" w:type="dxa"/>
          <w:left w:w="0" w:type="dxa"/>
          <w:bottom w:w="0" w:type="dxa"/>
          <w:right w:w="0" w:type="dxa"/>
        </w:tblCellMar>
      </w:tblPr>
      <w:tr>
        <w:trPr>
          <w:trHeight w:val="142"/>
        </w:trPr>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2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9"/>
        </w:trPr>
        <w:tc>
          <w:tcPr>
            <w:tcW w:w="540" w:type="dxa"/>
            <w:vAlign w:val="bottom"/>
          </w:tcPr>
          <w:p>
            <w:pPr>
              <w:spacing w:after="0"/>
              <w:rPr>
                <w:sz w:val="12"/>
                <w:szCs w:val="12"/>
                <w:color w:val="auto"/>
              </w:rPr>
            </w:pPr>
          </w:p>
        </w:tc>
        <w:tc>
          <w:tcPr>
            <w:tcW w:w="178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620" w:type="dxa"/>
            <w:vAlign w:val="bottom"/>
            <w:gridSpan w:val="3"/>
          </w:tcPr>
          <w:p>
            <w:pPr>
              <w:jc w:val="center"/>
              <w:ind w:left="586"/>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580" w:type="dxa"/>
            <w:vAlign w:val="bottom"/>
            <w:gridSpan w:val="2"/>
          </w:tcPr>
          <w:p>
            <w:pPr>
              <w:jc w:val="center"/>
              <w:ind w:left="526"/>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5"/>
        </w:trPr>
        <w:tc>
          <w:tcPr>
            <w:tcW w:w="232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7"/>
              </w:rPr>
              <w:t>Common Stock, $0.01 par value per share</w:t>
            </w:r>
          </w:p>
        </w:tc>
        <w:tc>
          <w:tcPr>
            <w:tcW w:w="1700" w:type="dxa"/>
            <w:vAlign w:val="bottom"/>
          </w:tcPr>
          <w:p>
            <w:pPr>
              <w:spacing w:after="0"/>
              <w:rPr>
                <w:sz w:val="14"/>
                <w:szCs w:val="14"/>
                <w:color w:val="auto"/>
              </w:rPr>
            </w:pPr>
          </w:p>
        </w:tc>
        <w:tc>
          <w:tcPr>
            <w:tcW w:w="192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b w:val="1"/>
                <w:bCs w:val="1"/>
                <w:color w:val="auto"/>
                <w:w w:val="97"/>
              </w:rPr>
              <w:t>ASO</w:t>
            </w:r>
          </w:p>
        </w:tc>
        <w:tc>
          <w:tcPr>
            <w:tcW w:w="5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The Nasdaq Stock Market LLC</w:t>
            </w:r>
          </w:p>
        </w:tc>
      </w:tr>
    </w:tbl>
    <w:p>
      <w:pPr>
        <w:spacing w:after="0" w:line="130" w:lineRule="exact"/>
        <w:rPr>
          <w:sz w:val="24"/>
          <w:szCs w:val="24"/>
          <w:color w:val="auto"/>
        </w:rPr>
      </w:pPr>
    </w:p>
    <w:p>
      <w:pPr>
        <w:ind w:left="9" w:right="220"/>
        <w:spacing w:after="0" w:line="258"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23" w:lineRule="exact"/>
        <w:rPr>
          <w:sz w:val="24"/>
          <w:szCs w:val="24"/>
          <w:color w:val="auto"/>
        </w:rPr>
      </w:pPr>
    </w:p>
    <w:p>
      <w:pPr>
        <w:ind w:left="9"/>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-189230</wp:posOffset>
            </wp:positionH>
            <wp:positionV relativeFrom="paragraph">
              <wp:posOffset>260350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66351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11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663511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5715"/>
                    </a:xfrm>
                    <a:prstGeom prst="rect">
                      <a:avLst/>
                    </a:prstGeom>
                    <a:noFill/>
                  </pic:spPr>
                </pic:pic>
              </a:graphicData>
            </a:graphic>
          </wp:anchor>
        </w:drawing>
      </w:r>
    </w:p>
    <w:p>
      <w:pPr>
        <w:sectPr>
          <w:pgSz w:w="11900" w:h="16838" w:orient="portrait"/>
          <w:cols w:equalWidth="0" w:num="1">
            <w:col w:w="10249"/>
          </w:cols>
          <w:pgMar w:left="571" w:top="542" w:right="1079" w:bottom="1440" w:gutter="0" w:footer="0" w:header="0"/>
          <w:type w:val="continuous"/>
        </w:sectPr>
      </w:pPr>
    </w:p>
    <w:bookmarkStart w:id="1" w:name="page2"/>
    <w:bookmarkEnd w:id="1"/>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63" w:lineRule="exact"/>
        <w:rPr>
          <w:sz w:val="20"/>
          <w:szCs w:val="20"/>
          <w:color w:val="auto"/>
        </w:rPr>
      </w:pPr>
    </w:p>
    <w:p>
      <w:pPr>
        <w:jc w:val="both"/>
        <w:ind w:right="60" w:firstLine="267"/>
        <w:spacing w:after="0" w:line="279" w:lineRule="auto"/>
        <w:rPr>
          <w:sz w:val="20"/>
          <w:szCs w:val="20"/>
          <w:color w:val="auto"/>
        </w:rPr>
      </w:pPr>
      <w:r>
        <w:rPr>
          <w:rFonts w:ascii="Times New Roman" w:cs="Times New Roman" w:eastAsia="Times New Roman" w:hAnsi="Times New Roman"/>
          <w:sz w:val="12"/>
          <w:szCs w:val="12"/>
          <w:color w:val="auto"/>
        </w:rPr>
        <w:t>On June 10, 2025, Academy Sports and Outdoors, Inc. (the “Company”) issued a press release announcing financial results for the quarter ended May 3, 2025. A copy of the press release is furnished herewith as Exhibit 99.1 and incorporated by reference herein.</w:t>
      </w:r>
    </w:p>
    <w:p>
      <w:pPr>
        <w:spacing w:after="0" w:line="120" w:lineRule="exact"/>
        <w:rPr>
          <w:sz w:val="20"/>
          <w:szCs w:val="20"/>
          <w:color w:val="auto"/>
        </w:rPr>
      </w:pPr>
    </w:p>
    <w:p>
      <w:pPr>
        <w:jc w:val="both"/>
        <w:ind w:right="60" w:firstLine="267"/>
        <w:spacing w:after="0" w:line="257"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129"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June 10, 2025, the Company posted the First Quarter 2025 Supplemental Presentation to its website at investors.academy.com. A copy of the presentation is attached to this Current Report on Form 8-K as Exhibit 99.2.</w:t>
      </w:r>
    </w:p>
    <w:p>
      <w:pPr>
        <w:spacing w:after="0" w:line="168" w:lineRule="exact"/>
        <w:rPr>
          <w:sz w:val="20"/>
          <w:szCs w:val="20"/>
          <w:color w:val="auto"/>
        </w:rPr>
      </w:pPr>
    </w:p>
    <w:p>
      <w:pPr>
        <w:jc w:val="both"/>
        <w:ind w:right="60" w:firstLine="270"/>
        <w:spacing w:after="0" w:line="264" w:lineRule="auto"/>
        <w:rPr>
          <w:sz w:val="20"/>
          <w:szCs w:val="20"/>
          <w:color w:val="auto"/>
        </w:rPr>
      </w:pPr>
      <w:r>
        <w:rPr>
          <w:rFonts w:ascii="Times New Roman" w:cs="Times New Roman" w:eastAsia="Times New Roman" w:hAnsi="Times New Roman"/>
          <w:sz w:val="12"/>
          <w:szCs w:val="12"/>
          <w:color w:val="auto"/>
        </w:rPr>
        <w:t>The information contained under this Item 7.01, including Exhibit 99.2, is being furnished and shall not be deemed to be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9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42"/>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460" w:type="dxa"/>
            <w:vAlign w:val="bottom"/>
          </w:tcPr>
          <w:p>
            <w:pPr>
              <w:ind w:left="43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60" w:type="dxa"/>
            <w:vAlign w:val="bottom"/>
          </w:tcPr>
          <w:p>
            <w:pPr>
              <w:spacing w:after="0"/>
              <w:rPr>
                <w:sz w:val="24"/>
                <w:szCs w:val="24"/>
                <w:color w:val="auto"/>
              </w:rPr>
            </w:pPr>
          </w:p>
        </w:tc>
      </w:tr>
      <w:tr>
        <w:trPr>
          <w:trHeight w:val="178"/>
        </w:trPr>
        <w:tc>
          <w:tcPr>
            <w:tcW w:w="260" w:type="dxa"/>
            <w:vAlign w:val="bottom"/>
          </w:tcPr>
          <w:p>
            <w:pPr>
              <w:spacing w:after="0"/>
              <w:rPr>
                <w:sz w:val="15"/>
                <w:szCs w:val="15"/>
                <w:color w:val="auto"/>
              </w:rPr>
            </w:pPr>
          </w:p>
        </w:tc>
        <w:tc>
          <w:tcPr>
            <w:tcW w:w="1500" w:type="dxa"/>
            <w:vAlign w:val="bottom"/>
            <w:tcBorders>
              <w:top w:val="single" w:sz="8" w:color="auto"/>
              <w:bottom w:val="single" w:sz="8" w:color="auto"/>
            </w:tcBorders>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Academy Sports and Outdoors, Inc. Press Release, dated June 10, 2025.</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r>
      <w:tr>
        <w:trPr>
          <w:trHeight w:val="124"/>
        </w:trPr>
        <w:tc>
          <w:tcPr>
            <w:tcW w:w="1760" w:type="dxa"/>
            <w:vAlign w:val="bottom"/>
            <w:gridSpan w:val="4"/>
          </w:tcPr>
          <w:p>
            <w:pPr>
              <w:ind w:left="380"/>
              <w:spacing w:after="0" w:line="124"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80" w:type="dxa"/>
            <w:vAlign w:val="bottom"/>
          </w:tcPr>
          <w:p>
            <w:pPr>
              <w:spacing w:after="0"/>
              <w:rPr>
                <w:sz w:val="10"/>
                <w:szCs w:val="10"/>
                <w:color w:val="auto"/>
              </w:rPr>
            </w:pPr>
          </w:p>
        </w:tc>
        <w:tc>
          <w:tcPr>
            <w:tcW w:w="94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First Quarter 2025 Supplemental Presentation, dated June 10, 2025.</w:t>
            </w:r>
          </w:p>
        </w:tc>
        <w:tc>
          <w:tcPr>
            <w:tcW w:w="60" w:type="dxa"/>
            <w:vAlign w:val="bottom"/>
          </w:tcPr>
          <w:p>
            <w:pPr>
              <w:spacing w:after="0"/>
              <w:rPr>
                <w:sz w:val="10"/>
                <w:szCs w:val="10"/>
                <w:color w:val="auto"/>
              </w:rPr>
            </w:pPr>
          </w:p>
        </w:tc>
      </w:tr>
      <w:tr>
        <w:trPr>
          <w:trHeight w:val="25"/>
        </w:trPr>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0"/>
        </w:trPr>
        <w:tc>
          <w:tcPr>
            <w:tcW w:w="260" w:type="dxa"/>
            <w:vAlign w:val="bottom"/>
          </w:tcPr>
          <w:p>
            <w:pPr>
              <w:spacing w:after="0"/>
              <w:rPr>
                <w:sz w:val="15"/>
                <w:szCs w:val="15"/>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104</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60" w:type="dxa"/>
            <w:vAlign w:val="bottom"/>
            <w:shd w:val="clear" w:color="auto" w:fill="CCEEFF"/>
          </w:tcPr>
          <w:p>
            <w:pPr>
              <w:spacing w:after="0"/>
              <w:rPr>
                <w:sz w:val="15"/>
                <w:szCs w:val="15"/>
                <w:color w:val="auto"/>
              </w:rPr>
            </w:pPr>
          </w:p>
        </w:tc>
      </w:tr>
      <w:tr>
        <w:trPr>
          <w:trHeight w:val="1161"/>
        </w:trPr>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60"/>
          </w:cols>
          <w:pgMar w:left="300" w:top="989"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tbl>
      <w:tblPr>
        <w:tblLayout w:type="fixed"/>
        <w:tblInd w:w="5500" w:type="dxa"/>
        <w:tblCellMar>
          <w:top w:w="0" w:type="dxa"/>
          <w:left w:w="0" w:type="dxa"/>
          <w:bottom w:w="0" w:type="dxa"/>
          <w:right w:w="0" w:type="dxa"/>
        </w:tblCellMar>
      </w:tblPr>
      <w:tr>
        <w:trPr>
          <w:trHeight w:val="155"/>
        </w:trPr>
        <w:tc>
          <w:tcPr>
            <w:tcW w:w="1620" w:type="dxa"/>
            <w:vAlign w:val="bottom"/>
          </w:tcPr>
          <w:p>
            <w:pPr>
              <w:spacing w:after="0"/>
              <w:rPr>
                <w:sz w:val="13"/>
                <w:szCs w:val="13"/>
                <w:color w:val="auto"/>
              </w:rPr>
            </w:pPr>
          </w:p>
        </w:tc>
        <w:tc>
          <w:tcPr>
            <w:tcW w:w="398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ACADEMY SPORTS AND OUTDOORS, INC.</w:t>
            </w:r>
          </w:p>
        </w:tc>
      </w:tr>
      <w:tr>
        <w:trPr>
          <w:trHeight w:val="423"/>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Date: June 10, 2025</w:t>
            </w:r>
          </w:p>
        </w:tc>
        <w:tc>
          <w:tcPr>
            <w:tcW w:w="112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By:</w:t>
            </w: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Sarah M. Green</w:t>
            </w:r>
          </w:p>
        </w:tc>
      </w:tr>
      <w:tr>
        <w:trPr>
          <w:trHeight w:val="160"/>
        </w:trPr>
        <w:tc>
          <w:tcPr>
            <w:tcW w:w="1620" w:type="dxa"/>
            <w:vAlign w:val="bottom"/>
          </w:tcPr>
          <w:p>
            <w:pPr>
              <w:spacing w:after="0"/>
              <w:rPr>
                <w:sz w:val="13"/>
                <w:szCs w:val="13"/>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Name:</w:t>
            </w:r>
          </w:p>
        </w:tc>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Sarah M. Green</w:t>
            </w:r>
          </w:p>
        </w:tc>
      </w:tr>
      <w:tr>
        <w:trPr>
          <w:trHeight w:val="169"/>
        </w:trPr>
        <w:tc>
          <w:tcPr>
            <w:tcW w:w="1620" w:type="dxa"/>
            <w:vAlign w:val="bottom"/>
          </w:tcPr>
          <w:p>
            <w:pPr>
              <w:spacing w:after="0"/>
              <w:rPr>
                <w:sz w:val="14"/>
                <w:szCs w:val="14"/>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Title:</w:t>
            </w:r>
          </w:p>
        </w:tc>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Vice President, Deputy General Counsel and Assistant</w:t>
            </w:r>
          </w:p>
        </w:tc>
      </w:tr>
      <w:tr>
        <w:trPr>
          <w:trHeight w:val="155"/>
        </w:trPr>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Corporate Secretary</w:t>
            </w:r>
          </w:p>
        </w:tc>
      </w:tr>
    </w:tbl>
    <w:p>
      <w:pPr>
        <w:sectPr>
          <w:pgSz w:w="11900" w:h="16838" w:orient="portrait"/>
          <w:cols w:equalWidth="0" w:num="1">
            <w:col w:w="11100"/>
          </w:cols>
          <w:pgMar w:left="500" w:top="98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144780</wp:posOffset>
            </wp:positionV>
            <wp:extent cx="126301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30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Academy Sports + Outdoors Reports First Quarter Fiscal 2025 Results</w:t>
      </w:r>
    </w:p>
    <w:p>
      <w:pPr>
        <w:spacing w:after="0" w:line="164" w:lineRule="exact"/>
        <w:rPr>
          <w:sz w:val="20"/>
          <w:szCs w:val="20"/>
          <w:color w:val="auto"/>
        </w:rPr>
      </w:pPr>
    </w:p>
    <w:p>
      <w:pPr>
        <w:jc w:val="center"/>
        <w:ind w:right="-207"/>
        <w:spacing w:after="0"/>
        <w:rPr>
          <w:sz w:val="20"/>
          <w:szCs w:val="20"/>
          <w:color w:val="auto"/>
        </w:rPr>
      </w:pPr>
      <w:r>
        <w:rPr>
          <w:rFonts w:ascii="Arial" w:cs="Arial" w:eastAsia="Arial" w:hAnsi="Arial"/>
          <w:sz w:val="11"/>
          <w:szCs w:val="11"/>
          <w:i w:val="1"/>
          <w:iCs w:val="1"/>
          <w:color w:val="auto"/>
        </w:rPr>
        <w:t>First Quarter Sales Decline (0.9)%; Comparable Sales Declined (3.7)%</w:t>
      </w:r>
    </w:p>
    <w:p>
      <w:pPr>
        <w:spacing w:after="0" w:line="162" w:lineRule="exact"/>
        <w:rPr>
          <w:sz w:val="20"/>
          <w:szCs w:val="20"/>
          <w:color w:val="auto"/>
        </w:rPr>
      </w:pPr>
    </w:p>
    <w:p>
      <w:pPr>
        <w:jc w:val="center"/>
        <w:ind w:right="-207"/>
        <w:spacing w:after="0"/>
        <w:rPr>
          <w:sz w:val="20"/>
          <w:szCs w:val="20"/>
          <w:color w:val="auto"/>
        </w:rPr>
      </w:pPr>
      <w:r>
        <w:rPr>
          <w:rFonts w:ascii="Arial" w:cs="Arial" w:eastAsia="Arial" w:hAnsi="Arial"/>
          <w:sz w:val="11"/>
          <w:szCs w:val="11"/>
          <w:i w:val="1"/>
          <w:iCs w:val="1"/>
          <w:color w:val="auto"/>
        </w:rPr>
        <w:t>eCommerce Sales Increase 10.2%; New Stores Continue to Comp Positive Low Single Digits</w:t>
      </w:r>
    </w:p>
    <w:p>
      <w:pPr>
        <w:spacing w:after="0" w:line="162" w:lineRule="exact"/>
        <w:rPr>
          <w:sz w:val="20"/>
          <w:szCs w:val="20"/>
          <w:color w:val="auto"/>
        </w:rPr>
      </w:pPr>
    </w:p>
    <w:p>
      <w:pPr>
        <w:jc w:val="center"/>
        <w:ind w:right="-207"/>
        <w:spacing w:after="0"/>
        <w:rPr>
          <w:sz w:val="20"/>
          <w:szCs w:val="20"/>
          <w:color w:val="auto"/>
        </w:rPr>
      </w:pPr>
      <w:r>
        <w:rPr>
          <w:rFonts w:ascii="Arial" w:cs="Arial" w:eastAsia="Arial" w:hAnsi="Arial"/>
          <w:sz w:val="11"/>
          <w:szCs w:val="11"/>
          <w:i w:val="1"/>
          <w:iCs w:val="1"/>
          <w:color w:val="auto"/>
        </w:rPr>
        <w:t>First Quarter Diluted GAAP EPS of $0.68; Returned $108M to Shareholders through Share Buy Backs and Dividends</w:t>
      </w:r>
    </w:p>
    <w:p>
      <w:pPr>
        <w:spacing w:after="0" w:line="162" w:lineRule="exact"/>
        <w:rPr>
          <w:sz w:val="20"/>
          <w:szCs w:val="20"/>
          <w:color w:val="auto"/>
        </w:rPr>
      </w:pPr>
    </w:p>
    <w:p>
      <w:pPr>
        <w:jc w:val="center"/>
        <w:ind w:right="-207"/>
        <w:spacing w:after="0"/>
        <w:rPr>
          <w:sz w:val="20"/>
          <w:szCs w:val="20"/>
          <w:color w:val="auto"/>
        </w:rPr>
      </w:pPr>
      <w:r>
        <w:rPr>
          <w:rFonts w:ascii="Arial" w:cs="Arial" w:eastAsia="Arial" w:hAnsi="Arial"/>
          <w:sz w:val="11"/>
          <w:szCs w:val="11"/>
          <w:i w:val="1"/>
          <w:iCs w:val="1"/>
          <w:color w:val="auto"/>
        </w:rPr>
        <w:t>Opened Five New Stores in Pennsylvania, Maryland, Missouri and North Carolina</w:t>
      </w:r>
    </w:p>
    <w:p>
      <w:pPr>
        <w:spacing w:after="0" w:line="162" w:lineRule="exact"/>
        <w:rPr>
          <w:sz w:val="20"/>
          <w:szCs w:val="20"/>
          <w:color w:val="auto"/>
        </w:rPr>
      </w:pPr>
    </w:p>
    <w:p>
      <w:pPr>
        <w:jc w:val="center"/>
        <w:ind w:right="-207"/>
        <w:spacing w:after="0"/>
        <w:rPr>
          <w:sz w:val="20"/>
          <w:szCs w:val="20"/>
          <w:color w:val="auto"/>
        </w:rPr>
      </w:pPr>
      <w:r>
        <w:rPr>
          <w:rFonts w:ascii="Arial" w:cs="Arial" w:eastAsia="Arial" w:hAnsi="Arial"/>
          <w:sz w:val="11"/>
          <w:szCs w:val="11"/>
          <w:i w:val="1"/>
          <w:iCs w:val="1"/>
          <w:color w:val="auto"/>
        </w:rPr>
        <w:t>Company Revises Guidance to Account For Multiple Tariff Scenarios While Maintaining High End</w:t>
      </w:r>
    </w:p>
    <w:p>
      <w:pPr>
        <w:spacing w:after="0" w:line="311" w:lineRule="exact"/>
        <w:rPr>
          <w:sz w:val="20"/>
          <w:szCs w:val="20"/>
          <w:color w:val="auto"/>
        </w:rPr>
      </w:pPr>
    </w:p>
    <w:p>
      <w:pPr>
        <w:ind w:left="8" w:firstLine="216"/>
        <w:spacing w:after="0" w:line="270" w:lineRule="auto"/>
        <w:rPr>
          <w:sz w:val="20"/>
          <w:szCs w:val="20"/>
          <w:color w:val="auto"/>
        </w:rPr>
      </w:pPr>
      <w:r>
        <w:rPr>
          <w:rFonts w:ascii="Arial" w:cs="Arial" w:eastAsia="Arial" w:hAnsi="Arial"/>
          <w:sz w:val="12"/>
          <w:szCs w:val="12"/>
          <w:b w:val="1"/>
          <w:bCs w:val="1"/>
          <w:color w:val="auto"/>
        </w:rPr>
        <w:t xml:space="preserve">KATY, TEXAS (Globe Newswire — June 10, 2025) </w:t>
      </w:r>
      <w:r>
        <w:rPr>
          <w:rFonts w:ascii="Arial" w:cs="Arial" w:eastAsia="Arial" w:hAnsi="Arial"/>
          <w:sz w:val="12"/>
          <w:szCs w:val="12"/>
          <w:color w:val="auto"/>
        </w:rPr>
        <w:t>– Academy Sports and Outdoors, Inc. (Nasdaq: ASO) ("Academy" or the "Company") today announced its financial results for the first quarter ended May 3,</w:t>
      </w:r>
      <w:r>
        <w:rPr>
          <w:rFonts w:ascii="Arial" w:cs="Arial" w:eastAsia="Arial" w:hAnsi="Arial"/>
          <w:sz w:val="12"/>
          <w:szCs w:val="12"/>
          <w:b w:val="1"/>
          <w:bCs w:val="1"/>
          <w:color w:val="auto"/>
        </w:rPr>
        <w:t xml:space="preserve"> </w:t>
      </w:r>
      <w:r>
        <w:rPr>
          <w:rFonts w:ascii="Arial" w:cs="Arial" w:eastAsia="Arial" w:hAnsi="Arial"/>
          <w:sz w:val="12"/>
          <w:szCs w:val="12"/>
          <w:color w:val="auto"/>
        </w:rPr>
        <w:t>2025.</w:t>
      </w:r>
    </w:p>
    <w:p>
      <w:pPr>
        <w:spacing w:after="0" w:line="131" w:lineRule="exact"/>
        <w:rPr>
          <w:sz w:val="20"/>
          <w:szCs w:val="20"/>
          <w:color w:val="auto"/>
        </w:rPr>
      </w:pPr>
    </w:p>
    <w:p>
      <w:pPr>
        <w:ind w:left="8" w:right="120"/>
        <w:spacing w:after="0" w:line="248" w:lineRule="auto"/>
        <w:rPr>
          <w:sz w:val="20"/>
          <w:szCs w:val="20"/>
          <w:color w:val="auto"/>
        </w:rPr>
      </w:pPr>
      <w:r>
        <w:rPr>
          <w:rFonts w:ascii="Arial" w:cs="Arial" w:eastAsia="Arial" w:hAnsi="Arial"/>
          <w:sz w:val="12"/>
          <w:szCs w:val="12"/>
          <w:color w:val="auto"/>
        </w:rPr>
        <w:t>“During the first quarter we saw continued progress across our strategic initiatives, including the opening of five new stores, and the biggest brand launch in the Company's history with the addition of the Jordan Brand,” said Steve Lawrence, Chief Executive Officer. “We saw sequential improvement across each month of the quarter, despite a choppy macro-economic backdrop, which resulted in a positive comp in April. Moving forward we are balancing our optimism about our strategic initiatives against the uncertain environment that our customers will face in the back half of the year. As a result of this, we are widening our annual comp sales guidance range to -4% to +1% to account for a potential downside that may be created by inflationary pressures the remainder of the year. Our team has performed extensive work to mitigate tariff pressures at the current levels and we will remain nimble as the situation evolves. We continue to see strong growth in traffic from higher income consumers, and we believe our focus on remaining the value player in our space will allow us to continue to take market share as we move through the year."</w:t>
      </w:r>
    </w:p>
    <w:p>
      <w:pPr>
        <w:spacing w:after="0" w:line="165"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3580" w:type="dxa"/>
            <w:vAlign w:val="bottom"/>
            <w:vMerge w:val="restart"/>
            <w:shd w:val="clear" w:color="auto" w:fill="0E32E1"/>
          </w:tcPr>
          <w:p>
            <w:pPr>
              <w:spacing w:after="0"/>
              <w:rPr>
                <w:sz w:val="20"/>
                <w:szCs w:val="20"/>
                <w:color w:val="auto"/>
              </w:rPr>
            </w:pPr>
            <w:r>
              <w:rPr>
                <w:rFonts w:ascii="Arial" w:cs="Arial" w:eastAsia="Arial" w:hAnsi="Arial"/>
                <w:sz w:val="13"/>
                <w:szCs w:val="13"/>
                <w:b w:val="1"/>
                <w:bCs w:val="1"/>
                <w:color w:val="FFFFFF"/>
              </w:rPr>
              <w:t>First Quarter Operating Results</w:t>
            </w:r>
          </w:p>
        </w:tc>
        <w:tc>
          <w:tcPr>
            <w:tcW w:w="4600" w:type="dxa"/>
            <w:vAlign w:val="bottom"/>
            <w:gridSpan w:val="3"/>
            <w:shd w:val="clear" w:color="auto" w:fill="0E32E1"/>
          </w:tcPr>
          <w:p>
            <w:pPr>
              <w:jc w:val="right"/>
              <w:ind w:right="699"/>
              <w:spacing w:after="0"/>
              <w:rPr>
                <w:sz w:val="20"/>
                <w:szCs w:val="20"/>
                <w:color w:val="auto"/>
              </w:rPr>
            </w:pPr>
            <w:r>
              <w:rPr>
                <w:rFonts w:ascii="Arial" w:cs="Arial" w:eastAsia="Arial" w:hAnsi="Arial"/>
                <w:sz w:val="13"/>
                <w:szCs w:val="13"/>
                <w:b w:val="1"/>
                <w:bCs w:val="1"/>
                <w:color w:val="FFFFFF"/>
              </w:rPr>
              <w:t>Thirteen Weeks Ended</w:t>
            </w:r>
          </w:p>
        </w:tc>
        <w:tc>
          <w:tcPr>
            <w:tcW w:w="1120" w:type="dxa"/>
            <w:vAlign w:val="bottom"/>
            <w:shd w:val="clear" w:color="auto" w:fill="0E32E1"/>
          </w:tcPr>
          <w:p>
            <w:pPr>
              <w:spacing w:after="0"/>
              <w:rPr>
                <w:sz w:val="17"/>
                <w:szCs w:val="17"/>
                <w:color w:val="auto"/>
              </w:rPr>
            </w:pPr>
          </w:p>
        </w:tc>
        <w:tc>
          <w:tcPr>
            <w:tcW w:w="2000" w:type="dxa"/>
            <w:vAlign w:val="bottom"/>
            <w:shd w:val="clear" w:color="auto" w:fill="0E32E1"/>
          </w:tcPr>
          <w:p>
            <w:pPr>
              <w:ind w:left="500"/>
              <w:spacing w:after="0"/>
              <w:rPr>
                <w:sz w:val="20"/>
                <w:szCs w:val="20"/>
                <w:color w:val="auto"/>
              </w:rPr>
            </w:pPr>
            <w:r>
              <w:rPr>
                <w:rFonts w:ascii="Arial" w:cs="Arial" w:eastAsia="Arial" w:hAnsi="Arial"/>
                <w:sz w:val="13"/>
                <w:szCs w:val="13"/>
                <w:b w:val="1"/>
                <w:bCs w:val="1"/>
                <w:color w:val="FFFFFF"/>
              </w:rPr>
              <w:t>Change</w:t>
            </w:r>
          </w:p>
        </w:tc>
        <w:tc>
          <w:tcPr>
            <w:tcW w:w="0" w:type="dxa"/>
            <w:vAlign w:val="bottom"/>
          </w:tcPr>
          <w:p>
            <w:pPr>
              <w:spacing w:after="0"/>
              <w:rPr>
                <w:sz w:val="1"/>
                <w:szCs w:val="1"/>
                <w:color w:val="auto"/>
              </w:rPr>
            </w:pPr>
          </w:p>
        </w:tc>
      </w:tr>
      <w:tr>
        <w:trPr>
          <w:trHeight w:val="68"/>
        </w:trPr>
        <w:tc>
          <w:tcPr>
            <w:tcW w:w="3580" w:type="dxa"/>
            <w:vAlign w:val="bottom"/>
            <w:vMerge w:val="continue"/>
            <w:shd w:val="clear" w:color="auto" w:fill="0E32E1"/>
          </w:tcPr>
          <w:p>
            <w:pPr>
              <w:spacing w:after="0"/>
              <w:rPr>
                <w:sz w:val="5"/>
                <w:szCs w:val="5"/>
                <w:color w:val="auto"/>
              </w:rPr>
            </w:pPr>
          </w:p>
        </w:tc>
        <w:tc>
          <w:tcPr>
            <w:tcW w:w="2500" w:type="dxa"/>
            <w:vAlign w:val="bottom"/>
            <w:vMerge w:val="restart"/>
            <w:shd w:val="clear" w:color="auto" w:fill="0E32E1"/>
          </w:tcPr>
          <w:p>
            <w:pPr>
              <w:jc w:val="right"/>
              <w:spacing w:after="0"/>
              <w:rPr>
                <w:sz w:val="20"/>
                <w:szCs w:val="20"/>
                <w:color w:val="auto"/>
              </w:rPr>
            </w:pPr>
            <w:r>
              <w:rPr>
                <w:rFonts w:ascii="Arial" w:cs="Arial" w:eastAsia="Arial" w:hAnsi="Arial"/>
                <w:sz w:val="13"/>
                <w:szCs w:val="13"/>
                <w:b w:val="1"/>
                <w:bCs w:val="1"/>
                <w:color w:val="FFFFFF"/>
              </w:rPr>
              <w:t>May 3, 2025</w:t>
            </w:r>
          </w:p>
        </w:tc>
        <w:tc>
          <w:tcPr>
            <w:tcW w:w="620" w:type="dxa"/>
            <w:vAlign w:val="bottom"/>
            <w:shd w:val="clear" w:color="auto" w:fill="0E32E1"/>
          </w:tcPr>
          <w:p>
            <w:pPr>
              <w:spacing w:after="0"/>
              <w:rPr>
                <w:sz w:val="5"/>
                <w:szCs w:val="5"/>
                <w:color w:val="auto"/>
              </w:rPr>
            </w:pPr>
          </w:p>
        </w:tc>
        <w:tc>
          <w:tcPr>
            <w:tcW w:w="1480" w:type="dxa"/>
            <w:vAlign w:val="bottom"/>
            <w:vMerge w:val="restart"/>
            <w:shd w:val="clear" w:color="auto" w:fill="0E32E1"/>
          </w:tcPr>
          <w:p>
            <w:pPr>
              <w:jc w:val="right"/>
              <w:spacing w:after="0"/>
              <w:rPr>
                <w:sz w:val="20"/>
                <w:szCs w:val="20"/>
                <w:color w:val="auto"/>
              </w:rPr>
            </w:pPr>
            <w:r>
              <w:rPr>
                <w:rFonts w:ascii="Arial" w:cs="Arial" w:eastAsia="Arial" w:hAnsi="Arial"/>
                <w:sz w:val="13"/>
                <w:szCs w:val="13"/>
                <w:b w:val="1"/>
                <w:bCs w:val="1"/>
                <w:color w:val="FFFFFF"/>
              </w:rPr>
              <w:t>May 4, 2024</w:t>
            </w:r>
          </w:p>
        </w:tc>
        <w:tc>
          <w:tcPr>
            <w:tcW w:w="1120" w:type="dxa"/>
            <w:vAlign w:val="bottom"/>
            <w:shd w:val="clear" w:color="auto" w:fill="0E32E1"/>
          </w:tcPr>
          <w:p>
            <w:pPr>
              <w:spacing w:after="0"/>
              <w:rPr>
                <w:sz w:val="5"/>
                <w:szCs w:val="5"/>
                <w:color w:val="auto"/>
              </w:rPr>
            </w:pPr>
          </w:p>
        </w:tc>
        <w:tc>
          <w:tcPr>
            <w:tcW w:w="2000" w:type="dxa"/>
            <w:vAlign w:val="bottom"/>
            <w:vMerge w:val="restart"/>
            <w:shd w:val="clear" w:color="auto" w:fill="0E32E1"/>
          </w:tcPr>
          <w:p>
            <w:pPr>
              <w:jc w:val="center"/>
              <w:ind w:right="45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29"/>
        </w:trPr>
        <w:tc>
          <w:tcPr>
            <w:tcW w:w="3580" w:type="dxa"/>
            <w:vAlign w:val="bottom"/>
            <w:shd w:val="clear" w:color="auto" w:fill="0E32E1"/>
          </w:tcPr>
          <w:p>
            <w:pPr>
              <w:spacing w:after="0"/>
              <w:rPr>
                <w:sz w:val="20"/>
                <w:szCs w:val="20"/>
                <w:color w:val="auto"/>
              </w:rPr>
            </w:pPr>
            <w:r>
              <w:rPr>
                <w:rFonts w:ascii="Arial" w:cs="Arial" w:eastAsia="Arial" w:hAnsi="Arial"/>
                <w:sz w:val="8"/>
                <w:szCs w:val="8"/>
                <w:b w:val="1"/>
                <w:bCs w:val="1"/>
                <w:color w:val="FFFFFF"/>
              </w:rPr>
              <w:t>($ in millions, except per share data)</w:t>
            </w:r>
          </w:p>
        </w:tc>
        <w:tc>
          <w:tcPr>
            <w:tcW w:w="2500" w:type="dxa"/>
            <w:vAlign w:val="bottom"/>
            <w:vMerge w:val="continue"/>
            <w:shd w:val="clear" w:color="auto" w:fill="0E32E1"/>
          </w:tcPr>
          <w:p>
            <w:pPr>
              <w:spacing w:after="0"/>
              <w:rPr>
                <w:sz w:val="11"/>
                <w:szCs w:val="11"/>
                <w:color w:val="auto"/>
              </w:rPr>
            </w:pPr>
          </w:p>
        </w:tc>
        <w:tc>
          <w:tcPr>
            <w:tcW w:w="620" w:type="dxa"/>
            <w:vAlign w:val="bottom"/>
            <w:shd w:val="clear" w:color="auto" w:fill="0E32E1"/>
          </w:tcPr>
          <w:p>
            <w:pPr>
              <w:spacing w:after="0"/>
              <w:rPr>
                <w:sz w:val="11"/>
                <w:szCs w:val="11"/>
                <w:color w:val="auto"/>
              </w:rPr>
            </w:pPr>
          </w:p>
        </w:tc>
        <w:tc>
          <w:tcPr>
            <w:tcW w:w="1480" w:type="dxa"/>
            <w:vAlign w:val="bottom"/>
            <w:vMerge w:val="continue"/>
            <w:shd w:val="clear" w:color="auto" w:fill="0E32E1"/>
          </w:tcPr>
          <w:p>
            <w:pPr>
              <w:spacing w:after="0"/>
              <w:rPr>
                <w:sz w:val="11"/>
                <w:szCs w:val="11"/>
                <w:color w:val="auto"/>
              </w:rPr>
            </w:pPr>
          </w:p>
        </w:tc>
        <w:tc>
          <w:tcPr>
            <w:tcW w:w="1120" w:type="dxa"/>
            <w:vAlign w:val="bottom"/>
            <w:shd w:val="clear" w:color="auto" w:fill="0E32E1"/>
          </w:tcPr>
          <w:p>
            <w:pPr>
              <w:spacing w:after="0"/>
              <w:rPr>
                <w:sz w:val="11"/>
                <w:szCs w:val="11"/>
                <w:color w:val="auto"/>
              </w:rPr>
            </w:pPr>
          </w:p>
        </w:tc>
        <w:tc>
          <w:tcPr>
            <w:tcW w:w="2000" w:type="dxa"/>
            <w:vAlign w:val="bottom"/>
            <w:vMerge w:val="continue"/>
            <w:shd w:val="clear" w:color="auto" w:fill="0E32E1"/>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Net sales</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1,351.4</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1,364.2</w:t>
            </w:r>
          </w:p>
        </w:tc>
        <w:tc>
          <w:tcPr>
            <w:tcW w:w="2000" w:type="dxa"/>
            <w:vAlign w:val="bottom"/>
            <w:shd w:val="clear" w:color="auto" w:fill="DBDBDB"/>
          </w:tcPr>
          <w:p>
            <w:pPr>
              <w:jc w:val="center"/>
              <w:ind w:right="459"/>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Comparable sales</w:t>
            </w:r>
          </w:p>
        </w:tc>
        <w:tc>
          <w:tcPr>
            <w:tcW w:w="2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w:t>
            </w:r>
          </w:p>
        </w:tc>
        <w:tc>
          <w:tcPr>
            <w:tcW w:w="148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Arial" w:cs="Arial" w:eastAsia="Arial" w:hAnsi="Arial"/>
                <w:sz w:val="12"/>
                <w:szCs w:val="12"/>
                <w:color w:val="auto"/>
              </w:rPr>
              <w:t>(5.7)%</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Income before income tax</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63.0</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97.7</w:t>
            </w:r>
          </w:p>
        </w:tc>
        <w:tc>
          <w:tcPr>
            <w:tcW w:w="2000" w:type="dxa"/>
            <w:vAlign w:val="bottom"/>
            <w:shd w:val="clear" w:color="auto" w:fill="DBDBDB"/>
          </w:tcPr>
          <w:p>
            <w:pPr>
              <w:jc w:val="center"/>
              <w:ind w:right="439"/>
              <w:spacing w:after="0"/>
              <w:rPr>
                <w:sz w:val="20"/>
                <w:szCs w:val="20"/>
                <w:color w:val="auto"/>
              </w:rPr>
            </w:pPr>
            <w:r>
              <w:rPr>
                <w:rFonts w:ascii="Arial" w:cs="Arial" w:eastAsia="Arial" w:hAnsi="Arial"/>
                <w:sz w:val="12"/>
                <w:szCs w:val="12"/>
                <w:color w:val="auto"/>
                <w:w w:val="99"/>
              </w:rPr>
              <w:t>(35.5)%</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Net income</w:t>
            </w:r>
          </w:p>
        </w:tc>
        <w:tc>
          <w:tcPr>
            <w:tcW w:w="2500" w:type="dxa"/>
            <w:vAlign w:val="bottom"/>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46.1</w:t>
            </w:r>
          </w:p>
        </w:tc>
        <w:tc>
          <w:tcPr>
            <w:tcW w:w="1480" w:type="dxa"/>
            <w:vAlign w:val="bottom"/>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0"/>
              <w:spacing w:after="0"/>
              <w:rPr>
                <w:sz w:val="20"/>
                <w:szCs w:val="20"/>
                <w:color w:val="auto"/>
              </w:rPr>
            </w:pPr>
            <w:r>
              <w:rPr>
                <w:rFonts w:ascii="Arial" w:cs="Arial" w:eastAsia="Arial" w:hAnsi="Arial"/>
                <w:sz w:val="12"/>
                <w:szCs w:val="12"/>
                <w:color w:val="auto"/>
              </w:rPr>
              <w:t>76.5</w:t>
            </w:r>
          </w:p>
        </w:tc>
        <w:tc>
          <w:tcPr>
            <w:tcW w:w="2000" w:type="dxa"/>
            <w:vAlign w:val="bottom"/>
          </w:tcPr>
          <w:p>
            <w:pPr>
              <w:jc w:val="center"/>
              <w:ind w:right="439"/>
              <w:spacing w:after="0"/>
              <w:rPr>
                <w:sz w:val="20"/>
                <w:szCs w:val="20"/>
                <w:color w:val="auto"/>
              </w:rPr>
            </w:pPr>
            <w:r>
              <w:rPr>
                <w:rFonts w:ascii="Arial" w:cs="Arial" w:eastAsia="Arial" w:hAnsi="Arial"/>
                <w:sz w:val="12"/>
                <w:szCs w:val="12"/>
                <w:color w:val="auto"/>
                <w:w w:val="99"/>
              </w:rPr>
              <w:t>(39.7)%</w:t>
            </w:r>
          </w:p>
        </w:tc>
        <w:tc>
          <w:tcPr>
            <w:tcW w:w="0" w:type="dxa"/>
            <w:vAlign w:val="bottom"/>
          </w:tcPr>
          <w:p>
            <w:pPr>
              <w:spacing w:after="0"/>
              <w:rPr>
                <w:sz w:val="1"/>
                <w:szCs w:val="1"/>
                <w:color w:val="auto"/>
              </w:rPr>
            </w:pPr>
          </w:p>
        </w:tc>
      </w:tr>
      <w:tr>
        <w:trPr>
          <w:trHeight w:val="188"/>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5"/>
                <w:szCs w:val="15"/>
                <w:color w:val="auto"/>
                <w:vertAlign w:val="superscript"/>
              </w:rPr>
              <w:t>(1)</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51.6</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81.6</w:t>
            </w:r>
          </w:p>
        </w:tc>
        <w:tc>
          <w:tcPr>
            <w:tcW w:w="2000" w:type="dxa"/>
            <w:vAlign w:val="bottom"/>
            <w:shd w:val="clear" w:color="auto" w:fill="DBDBDB"/>
          </w:tcPr>
          <w:p>
            <w:pPr>
              <w:jc w:val="center"/>
              <w:ind w:right="439"/>
              <w:spacing w:after="0"/>
              <w:rPr>
                <w:sz w:val="20"/>
                <w:szCs w:val="20"/>
                <w:color w:val="auto"/>
              </w:rPr>
            </w:pPr>
            <w:r>
              <w:rPr>
                <w:rFonts w:ascii="Arial" w:cs="Arial" w:eastAsia="Arial" w:hAnsi="Arial"/>
                <w:sz w:val="12"/>
                <w:szCs w:val="12"/>
                <w:color w:val="auto"/>
                <w:w w:val="99"/>
              </w:rPr>
              <w:t>(36.8)%</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Arial" w:cs="Arial" w:eastAsia="Arial" w:hAnsi="Arial"/>
                <w:sz w:val="12"/>
                <w:szCs w:val="12"/>
                <w:color w:val="auto"/>
              </w:rPr>
              <w:t>Earnings per common share, diluted</w:t>
            </w:r>
          </w:p>
        </w:tc>
        <w:tc>
          <w:tcPr>
            <w:tcW w:w="2500" w:type="dxa"/>
            <w:vAlign w:val="bottom"/>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0.68</w:t>
            </w:r>
          </w:p>
        </w:tc>
        <w:tc>
          <w:tcPr>
            <w:tcW w:w="1480" w:type="dxa"/>
            <w:vAlign w:val="bottom"/>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0"/>
              <w:spacing w:after="0"/>
              <w:rPr>
                <w:sz w:val="20"/>
                <w:szCs w:val="20"/>
                <w:color w:val="auto"/>
              </w:rPr>
            </w:pPr>
            <w:r>
              <w:rPr>
                <w:rFonts w:ascii="Arial" w:cs="Arial" w:eastAsia="Arial" w:hAnsi="Arial"/>
                <w:sz w:val="12"/>
                <w:szCs w:val="12"/>
                <w:color w:val="auto"/>
              </w:rPr>
              <w:t>1.01</w:t>
            </w:r>
          </w:p>
        </w:tc>
        <w:tc>
          <w:tcPr>
            <w:tcW w:w="2000" w:type="dxa"/>
            <w:vAlign w:val="bottom"/>
          </w:tcPr>
          <w:p>
            <w:pPr>
              <w:jc w:val="center"/>
              <w:ind w:right="439"/>
              <w:spacing w:after="0"/>
              <w:rPr>
                <w:sz w:val="20"/>
                <w:szCs w:val="20"/>
                <w:color w:val="auto"/>
              </w:rPr>
            </w:pPr>
            <w:r>
              <w:rPr>
                <w:rFonts w:ascii="Arial" w:cs="Arial" w:eastAsia="Arial" w:hAnsi="Arial"/>
                <w:sz w:val="12"/>
                <w:szCs w:val="12"/>
                <w:color w:val="auto"/>
                <w:w w:val="99"/>
              </w:rPr>
              <w:t>(32.7)%</w:t>
            </w:r>
          </w:p>
        </w:tc>
        <w:tc>
          <w:tcPr>
            <w:tcW w:w="0" w:type="dxa"/>
            <w:vAlign w:val="bottom"/>
          </w:tcPr>
          <w:p>
            <w:pPr>
              <w:spacing w:after="0"/>
              <w:rPr>
                <w:sz w:val="1"/>
                <w:szCs w:val="1"/>
                <w:color w:val="auto"/>
              </w:rPr>
            </w:pPr>
          </w:p>
        </w:tc>
      </w:tr>
      <w:tr>
        <w:trPr>
          <w:trHeight w:val="188"/>
        </w:trPr>
        <w:tc>
          <w:tcPr>
            <w:tcW w:w="3580" w:type="dxa"/>
            <w:vAlign w:val="bottom"/>
            <w:shd w:val="clear" w:color="auto" w:fill="DBDBDB"/>
          </w:tcPr>
          <w:p>
            <w:pPr>
              <w:spacing w:after="0"/>
              <w:rPr>
                <w:sz w:val="20"/>
                <w:szCs w:val="20"/>
                <w:color w:val="auto"/>
              </w:rPr>
            </w:pPr>
            <w:r>
              <w:rPr>
                <w:rFonts w:ascii="Arial" w:cs="Arial" w:eastAsia="Arial" w:hAnsi="Arial"/>
                <w:sz w:val="12"/>
                <w:szCs w:val="12"/>
                <w:color w:val="auto"/>
              </w:rPr>
              <w:t>Adjusted earnings per common share, diluted</w:t>
            </w:r>
            <w:r>
              <w:rPr>
                <w:rFonts w:ascii="Arial" w:cs="Arial" w:eastAsia="Arial" w:hAnsi="Arial"/>
                <w:sz w:val="15"/>
                <w:szCs w:val="15"/>
                <w:color w:val="auto"/>
                <w:vertAlign w:val="superscript"/>
              </w:rPr>
              <w:t>(1)</w:t>
            </w:r>
          </w:p>
        </w:tc>
        <w:tc>
          <w:tcPr>
            <w:tcW w:w="250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0.76</w:t>
            </w:r>
          </w:p>
        </w:tc>
        <w:tc>
          <w:tcPr>
            <w:tcW w:w="1480" w:type="dxa"/>
            <w:vAlign w:val="bottom"/>
            <w:shd w:val="clear" w:color="auto" w:fill="DBDBDB"/>
          </w:tcPr>
          <w:p>
            <w:pPr>
              <w:jc w:val="right"/>
              <w:ind w:right="1339"/>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ind w:right="600"/>
              <w:spacing w:after="0"/>
              <w:rPr>
                <w:sz w:val="20"/>
                <w:szCs w:val="20"/>
                <w:color w:val="auto"/>
              </w:rPr>
            </w:pPr>
            <w:r>
              <w:rPr>
                <w:rFonts w:ascii="Arial" w:cs="Arial" w:eastAsia="Arial" w:hAnsi="Arial"/>
                <w:sz w:val="12"/>
                <w:szCs w:val="12"/>
                <w:color w:val="auto"/>
              </w:rPr>
              <w:t>1.08</w:t>
            </w:r>
          </w:p>
        </w:tc>
        <w:tc>
          <w:tcPr>
            <w:tcW w:w="2000" w:type="dxa"/>
            <w:vAlign w:val="bottom"/>
            <w:shd w:val="clear" w:color="auto" w:fill="DBDBDB"/>
          </w:tcPr>
          <w:p>
            <w:pPr>
              <w:jc w:val="center"/>
              <w:ind w:right="439"/>
              <w:spacing w:after="0"/>
              <w:rPr>
                <w:sz w:val="20"/>
                <w:szCs w:val="20"/>
                <w:color w:val="auto"/>
              </w:rPr>
            </w:pPr>
            <w:r>
              <w:rPr>
                <w:rFonts w:ascii="Arial" w:cs="Arial" w:eastAsia="Arial" w:hAnsi="Arial"/>
                <w:sz w:val="12"/>
                <w:szCs w:val="12"/>
                <w:color w:val="auto"/>
                <w:w w:val="99"/>
              </w:rPr>
              <w:t>(29.6)%</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8" w:right="160" w:hanging="8"/>
        <w:spacing w:after="0" w:line="281" w:lineRule="auto"/>
        <w:tabs>
          <w:tab w:leader="none" w:pos="134" w:val="left"/>
        </w:tabs>
        <w:numPr>
          <w:ilvl w:val="0"/>
          <w:numId w:val="2"/>
        </w:numPr>
        <w:rPr>
          <w:rFonts w:ascii="Arial" w:cs="Arial" w:eastAsia="Arial" w:hAnsi="Arial"/>
          <w:sz w:val="8"/>
          <w:szCs w:val="8"/>
          <w:color w:val="auto"/>
        </w:rPr>
      </w:pPr>
      <w:r>
        <w:rPr>
          <w:rFonts w:ascii="Arial" w:cs="Arial" w:eastAsia="Arial" w:hAnsi="Arial"/>
          <w:sz w:val="8"/>
          <w:szCs w:val="8"/>
          <w:color w:val="auto"/>
        </w:rPr>
        <w:t>Adjusted net income and adjusted earnings per common share (EPS), diluted are non-GAAP measures. See "Non-GAAP Measures" and "Reconciliations of GAAP to Non-GAAP Financial Measures" below for reconciliations of non-GAAP financial measures to their most directly comparable GAAP financial measures.</w:t>
      </w:r>
    </w:p>
    <w:p>
      <w:pPr>
        <w:spacing w:after="0" w:line="166" w:lineRule="exact"/>
        <w:rPr>
          <w:sz w:val="20"/>
          <w:szCs w:val="20"/>
          <w:color w:val="auto"/>
        </w:rPr>
      </w:pPr>
    </w:p>
    <w:tbl>
      <w:tblPr>
        <w:tblLayout w:type="fixed"/>
        <w:tblInd w:w="108" w:type="dxa"/>
        <w:tblCellMar>
          <w:top w:w="0" w:type="dxa"/>
          <w:left w:w="0" w:type="dxa"/>
          <w:bottom w:w="0" w:type="dxa"/>
          <w:right w:w="0" w:type="dxa"/>
        </w:tblCellMar>
      </w:tblPr>
      <w:tr>
        <w:trPr>
          <w:trHeight w:val="198"/>
        </w:trPr>
        <w:tc>
          <w:tcPr>
            <w:tcW w:w="4520" w:type="dxa"/>
            <w:vAlign w:val="bottom"/>
            <w:shd w:val="clear" w:color="auto" w:fill="0E32E1"/>
          </w:tcPr>
          <w:p>
            <w:pPr>
              <w:spacing w:after="0"/>
              <w:rPr>
                <w:sz w:val="17"/>
                <w:szCs w:val="17"/>
                <w:color w:val="auto"/>
              </w:rPr>
            </w:pPr>
          </w:p>
        </w:tc>
        <w:tc>
          <w:tcPr>
            <w:tcW w:w="1520" w:type="dxa"/>
            <w:vAlign w:val="bottom"/>
            <w:shd w:val="clear" w:color="auto" w:fill="0E32E1"/>
          </w:tcPr>
          <w:p>
            <w:pPr>
              <w:spacing w:after="0"/>
              <w:rPr>
                <w:sz w:val="17"/>
                <w:szCs w:val="17"/>
                <w:color w:val="auto"/>
              </w:rPr>
            </w:pPr>
          </w:p>
        </w:tc>
        <w:tc>
          <w:tcPr>
            <w:tcW w:w="2400" w:type="dxa"/>
            <w:vAlign w:val="bottom"/>
            <w:gridSpan w:val="2"/>
            <w:shd w:val="clear" w:color="auto" w:fill="0E32E1"/>
          </w:tcPr>
          <w:p>
            <w:pPr>
              <w:jc w:val="right"/>
              <w:ind w:right="899"/>
              <w:spacing w:after="0"/>
              <w:rPr>
                <w:sz w:val="20"/>
                <w:szCs w:val="20"/>
                <w:color w:val="auto"/>
              </w:rPr>
            </w:pPr>
            <w:r>
              <w:rPr>
                <w:rFonts w:ascii="Arial" w:cs="Arial" w:eastAsia="Arial" w:hAnsi="Arial"/>
                <w:sz w:val="13"/>
                <w:szCs w:val="13"/>
                <w:b w:val="1"/>
                <w:bCs w:val="1"/>
                <w:color w:val="FFFFFF"/>
              </w:rPr>
              <w:t>Thirteen Weeks Ended</w:t>
            </w:r>
          </w:p>
        </w:tc>
        <w:tc>
          <w:tcPr>
            <w:tcW w:w="960" w:type="dxa"/>
            <w:vAlign w:val="bottom"/>
            <w:shd w:val="clear" w:color="auto" w:fill="0E32E1"/>
          </w:tcPr>
          <w:p>
            <w:pPr>
              <w:spacing w:after="0"/>
              <w:rPr>
                <w:sz w:val="17"/>
                <w:szCs w:val="17"/>
                <w:color w:val="auto"/>
              </w:rPr>
            </w:pPr>
          </w:p>
        </w:tc>
        <w:tc>
          <w:tcPr>
            <w:tcW w:w="1700" w:type="dxa"/>
            <w:vAlign w:val="bottom"/>
            <w:shd w:val="clear" w:color="auto" w:fill="0E32E1"/>
          </w:tcPr>
          <w:p>
            <w:pPr>
              <w:ind w:left="420"/>
              <w:spacing w:after="0"/>
              <w:rPr>
                <w:sz w:val="20"/>
                <w:szCs w:val="20"/>
                <w:color w:val="auto"/>
              </w:rPr>
            </w:pPr>
            <w:r>
              <w:rPr>
                <w:rFonts w:ascii="Arial" w:cs="Arial" w:eastAsia="Arial" w:hAnsi="Arial"/>
                <w:sz w:val="13"/>
                <w:szCs w:val="13"/>
                <w:b w:val="1"/>
                <w:bCs w:val="1"/>
                <w:color w:val="FFFFFF"/>
              </w:rPr>
              <w:t>Change</w:t>
            </w:r>
          </w:p>
        </w:tc>
      </w:tr>
      <w:tr>
        <w:trPr>
          <w:trHeight w:val="198"/>
        </w:trPr>
        <w:tc>
          <w:tcPr>
            <w:tcW w:w="4520" w:type="dxa"/>
            <w:vAlign w:val="bottom"/>
            <w:shd w:val="clear" w:color="auto" w:fill="0E32E1"/>
          </w:tcPr>
          <w:p>
            <w:pPr>
              <w:spacing w:after="0"/>
              <w:rPr>
                <w:sz w:val="20"/>
                <w:szCs w:val="20"/>
                <w:color w:val="auto"/>
              </w:rPr>
            </w:pPr>
            <w:r>
              <w:rPr>
                <w:rFonts w:ascii="Arial" w:cs="Arial" w:eastAsia="Arial" w:hAnsi="Arial"/>
                <w:sz w:val="13"/>
                <w:szCs w:val="13"/>
                <w:b w:val="1"/>
                <w:bCs w:val="1"/>
                <w:color w:val="FFFFFF"/>
              </w:rPr>
              <w:t xml:space="preserve">Balance Sheet </w:t>
            </w:r>
            <w:r>
              <w:rPr>
                <w:rFonts w:ascii="Arial" w:cs="Arial" w:eastAsia="Arial" w:hAnsi="Arial"/>
                <w:sz w:val="9"/>
                <w:szCs w:val="9"/>
                <w:b w:val="1"/>
                <w:bCs w:val="1"/>
                <w:color w:val="FFFFFF"/>
              </w:rPr>
              <w:t>($ in millions)</w:t>
            </w:r>
          </w:p>
        </w:tc>
        <w:tc>
          <w:tcPr>
            <w:tcW w:w="1520" w:type="dxa"/>
            <w:vAlign w:val="bottom"/>
            <w:shd w:val="clear" w:color="auto" w:fill="0E32E1"/>
          </w:tcPr>
          <w:p>
            <w:pPr>
              <w:jc w:val="right"/>
              <w:spacing w:after="0"/>
              <w:rPr>
                <w:sz w:val="20"/>
                <w:szCs w:val="20"/>
                <w:color w:val="auto"/>
              </w:rPr>
            </w:pPr>
            <w:r>
              <w:rPr>
                <w:rFonts w:ascii="Arial" w:cs="Arial" w:eastAsia="Arial" w:hAnsi="Arial"/>
                <w:sz w:val="13"/>
                <w:szCs w:val="13"/>
                <w:b w:val="1"/>
                <w:bCs w:val="1"/>
                <w:color w:val="FFFFFF"/>
              </w:rPr>
              <w:t>May 3, 2025</w:t>
            </w:r>
          </w:p>
        </w:tc>
        <w:tc>
          <w:tcPr>
            <w:tcW w:w="720" w:type="dxa"/>
            <w:vAlign w:val="bottom"/>
            <w:shd w:val="clear" w:color="auto" w:fill="0E32E1"/>
          </w:tcPr>
          <w:p>
            <w:pPr>
              <w:spacing w:after="0"/>
              <w:rPr>
                <w:sz w:val="17"/>
                <w:szCs w:val="17"/>
                <w:color w:val="auto"/>
              </w:rPr>
            </w:pPr>
          </w:p>
        </w:tc>
        <w:tc>
          <w:tcPr>
            <w:tcW w:w="1680" w:type="dxa"/>
            <w:vAlign w:val="bottom"/>
            <w:shd w:val="clear" w:color="auto" w:fill="0E32E1"/>
          </w:tcPr>
          <w:p>
            <w:pPr>
              <w:jc w:val="right"/>
              <w:ind w:right="99"/>
              <w:spacing w:after="0"/>
              <w:rPr>
                <w:sz w:val="20"/>
                <w:szCs w:val="20"/>
                <w:color w:val="auto"/>
              </w:rPr>
            </w:pPr>
            <w:r>
              <w:rPr>
                <w:rFonts w:ascii="Arial" w:cs="Arial" w:eastAsia="Arial" w:hAnsi="Arial"/>
                <w:sz w:val="13"/>
                <w:szCs w:val="13"/>
                <w:b w:val="1"/>
                <w:bCs w:val="1"/>
                <w:color w:val="FFFFFF"/>
              </w:rPr>
              <w:t>May 4, 2024</w:t>
            </w:r>
          </w:p>
        </w:tc>
        <w:tc>
          <w:tcPr>
            <w:tcW w:w="960" w:type="dxa"/>
            <w:vAlign w:val="bottom"/>
            <w:shd w:val="clear" w:color="auto" w:fill="0E32E1"/>
          </w:tcPr>
          <w:p>
            <w:pPr>
              <w:spacing w:after="0"/>
              <w:rPr>
                <w:sz w:val="17"/>
                <w:szCs w:val="17"/>
                <w:color w:val="auto"/>
              </w:rPr>
            </w:pPr>
          </w:p>
        </w:tc>
        <w:tc>
          <w:tcPr>
            <w:tcW w:w="1700" w:type="dxa"/>
            <w:vAlign w:val="bottom"/>
            <w:shd w:val="clear" w:color="auto" w:fill="0E32E1"/>
          </w:tcPr>
          <w:p>
            <w:pPr>
              <w:jc w:val="center"/>
              <w:ind w:right="318"/>
              <w:spacing w:after="0"/>
              <w:rPr>
                <w:sz w:val="20"/>
                <w:szCs w:val="20"/>
                <w:color w:val="auto"/>
              </w:rPr>
            </w:pPr>
            <w:r>
              <w:rPr>
                <w:rFonts w:ascii="Arial" w:cs="Arial" w:eastAsia="Arial" w:hAnsi="Arial"/>
                <w:sz w:val="13"/>
                <w:szCs w:val="13"/>
                <w:b w:val="1"/>
                <w:bCs w:val="1"/>
                <w:color w:val="FFFFFF"/>
              </w:rPr>
              <w:t>%</w:t>
            </w:r>
          </w:p>
        </w:tc>
      </w:tr>
      <w:tr>
        <w:trPr>
          <w:trHeight w:val="180"/>
        </w:trPr>
        <w:tc>
          <w:tcPr>
            <w:tcW w:w="4520" w:type="dxa"/>
            <w:vAlign w:val="bottom"/>
            <w:shd w:val="clear" w:color="auto" w:fill="DBDBDB"/>
          </w:tcPr>
          <w:p>
            <w:pPr>
              <w:spacing w:after="0"/>
              <w:rPr>
                <w:sz w:val="20"/>
                <w:szCs w:val="20"/>
                <w:color w:val="auto"/>
              </w:rPr>
            </w:pPr>
            <w:r>
              <w:rPr>
                <w:rFonts w:ascii="Arial" w:cs="Arial" w:eastAsia="Arial" w:hAnsi="Arial"/>
                <w:sz w:val="12"/>
                <w:szCs w:val="12"/>
                <w:color w:val="auto"/>
              </w:rPr>
              <w:t>Cash and cash equivalents</w:t>
            </w:r>
          </w:p>
        </w:tc>
        <w:tc>
          <w:tcPr>
            <w:tcW w:w="1520" w:type="dxa"/>
            <w:vAlign w:val="bottom"/>
            <w:shd w:val="clear" w:color="auto" w:fill="DBDBDB"/>
          </w:tcPr>
          <w:p>
            <w:pPr>
              <w:jc w:val="right"/>
              <w:ind w:right="13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285.1</w:t>
            </w:r>
          </w:p>
        </w:tc>
        <w:tc>
          <w:tcPr>
            <w:tcW w:w="1680" w:type="dxa"/>
            <w:vAlign w:val="bottom"/>
            <w:shd w:val="clear" w:color="auto" w:fill="DBDBDB"/>
          </w:tcPr>
          <w:p>
            <w:pPr>
              <w:jc w:val="right"/>
              <w:ind w:right="1519"/>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60"/>
              <w:spacing w:after="0"/>
              <w:rPr>
                <w:sz w:val="20"/>
                <w:szCs w:val="20"/>
                <w:color w:val="auto"/>
              </w:rPr>
            </w:pPr>
            <w:r>
              <w:rPr>
                <w:rFonts w:ascii="Arial" w:cs="Arial" w:eastAsia="Arial" w:hAnsi="Arial"/>
                <w:sz w:val="12"/>
                <w:szCs w:val="12"/>
                <w:color w:val="auto"/>
              </w:rPr>
              <w:t>378.1</w:t>
            </w:r>
          </w:p>
        </w:tc>
        <w:tc>
          <w:tcPr>
            <w:tcW w:w="1700" w:type="dxa"/>
            <w:vAlign w:val="bottom"/>
            <w:shd w:val="clear" w:color="auto" w:fill="DBDBDB"/>
          </w:tcPr>
          <w:p>
            <w:pPr>
              <w:jc w:val="center"/>
              <w:ind w:right="298"/>
              <w:spacing w:after="0"/>
              <w:rPr>
                <w:sz w:val="20"/>
                <w:szCs w:val="20"/>
                <w:color w:val="auto"/>
              </w:rPr>
            </w:pPr>
            <w:r>
              <w:rPr>
                <w:rFonts w:ascii="Arial" w:cs="Arial" w:eastAsia="Arial" w:hAnsi="Arial"/>
                <w:sz w:val="12"/>
                <w:szCs w:val="12"/>
                <w:color w:val="auto"/>
                <w:w w:val="99"/>
              </w:rPr>
              <w:t>(24.6)%</w:t>
            </w:r>
          </w:p>
        </w:tc>
      </w:tr>
      <w:tr>
        <w:trPr>
          <w:trHeight w:val="180"/>
        </w:trPr>
        <w:tc>
          <w:tcPr>
            <w:tcW w:w="4520" w:type="dxa"/>
            <w:vAlign w:val="bottom"/>
          </w:tcPr>
          <w:p>
            <w:pPr>
              <w:spacing w:after="0"/>
              <w:rPr>
                <w:sz w:val="20"/>
                <w:szCs w:val="20"/>
                <w:color w:val="auto"/>
              </w:rPr>
            </w:pPr>
            <w:r>
              <w:rPr>
                <w:rFonts w:ascii="Arial" w:cs="Arial" w:eastAsia="Arial" w:hAnsi="Arial"/>
                <w:sz w:val="12"/>
                <w:szCs w:val="12"/>
                <w:color w:val="auto"/>
              </w:rPr>
              <w:t>Merchandise inventories, net</w:t>
            </w:r>
            <w:r>
              <w:rPr>
                <w:rFonts w:ascii="Arial" w:cs="Arial" w:eastAsia="Arial" w:hAnsi="Arial"/>
                <w:sz w:val="15"/>
                <w:szCs w:val="15"/>
                <w:color w:val="auto"/>
                <w:vertAlign w:val="superscript"/>
              </w:rPr>
              <w:t>(1)</w:t>
            </w:r>
          </w:p>
        </w:tc>
        <w:tc>
          <w:tcPr>
            <w:tcW w:w="1520" w:type="dxa"/>
            <w:vAlign w:val="bottom"/>
          </w:tcPr>
          <w:p>
            <w:pPr>
              <w:jc w:val="right"/>
              <w:ind w:right="137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1,560.0</w:t>
            </w:r>
          </w:p>
        </w:tc>
        <w:tc>
          <w:tcPr>
            <w:tcW w:w="1680" w:type="dxa"/>
            <w:vAlign w:val="bottom"/>
          </w:tcPr>
          <w:p>
            <w:pPr>
              <w:jc w:val="right"/>
              <w:ind w:right="151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auto"/>
              </w:rPr>
              <w:t>1,356.8</w:t>
            </w:r>
          </w:p>
        </w:tc>
        <w:tc>
          <w:tcPr>
            <w:tcW w:w="1700" w:type="dxa"/>
            <w:vAlign w:val="bottom"/>
          </w:tcPr>
          <w:p>
            <w:pPr>
              <w:jc w:val="center"/>
              <w:ind w:right="298"/>
              <w:spacing w:after="0"/>
              <w:rPr>
                <w:sz w:val="20"/>
                <w:szCs w:val="20"/>
                <w:color w:val="auto"/>
              </w:rPr>
            </w:pPr>
            <w:r>
              <w:rPr>
                <w:rFonts w:ascii="Arial" w:cs="Arial" w:eastAsia="Arial" w:hAnsi="Arial"/>
                <w:sz w:val="12"/>
                <w:szCs w:val="12"/>
                <w:color w:val="auto"/>
                <w:w w:val="99"/>
              </w:rPr>
              <w:t>15.0%</w:t>
            </w:r>
          </w:p>
        </w:tc>
      </w:tr>
      <w:tr>
        <w:trPr>
          <w:trHeight w:val="180"/>
        </w:trPr>
        <w:tc>
          <w:tcPr>
            <w:tcW w:w="4520" w:type="dxa"/>
            <w:vAlign w:val="bottom"/>
            <w:shd w:val="clear" w:color="auto" w:fill="DBDBDB"/>
          </w:tcPr>
          <w:p>
            <w:pPr>
              <w:spacing w:after="0"/>
              <w:rPr>
                <w:sz w:val="20"/>
                <w:szCs w:val="20"/>
                <w:color w:val="auto"/>
              </w:rPr>
            </w:pPr>
            <w:r>
              <w:rPr>
                <w:rFonts w:ascii="Arial" w:cs="Arial" w:eastAsia="Arial" w:hAnsi="Arial"/>
                <w:sz w:val="12"/>
                <w:szCs w:val="12"/>
                <w:color w:val="auto"/>
              </w:rPr>
              <w:t>Long-term debt, net</w:t>
            </w:r>
          </w:p>
        </w:tc>
        <w:tc>
          <w:tcPr>
            <w:tcW w:w="1520" w:type="dxa"/>
            <w:vAlign w:val="bottom"/>
            <w:shd w:val="clear" w:color="auto" w:fill="DBDBDB"/>
          </w:tcPr>
          <w:p>
            <w:pPr>
              <w:jc w:val="right"/>
              <w:ind w:right="13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482.2</w:t>
            </w:r>
          </w:p>
        </w:tc>
        <w:tc>
          <w:tcPr>
            <w:tcW w:w="1680" w:type="dxa"/>
            <w:vAlign w:val="bottom"/>
            <w:shd w:val="clear" w:color="auto" w:fill="DBDBDB"/>
          </w:tcPr>
          <w:p>
            <w:pPr>
              <w:jc w:val="right"/>
              <w:ind w:right="1519"/>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60"/>
              <w:spacing w:after="0"/>
              <w:rPr>
                <w:sz w:val="20"/>
                <w:szCs w:val="20"/>
                <w:color w:val="auto"/>
              </w:rPr>
            </w:pPr>
            <w:r>
              <w:rPr>
                <w:rFonts w:ascii="Arial" w:cs="Arial" w:eastAsia="Arial" w:hAnsi="Arial"/>
                <w:sz w:val="12"/>
                <w:szCs w:val="12"/>
                <w:color w:val="auto"/>
              </w:rPr>
              <w:t>484.1</w:t>
            </w:r>
          </w:p>
        </w:tc>
        <w:tc>
          <w:tcPr>
            <w:tcW w:w="1700" w:type="dxa"/>
            <w:vAlign w:val="bottom"/>
            <w:shd w:val="clear" w:color="auto" w:fill="DBDBDB"/>
          </w:tcPr>
          <w:p>
            <w:pPr>
              <w:jc w:val="center"/>
              <w:ind w:right="318"/>
              <w:spacing w:after="0"/>
              <w:rPr>
                <w:sz w:val="20"/>
                <w:szCs w:val="20"/>
                <w:color w:val="auto"/>
              </w:rPr>
            </w:pPr>
            <w:r>
              <w:rPr>
                <w:rFonts w:ascii="Arial" w:cs="Arial" w:eastAsia="Arial" w:hAnsi="Arial"/>
                <w:sz w:val="12"/>
                <w:szCs w:val="12"/>
                <w:color w:val="auto"/>
              </w:rPr>
              <w:t>(0.4)%</w:t>
            </w:r>
          </w:p>
        </w:tc>
      </w:tr>
    </w:tbl>
    <w:p>
      <w:pPr>
        <w:spacing w:after="0" w:line="42" w:lineRule="exact"/>
        <w:rPr>
          <w:sz w:val="20"/>
          <w:szCs w:val="20"/>
          <w:color w:val="auto"/>
        </w:rPr>
      </w:pPr>
    </w:p>
    <w:p>
      <w:pPr>
        <w:ind w:left="8"/>
        <w:spacing w:after="0"/>
        <w:rPr>
          <w:sz w:val="20"/>
          <w:szCs w:val="20"/>
          <w:color w:val="auto"/>
        </w:rPr>
      </w:pPr>
      <w:r>
        <w:rPr>
          <w:rFonts w:ascii="Arial" w:cs="Arial" w:eastAsia="Arial" w:hAnsi="Arial"/>
          <w:sz w:val="10"/>
          <w:szCs w:val="10"/>
          <w:color w:val="auto"/>
          <w:vertAlign w:val="superscript"/>
        </w:rPr>
        <w:t>(1)</w:t>
      </w:r>
      <w:r>
        <w:rPr>
          <w:rFonts w:ascii="Arial" w:cs="Arial" w:eastAsia="Arial" w:hAnsi="Arial"/>
          <w:sz w:val="8"/>
          <w:szCs w:val="8"/>
          <w:color w:val="auto"/>
        </w:rPr>
        <w:t>As of May 3, 2025 inventory per store was up 6.5% in units and 7.8%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308"/>
          </w:cols>
          <w:pgMar w:left="292" w:top="332" w:right="29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198"/>
        </w:trPr>
        <w:tc>
          <w:tcPr>
            <w:tcW w:w="4440" w:type="dxa"/>
            <w:vAlign w:val="bottom"/>
            <w:shd w:val="clear" w:color="auto" w:fill="0E32E1"/>
          </w:tcPr>
          <w:p>
            <w:pPr>
              <w:spacing w:after="0"/>
              <w:rPr>
                <w:sz w:val="17"/>
                <w:szCs w:val="17"/>
                <w:color w:val="auto"/>
              </w:rPr>
            </w:pPr>
          </w:p>
        </w:tc>
        <w:tc>
          <w:tcPr>
            <w:tcW w:w="1500" w:type="dxa"/>
            <w:vAlign w:val="bottom"/>
            <w:shd w:val="clear" w:color="auto" w:fill="0E32E1"/>
          </w:tcPr>
          <w:p>
            <w:pPr>
              <w:spacing w:after="0"/>
              <w:rPr>
                <w:sz w:val="17"/>
                <w:szCs w:val="17"/>
                <w:color w:val="auto"/>
              </w:rPr>
            </w:pPr>
          </w:p>
        </w:tc>
        <w:tc>
          <w:tcPr>
            <w:tcW w:w="2420" w:type="dxa"/>
            <w:vAlign w:val="bottom"/>
            <w:gridSpan w:val="2"/>
            <w:shd w:val="clear" w:color="auto" w:fill="0E32E1"/>
          </w:tcPr>
          <w:p>
            <w:pPr>
              <w:jc w:val="right"/>
              <w:ind w:right="918"/>
              <w:spacing w:after="0"/>
              <w:rPr>
                <w:sz w:val="20"/>
                <w:szCs w:val="20"/>
                <w:color w:val="auto"/>
              </w:rPr>
            </w:pPr>
            <w:r>
              <w:rPr>
                <w:rFonts w:ascii="Arial" w:cs="Arial" w:eastAsia="Arial" w:hAnsi="Arial"/>
                <w:sz w:val="13"/>
                <w:szCs w:val="13"/>
                <w:b w:val="1"/>
                <w:bCs w:val="1"/>
                <w:color w:val="FFFFFF"/>
              </w:rPr>
              <w:t>Thirteen Weeks Ended</w:t>
            </w:r>
          </w:p>
        </w:tc>
        <w:tc>
          <w:tcPr>
            <w:tcW w:w="920" w:type="dxa"/>
            <w:vAlign w:val="bottom"/>
            <w:shd w:val="clear" w:color="auto" w:fill="0E32E1"/>
          </w:tcPr>
          <w:p>
            <w:pPr>
              <w:spacing w:after="0"/>
              <w:rPr>
                <w:sz w:val="17"/>
                <w:szCs w:val="17"/>
                <w:color w:val="auto"/>
              </w:rPr>
            </w:pPr>
          </w:p>
        </w:tc>
        <w:tc>
          <w:tcPr>
            <w:tcW w:w="1660" w:type="dxa"/>
            <w:vAlign w:val="bottom"/>
            <w:shd w:val="clear" w:color="auto" w:fill="0E32E1"/>
          </w:tcPr>
          <w:p>
            <w:pPr>
              <w:jc w:val="right"/>
              <w:ind w:right="717"/>
              <w:spacing w:after="0"/>
              <w:rPr>
                <w:sz w:val="20"/>
                <w:szCs w:val="20"/>
                <w:color w:val="auto"/>
              </w:rPr>
            </w:pPr>
            <w:r>
              <w:rPr>
                <w:rFonts w:ascii="Arial" w:cs="Arial" w:eastAsia="Arial" w:hAnsi="Arial"/>
                <w:sz w:val="13"/>
                <w:szCs w:val="13"/>
                <w:b w:val="1"/>
                <w:bCs w:val="1"/>
                <w:color w:val="FFFFFF"/>
              </w:rPr>
              <w:t>Change</w:t>
            </w:r>
          </w:p>
        </w:tc>
      </w:tr>
      <w:tr>
        <w:trPr>
          <w:trHeight w:val="198"/>
        </w:trPr>
        <w:tc>
          <w:tcPr>
            <w:tcW w:w="4440" w:type="dxa"/>
            <w:vAlign w:val="bottom"/>
            <w:shd w:val="clear" w:color="auto" w:fill="0E32E1"/>
          </w:tcPr>
          <w:p>
            <w:pPr>
              <w:spacing w:after="0"/>
              <w:rPr>
                <w:sz w:val="20"/>
                <w:szCs w:val="20"/>
                <w:color w:val="auto"/>
              </w:rPr>
            </w:pPr>
            <w:r>
              <w:rPr>
                <w:rFonts w:ascii="Arial" w:cs="Arial" w:eastAsia="Arial" w:hAnsi="Arial"/>
                <w:sz w:val="13"/>
                <w:szCs w:val="13"/>
                <w:b w:val="1"/>
                <w:bCs w:val="1"/>
                <w:color w:val="FFFFFF"/>
              </w:rPr>
              <w:t xml:space="preserve">Capital Allocation </w:t>
            </w:r>
            <w:r>
              <w:rPr>
                <w:rFonts w:ascii="Arial" w:cs="Arial" w:eastAsia="Arial" w:hAnsi="Arial"/>
                <w:sz w:val="9"/>
                <w:szCs w:val="9"/>
                <w:b w:val="1"/>
                <w:bCs w:val="1"/>
                <w:color w:val="FFFFFF"/>
              </w:rPr>
              <w:t>($ in millions)</w:t>
            </w:r>
          </w:p>
        </w:tc>
        <w:tc>
          <w:tcPr>
            <w:tcW w:w="1500" w:type="dxa"/>
            <w:vAlign w:val="bottom"/>
            <w:shd w:val="clear" w:color="auto" w:fill="0E32E1"/>
          </w:tcPr>
          <w:p>
            <w:pPr>
              <w:jc w:val="right"/>
              <w:spacing w:after="0"/>
              <w:rPr>
                <w:sz w:val="20"/>
                <w:szCs w:val="20"/>
                <w:color w:val="auto"/>
              </w:rPr>
            </w:pPr>
            <w:r>
              <w:rPr>
                <w:rFonts w:ascii="Arial" w:cs="Arial" w:eastAsia="Arial" w:hAnsi="Arial"/>
                <w:sz w:val="13"/>
                <w:szCs w:val="13"/>
                <w:b w:val="1"/>
                <w:bCs w:val="1"/>
                <w:color w:val="FFFFFF"/>
              </w:rPr>
              <w:t>May 3, 2025</w:t>
            </w:r>
          </w:p>
        </w:tc>
        <w:tc>
          <w:tcPr>
            <w:tcW w:w="720" w:type="dxa"/>
            <w:vAlign w:val="bottom"/>
            <w:shd w:val="clear" w:color="auto" w:fill="0E32E1"/>
          </w:tcPr>
          <w:p>
            <w:pPr>
              <w:spacing w:after="0"/>
              <w:rPr>
                <w:sz w:val="17"/>
                <w:szCs w:val="17"/>
                <w:color w:val="auto"/>
              </w:rPr>
            </w:pPr>
          </w:p>
        </w:tc>
        <w:tc>
          <w:tcPr>
            <w:tcW w:w="1700" w:type="dxa"/>
            <w:vAlign w:val="bottom"/>
            <w:shd w:val="clear" w:color="auto" w:fill="0E32E1"/>
          </w:tcPr>
          <w:p>
            <w:pPr>
              <w:jc w:val="right"/>
              <w:ind w:right="138"/>
              <w:spacing w:after="0"/>
              <w:rPr>
                <w:sz w:val="20"/>
                <w:szCs w:val="20"/>
                <w:color w:val="auto"/>
              </w:rPr>
            </w:pPr>
            <w:r>
              <w:rPr>
                <w:rFonts w:ascii="Arial" w:cs="Arial" w:eastAsia="Arial" w:hAnsi="Arial"/>
                <w:sz w:val="13"/>
                <w:szCs w:val="13"/>
                <w:b w:val="1"/>
                <w:bCs w:val="1"/>
                <w:color w:val="FFFFFF"/>
              </w:rPr>
              <w:t>May 4, 2024</w:t>
            </w:r>
          </w:p>
        </w:tc>
        <w:tc>
          <w:tcPr>
            <w:tcW w:w="920" w:type="dxa"/>
            <w:vAlign w:val="bottom"/>
            <w:shd w:val="clear" w:color="auto" w:fill="0E32E1"/>
          </w:tcPr>
          <w:p>
            <w:pPr>
              <w:spacing w:after="0"/>
              <w:rPr>
                <w:sz w:val="17"/>
                <w:szCs w:val="17"/>
                <w:color w:val="auto"/>
              </w:rPr>
            </w:pPr>
          </w:p>
        </w:tc>
        <w:tc>
          <w:tcPr>
            <w:tcW w:w="1660" w:type="dxa"/>
            <w:vAlign w:val="bottom"/>
            <w:shd w:val="clear" w:color="auto" w:fill="0E32E1"/>
          </w:tcPr>
          <w:p>
            <w:pPr>
              <w:jc w:val="right"/>
              <w:ind w:right="897"/>
              <w:spacing w:after="0"/>
              <w:rPr>
                <w:sz w:val="20"/>
                <w:szCs w:val="20"/>
                <w:color w:val="auto"/>
              </w:rPr>
            </w:pPr>
            <w:r>
              <w:rPr>
                <w:rFonts w:ascii="Arial" w:cs="Arial" w:eastAsia="Arial" w:hAnsi="Arial"/>
                <w:sz w:val="13"/>
                <w:szCs w:val="13"/>
                <w:b w:val="1"/>
                <w:bCs w:val="1"/>
                <w:color w:val="FFFFFF"/>
              </w:rPr>
              <w:t>%</w:t>
            </w:r>
          </w:p>
        </w:tc>
      </w:tr>
      <w:tr>
        <w:trPr>
          <w:trHeight w:val="180"/>
        </w:trPr>
        <w:tc>
          <w:tcPr>
            <w:tcW w:w="4440" w:type="dxa"/>
            <w:vAlign w:val="bottom"/>
            <w:shd w:val="clear" w:color="auto" w:fill="DBDBDB"/>
          </w:tcPr>
          <w:p>
            <w:pPr>
              <w:spacing w:after="0"/>
              <w:rPr>
                <w:sz w:val="20"/>
                <w:szCs w:val="20"/>
                <w:color w:val="auto"/>
              </w:rPr>
            </w:pPr>
            <w:r>
              <w:rPr>
                <w:rFonts w:ascii="Arial" w:cs="Arial" w:eastAsia="Arial" w:hAnsi="Arial"/>
                <w:sz w:val="12"/>
                <w:szCs w:val="12"/>
                <w:color w:val="auto"/>
              </w:rPr>
              <w:t>Share repurchases</w:t>
            </w:r>
          </w:p>
        </w:tc>
        <w:tc>
          <w:tcPr>
            <w:tcW w:w="1500" w:type="dxa"/>
            <w:vAlign w:val="bottom"/>
            <w:shd w:val="clear" w:color="auto" w:fill="DBDBDB"/>
          </w:tcPr>
          <w:p>
            <w:pPr>
              <w:jc w:val="right"/>
              <w:ind w:right="1358"/>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99.9</w:t>
            </w:r>
          </w:p>
        </w:tc>
        <w:tc>
          <w:tcPr>
            <w:tcW w:w="1700" w:type="dxa"/>
            <w:vAlign w:val="bottom"/>
            <w:shd w:val="clear" w:color="auto" w:fill="DBDBDB"/>
          </w:tcPr>
          <w:p>
            <w:pPr>
              <w:jc w:val="right"/>
              <w:ind w:right="1538"/>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ind w:right="360"/>
              <w:spacing w:after="0"/>
              <w:rPr>
                <w:sz w:val="20"/>
                <w:szCs w:val="20"/>
                <w:color w:val="auto"/>
              </w:rPr>
            </w:pPr>
            <w:r>
              <w:rPr>
                <w:rFonts w:ascii="Arial" w:cs="Arial" w:eastAsia="Arial" w:hAnsi="Arial"/>
                <w:sz w:val="12"/>
                <w:szCs w:val="12"/>
                <w:color w:val="auto"/>
              </w:rPr>
              <w:t>123.5</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(19.1)%</w:t>
            </w:r>
          </w:p>
        </w:tc>
      </w:tr>
      <w:tr>
        <w:trPr>
          <w:trHeight w:val="164"/>
        </w:trPr>
        <w:tc>
          <w:tcPr>
            <w:tcW w:w="4440" w:type="dxa"/>
            <w:vAlign w:val="bottom"/>
          </w:tcPr>
          <w:p>
            <w:pPr>
              <w:spacing w:after="0"/>
              <w:rPr>
                <w:sz w:val="20"/>
                <w:szCs w:val="20"/>
                <w:color w:val="auto"/>
              </w:rPr>
            </w:pPr>
            <w:r>
              <w:rPr>
                <w:rFonts w:ascii="Arial" w:cs="Arial" w:eastAsia="Arial" w:hAnsi="Arial"/>
                <w:sz w:val="12"/>
                <w:szCs w:val="12"/>
                <w:color w:val="auto"/>
              </w:rPr>
              <w:t>Dividends paid</w:t>
            </w:r>
          </w:p>
        </w:tc>
        <w:tc>
          <w:tcPr>
            <w:tcW w:w="1500" w:type="dxa"/>
            <w:vAlign w:val="bottom"/>
          </w:tcPr>
          <w:p>
            <w:pPr>
              <w:jc w:val="right"/>
              <w:ind w:right="1358"/>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8.7</w:t>
            </w:r>
          </w:p>
        </w:tc>
        <w:tc>
          <w:tcPr>
            <w:tcW w:w="1700" w:type="dxa"/>
            <w:vAlign w:val="bottom"/>
          </w:tcPr>
          <w:p>
            <w:pPr>
              <w:jc w:val="right"/>
              <w:ind w:right="153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360"/>
              <w:spacing w:after="0"/>
              <w:rPr>
                <w:sz w:val="20"/>
                <w:szCs w:val="20"/>
                <w:color w:val="auto"/>
              </w:rPr>
            </w:pPr>
            <w:r>
              <w:rPr>
                <w:rFonts w:ascii="Arial" w:cs="Arial" w:eastAsia="Arial" w:hAnsi="Arial"/>
                <w:sz w:val="12"/>
                <w:szCs w:val="12"/>
                <w:color w:val="auto"/>
              </w:rPr>
              <w:t>8.2</w:t>
            </w:r>
          </w:p>
        </w:tc>
        <w:tc>
          <w:tcPr>
            <w:tcW w:w="1660" w:type="dxa"/>
            <w:vAlign w:val="bottom"/>
          </w:tcPr>
          <w:p>
            <w:pPr>
              <w:jc w:val="right"/>
              <w:spacing w:after="0"/>
              <w:rPr>
                <w:sz w:val="20"/>
                <w:szCs w:val="20"/>
                <w:color w:val="auto"/>
              </w:rPr>
            </w:pPr>
            <w:r>
              <w:rPr>
                <w:rFonts w:ascii="Arial" w:cs="Arial" w:eastAsia="Arial" w:hAnsi="Arial"/>
                <w:sz w:val="12"/>
                <w:szCs w:val="12"/>
                <w:color w:val="auto"/>
              </w:rPr>
              <w:t>6.1 %</w:t>
            </w:r>
          </w:p>
        </w:tc>
      </w:tr>
    </w:tbl>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color w:val="auto"/>
        </w:rPr>
        <w:t>Subsequent to the end of the first quarter, on June 5, 2025, Academy announced its Board of Directors declared a quarterly cash dividend with respect to the quarter ended May 3, 2025, of $0.13 per share of common stock. The dividend is payable on July 17, 2025, to stockholders of record as of the close of business on June 19,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New Store Openings</w:t>
      </w:r>
    </w:p>
    <w:p>
      <w:pPr>
        <w:spacing w:after="0" w:line="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Academy opened five new stores, bringing its total to 303 locations, and expanded into two new states, Pennsylvania and Maryland, during the first quarter. The addition of these two new states takes the Company's footprint to 21 total states. The Company plans to open a total of 20 to 25 stores in fiscal 2025.</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Academy Store Footprint Update</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820" w:type="dxa"/>
            <w:vAlign w:val="bottom"/>
            <w:vMerge w:val="restart"/>
            <w:shd w:val="clear" w:color="auto" w:fill="0E32E1"/>
          </w:tcPr>
          <w:p>
            <w:pPr>
              <w:ind w:left="20"/>
              <w:spacing w:after="0"/>
              <w:rPr>
                <w:sz w:val="20"/>
                <w:szCs w:val="20"/>
                <w:color w:val="auto"/>
              </w:rPr>
            </w:pPr>
            <w:r>
              <w:rPr>
                <w:rFonts w:ascii="Arial" w:cs="Arial" w:eastAsia="Arial" w:hAnsi="Arial"/>
                <w:sz w:val="13"/>
                <w:szCs w:val="13"/>
                <w:color w:val="FFFFFF"/>
              </w:rPr>
              <w:t>Time Frame</w:t>
            </w:r>
          </w:p>
        </w:tc>
        <w:tc>
          <w:tcPr>
            <w:tcW w:w="4040" w:type="dxa"/>
            <w:vAlign w:val="bottom"/>
            <w:gridSpan w:val="2"/>
            <w:shd w:val="clear" w:color="auto" w:fill="0E32E1"/>
          </w:tcPr>
          <w:p>
            <w:pPr>
              <w:ind w:left="160"/>
              <w:spacing w:after="0"/>
              <w:rPr>
                <w:sz w:val="20"/>
                <w:szCs w:val="20"/>
                <w:color w:val="auto"/>
              </w:rPr>
            </w:pPr>
            <w:r>
              <w:rPr>
                <w:rFonts w:ascii="Arial" w:cs="Arial" w:eastAsia="Arial" w:hAnsi="Arial"/>
                <w:sz w:val="13"/>
                <w:szCs w:val="13"/>
                <w:color w:val="FFFFFF"/>
              </w:rPr>
              <w:t>Total stores open at beginning of Number of stores opened during</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Number of stores closed during</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Total stores open at end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20" w:type="dxa"/>
            <w:vAlign w:val="bottom"/>
            <w:vMerge w:val="continue"/>
            <w:shd w:val="clear" w:color="auto" w:fill="0E32E1"/>
          </w:tcPr>
          <w:p>
            <w:pPr>
              <w:spacing w:after="0"/>
              <w:rPr>
                <w:sz w:val="16"/>
                <w:szCs w:val="16"/>
                <w:color w:val="auto"/>
              </w:rPr>
            </w:pPr>
          </w:p>
        </w:tc>
        <w:tc>
          <w:tcPr>
            <w:tcW w:w="2140" w:type="dxa"/>
            <w:vAlign w:val="bottom"/>
            <w:shd w:val="clear" w:color="auto" w:fill="0E32E1"/>
          </w:tcPr>
          <w:p>
            <w:pPr>
              <w:jc w:val="center"/>
              <w:ind w:left="14"/>
              <w:spacing w:after="0"/>
              <w:rPr>
                <w:sz w:val="20"/>
                <w:szCs w:val="20"/>
                <w:color w:val="auto"/>
              </w:rPr>
            </w:pPr>
            <w:r>
              <w:rPr>
                <w:rFonts w:ascii="Arial" w:cs="Arial" w:eastAsia="Arial" w:hAnsi="Arial"/>
                <w:sz w:val="13"/>
                <w:szCs w:val="13"/>
                <w:color w:val="FFFFFF"/>
              </w:rPr>
              <w:t>the period</w:t>
            </w:r>
          </w:p>
        </w:tc>
        <w:tc>
          <w:tcPr>
            <w:tcW w:w="1900" w:type="dxa"/>
            <w:vAlign w:val="bottom"/>
            <w:shd w:val="clear" w:color="auto" w:fill="0E32E1"/>
          </w:tcPr>
          <w:p>
            <w:pPr>
              <w:jc w:val="center"/>
              <w:ind w:right="14"/>
              <w:spacing w:after="0"/>
              <w:rPr>
                <w:sz w:val="20"/>
                <w:szCs w:val="20"/>
                <w:color w:val="auto"/>
              </w:rPr>
            </w:pPr>
            <w:r>
              <w:rPr>
                <w:rFonts w:ascii="Arial" w:cs="Arial" w:eastAsia="Arial" w:hAnsi="Arial"/>
                <w:sz w:val="13"/>
                <w:szCs w:val="13"/>
                <w:color w:val="FFFFFF"/>
              </w:rPr>
              <w:t>the period</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the period</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w w:val="99"/>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FY 2024</w:t>
            </w:r>
          </w:p>
        </w:tc>
        <w:tc>
          <w:tcPr>
            <w:tcW w:w="2140" w:type="dxa"/>
            <w:vAlign w:val="bottom"/>
            <w:tcBorders>
              <w:bottom w:val="single" w:sz="8" w:color="DBDBDB"/>
            </w:tcBorders>
            <w:shd w:val="clear" w:color="auto" w:fill="DBDBDB"/>
          </w:tcPr>
          <w:p>
            <w:pPr>
              <w:jc w:val="center"/>
              <w:ind w:left="14"/>
              <w:spacing w:after="0"/>
              <w:rPr>
                <w:sz w:val="20"/>
                <w:szCs w:val="20"/>
                <w:color w:val="auto"/>
              </w:rPr>
            </w:pPr>
            <w:r>
              <w:rPr>
                <w:rFonts w:ascii="Arial" w:cs="Arial" w:eastAsia="Arial" w:hAnsi="Arial"/>
                <w:sz w:val="13"/>
                <w:szCs w:val="13"/>
                <w:color w:val="auto"/>
              </w:rPr>
              <w:t>282</w:t>
            </w:r>
          </w:p>
        </w:tc>
        <w:tc>
          <w:tcPr>
            <w:tcW w:w="1900" w:type="dxa"/>
            <w:vAlign w:val="bottom"/>
            <w:tcBorders>
              <w:bottom w:val="single" w:sz="8" w:color="DBDBDB"/>
            </w:tcBorders>
            <w:shd w:val="clear" w:color="auto" w:fill="DBDBDB"/>
          </w:tcPr>
          <w:p>
            <w:pPr>
              <w:jc w:val="right"/>
              <w:ind w:right="854"/>
              <w:spacing w:after="0"/>
              <w:rPr>
                <w:sz w:val="20"/>
                <w:szCs w:val="20"/>
                <w:color w:val="auto"/>
              </w:rPr>
            </w:pPr>
            <w:r>
              <w:rPr>
                <w:rFonts w:ascii="Arial" w:cs="Arial" w:eastAsia="Arial" w:hAnsi="Arial"/>
                <w:sz w:val="13"/>
                <w:szCs w:val="13"/>
                <w:color w:val="auto"/>
              </w:rPr>
              <w:t>16</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298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20" w:type="dxa"/>
            <w:vAlign w:val="bottom"/>
          </w:tcPr>
          <w:p>
            <w:pPr>
              <w:ind w:left="20"/>
              <w:spacing w:after="0"/>
              <w:rPr>
                <w:sz w:val="20"/>
                <w:szCs w:val="20"/>
                <w:color w:val="auto"/>
              </w:rPr>
            </w:pPr>
            <w:r>
              <w:rPr>
                <w:rFonts w:ascii="Arial" w:cs="Arial" w:eastAsia="Arial" w:hAnsi="Arial"/>
                <w:sz w:val="13"/>
                <w:szCs w:val="13"/>
                <w:color w:val="auto"/>
              </w:rPr>
              <w:t>1st Quarter 2025</w:t>
            </w:r>
          </w:p>
        </w:tc>
        <w:tc>
          <w:tcPr>
            <w:tcW w:w="2140" w:type="dxa"/>
            <w:vAlign w:val="bottom"/>
          </w:tcPr>
          <w:p>
            <w:pPr>
              <w:jc w:val="center"/>
              <w:ind w:left="14"/>
              <w:spacing w:after="0"/>
              <w:rPr>
                <w:sz w:val="20"/>
                <w:szCs w:val="20"/>
                <w:color w:val="auto"/>
              </w:rPr>
            </w:pPr>
            <w:r>
              <w:rPr>
                <w:rFonts w:ascii="Arial" w:cs="Arial" w:eastAsia="Arial" w:hAnsi="Arial"/>
                <w:sz w:val="13"/>
                <w:szCs w:val="13"/>
                <w:color w:val="auto"/>
              </w:rPr>
              <w:t>298</w:t>
            </w:r>
          </w:p>
        </w:tc>
        <w:tc>
          <w:tcPr>
            <w:tcW w:w="1900" w:type="dxa"/>
            <w:vAlign w:val="bottom"/>
          </w:tcPr>
          <w:p>
            <w:pPr>
              <w:jc w:val="right"/>
              <w:ind w:right="894"/>
              <w:spacing w:after="0"/>
              <w:rPr>
                <w:sz w:val="20"/>
                <w:szCs w:val="20"/>
                <w:color w:val="auto"/>
              </w:rPr>
            </w:pPr>
            <w:r>
              <w:rPr>
                <w:rFonts w:ascii="Arial" w:cs="Arial" w:eastAsia="Arial" w:hAnsi="Arial"/>
                <w:sz w:val="13"/>
                <w:szCs w:val="13"/>
                <w:color w:val="auto"/>
              </w:rPr>
              <w:t>5</w:t>
            </w:r>
          </w:p>
        </w:tc>
        <w:tc>
          <w:tcPr>
            <w:tcW w:w="1960" w:type="dxa"/>
            <w:vAlign w:val="bottom"/>
          </w:tcPr>
          <w:p>
            <w:pPr>
              <w:jc w:val="center"/>
              <w:spacing w:after="0"/>
              <w:rPr>
                <w:sz w:val="20"/>
                <w:szCs w:val="20"/>
                <w:color w:val="auto"/>
              </w:rPr>
            </w:pPr>
            <w:r>
              <w:rPr>
                <w:rFonts w:ascii="Arial" w:cs="Arial" w:eastAsia="Arial" w:hAnsi="Arial"/>
                <w:sz w:val="13"/>
                <w:szCs w:val="13"/>
                <w:color w:val="auto"/>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0E32E1"/>
          </w:tcPr>
          <w:p>
            <w:pPr>
              <w:spacing w:after="0"/>
              <w:rPr>
                <w:sz w:val="14"/>
                <w:szCs w:val="14"/>
                <w:color w:val="auto"/>
              </w:rPr>
            </w:pPr>
          </w:p>
        </w:tc>
        <w:tc>
          <w:tcPr>
            <w:tcW w:w="1820" w:type="dxa"/>
            <w:vAlign w:val="bottom"/>
            <w:vMerge w:val="restart"/>
            <w:shd w:val="clear" w:color="auto" w:fill="0E32E1"/>
          </w:tcPr>
          <w:p>
            <w:pPr>
              <w:ind w:left="260"/>
              <w:spacing w:after="0"/>
              <w:rPr>
                <w:sz w:val="20"/>
                <w:szCs w:val="20"/>
                <w:color w:val="auto"/>
              </w:rPr>
            </w:pPr>
            <w:r>
              <w:rPr>
                <w:rFonts w:ascii="Arial" w:cs="Arial" w:eastAsia="Arial" w:hAnsi="Arial"/>
                <w:sz w:val="13"/>
                <w:szCs w:val="13"/>
                <w:color w:val="FFFFFF"/>
              </w:rPr>
              <w:t xml:space="preserve">Time Frame </w:t>
            </w:r>
            <w:r>
              <w:rPr>
                <w:rFonts w:ascii="Arial" w:cs="Arial" w:eastAsia="Arial" w:hAnsi="Arial"/>
                <w:sz w:val="10"/>
                <w:szCs w:val="10"/>
                <w:color w:val="FFFFFF"/>
              </w:rPr>
              <w:t>(in thousands)</w:t>
            </w:r>
          </w:p>
        </w:tc>
        <w:tc>
          <w:tcPr>
            <w:tcW w:w="2140" w:type="dxa"/>
            <w:vAlign w:val="bottom"/>
            <w:shd w:val="clear" w:color="auto" w:fill="0E32E1"/>
          </w:tcPr>
          <w:p>
            <w:pPr>
              <w:jc w:val="center"/>
              <w:ind w:left="34"/>
              <w:spacing w:after="0"/>
              <w:rPr>
                <w:sz w:val="20"/>
                <w:szCs w:val="20"/>
                <w:color w:val="auto"/>
              </w:rPr>
            </w:pPr>
            <w:r>
              <w:rPr>
                <w:rFonts w:ascii="Arial" w:cs="Arial" w:eastAsia="Arial" w:hAnsi="Arial"/>
                <w:sz w:val="13"/>
                <w:szCs w:val="13"/>
                <w:color w:val="FFFFFF"/>
              </w:rPr>
              <w:t>Total gross square feet open at</w:t>
            </w:r>
          </w:p>
        </w:tc>
        <w:tc>
          <w:tcPr>
            <w:tcW w:w="190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Gross square feet for stores</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Gross square feet for stores</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Total gross square feet at the</w:t>
            </w:r>
          </w:p>
        </w:tc>
        <w:tc>
          <w:tcPr>
            <w:tcW w:w="20" w:type="dxa"/>
            <w:vAlign w:val="bottom"/>
            <w:shd w:val="clear" w:color="auto" w:fill="0E32E1"/>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0E32E1"/>
          </w:tcPr>
          <w:p>
            <w:pPr>
              <w:spacing w:after="0"/>
              <w:rPr>
                <w:sz w:val="16"/>
                <w:szCs w:val="16"/>
                <w:color w:val="auto"/>
              </w:rPr>
            </w:pPr>
          </w:p>
        </w:tc>
        <w:tc>
          <w:tcPr>
            <w:tcW w:w="1820" w:type="dxa"/>
            <w:vAlign w:val="bottom"/>
            <w:vMerge w:val="continue"/>
            <w:shd w:val="clear" w:color="auto" w:fill="0E32E1"/>
          </w:tcPr>
          <w:p>
            <w:pPr>
              <w:spacing w:after="0"/>
              <w:rPr>
                <w:sz w:val="16"/>
                <w:szCs w:val="16"/>
                <w:color w:val="auto"/>
              </w:rPr>
            </w:pPr>
          </w:p>
        </w:tc>
        <w:tc>
          <w:tcPr>
            <w:tcW w:w="2140" w:type="dxa"/>
            <w:vAlign w:val="bottom"/>
            <w:shd w:val="clear" w:color="auto" w:fill="0E32E1"/>
          </w:tcPr>
          <w:p>
            <w:pPr>
              <w:jc w:val="center"/>
              <w:ind w:left="14"/>
              <w:spacing w:after="0"/>
              <w:rPr>
                <w:sz w:val="20"/>
                <w:szCs w:val="20"/>
                <w:color w:val="auto"/>
              </w:rPr>
            </w:pPr>
            <w:r>
              <w:rPr>
                <w:rFonts w:ascii="Arial" w:cs="Arial" w:eastAsia="Arial" w:hAnsi="Arial"/>
                <w:sz w:val="13"/>
                <w:szCs w:val="13"/>
                <w:color w:val="FFFFFF"/>
              </w:rPr>
              <w:t>beginning of the period</w:t>
            </w:r>
          </w:p>
        </w:tc>
        <w:tc>
          <w:tcPr>
            <w:tcW w:w="190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opened during the period</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closed during the period</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end of the period</w:t>
            </w:r>
          </w:p>
        </w:tc>
        <w:tc>
          <w:tcPr>
            <w:tcW w:w="20" w:type="dxa"/>
            <w:vAlign w:val="bottom"/>
            <w:shd w:val="clear" w:color="auto" w:fill="0E32E1"/>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FY 2024</w:t>
            </w:r>
          </w:p>
        </w:tc>
        <w:tc>
          <w:tcPr>
            <w:tcW w:w="2140" w:type="dxa"/>
            <w:vAlign w:val="bottom"/>
            <w:tcBorders>
              <w:bottom w:val="single" w:sz="8" w:color="DBDBDB"/>
            </w:tcBorders>
            <w:shd w:val="clear" w:color="auto" w:fill="DBDBDB"/>
          </w:tcPr>
          <w:p>
            <w:pPr>
              <w:jc w:val="center"/>
              <w:ind w:left="34"/>
              <w:spacing w:after="0"/>
              <w:rPr>
                <w:sz w:val="20"/>
                <w:szCs w:val="20"/>
                <w:color w:val="auto"/>
              </w:rPr>
            </w:pPr>
            <w:r>
              <w:rPr>
                <w:rFonts w:ascii="Arial" w:cs="Arial" w:eastAsia="Arial" w:hAnsi="Arial"/>
                <w:sz w:val="13"/>
                <w:szCs w:val="13"/>
                <w:color w:val="auto"/>
              </w:rPr>
              <w:t>19,679</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925</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20,604</w:t>
            </w:r>
          </w:p>
        </w:tc>
        <w:tc>
          <w:tcPr>
            <w:tcW w:w="2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2"/>
          </w:tcPr>
          <w:p>
            <w:pPr>
              <w:spacing w:after="0"/>
              <w:rPr>
                <w:sz w:val="20"/>
                <w:szCs w:val="20"/>
                <w:color w:val="auto"/>
              </w:rPr>
            </w:pPr>
            <w:r>
              <w:rPr>
                <w:rFonts w:ascii="Arial" w:cs="Arial" w:eastAsia="Arial" w:hAnsi="Arial"/>
                <w:sz w:val="13"/>
                <w:szCs w:val="13"/>
                <w:color w:val="auto"/>
              </w:rPr>
              <w:t>1st Quarter 2025</w:t>
            </w:r>
          </w:p>
        </w:tc>
        <w:tc>
          <w:tcPr>
            <w:tcW w:w="2140" w:type="dxa"/>
            <w:vAlign w:val="bottom"/>
          </w:tcPr>
          <w:p>
            <w:pPr>
              <w:jc w:val="center"/>
              <w:ind w:left="34"/>
              <w:spacing w:after="0"/>
              <w:rPr>
                <w:sz w:val="20"/>
                <w:szCs w:val="20"/>
                <w:color w:val="auto"/>
              </w:rPr>
            </w:pPr>
            <w:r>
              <w:rPr>
                <w:rFonts w:ascii="Arial" w:cs="Arial" w:eastAsia="Arial" w:hAnsi="Arial"/>
                <w:sz w:val="13"/>
                <w:szCs w:val="13"/>
                <w:color w:val="auto"/>
              </w:rPr>
              <w:t>20,604</w:t>
            </w:r>
          </w:p>
        </w:tc>
        <w:tc>
          <w:tcPr>
            <w:tcW w:w="1900" w:type="dxa"/>
            <w:vAlign w:val="bottom"/>
          </w:tcPr>
          <w:p>
            <w:pPr>
              <w:jc w:val="center"/>
              <w:spacing w:after="0"/>
              <w:rPr>
                <w:sz w:val="20"/>
                <w:szCs w:val="20"/>
                <w:color w:val="auto"/>
              </w:rPr>
            </w:pPr>
            <w:r>
              <w:rPr>
                <w:rFonts w:ascii="Arial" w:cs="Arial" w:eastAsia="Arial" w:hAnsi="Arial"/>
                <w:sz w:val="13"/>
                <w:szCs w:val="13"/>
                <w:color w:val="auto"/>
              </w:rPr>
              <w:t>275</w:t>
            </w:r>
          </w:p>
        </w:tc>
        <w:tc>
          <w:tcPr>
            <w:tcW w:w="1960" w:type="dxa"/>
            <w:vAlign w:val="bottom"/>
          </w:tcPr>
          <w:p>
            <w:pPr>
              <w:jc w:val="center"/>
              <w:spacing w:after="0"/>
              <w:rPr>
                <w:sz w:val="20"/>
                <w:szCs w:val="20"/>
                <w:color w:val="auto"/>
              </w:rPr>
            </w:pPr>
            <w:r>
              <w:rPr>
                <w:rFonts w:ascii="Arial" w:cs="Arial" w:eastAsia="Arial" w:hAnsi="Arial"/>
                <w:sz w:val="13"/>
                <w:szCs w:val="13"/>
                <w:color w:val="auto"/>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20,879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Tariff Mitigation Actions</w:t>
      </w:r>
    </w:p>
    <w:p>
      <w:pPr>
        <w:jc w:val="both"/>
        <w:ind w:right="140"/>
        <w:spacing w:after="0" w:line="242" w:lineRule="auto"/>
        <w:rPr>
          <w:sz w:val="20"/>
          <w:szCs w:val="20"/>
          <w:color w:val="auto"/>
        </w:rPr>
      </w:pPr>
      <w:r>
        <w:rPr>
          <w:rFonts w:ascii="Arial" w:cs="Arial" w:eastAsia="Arial" w:hAnsi="Arial"/>
          <w:sz w:val="12"/>
          <w:szCs w:val="12"/>
          <w:color w:val="auto"/>
        </w:rPr>
        <w:t>The Company has worked diligently over the past several years to reduce exposure to China and to diversify its supply chain by entering into arrangements with trusted suppliers in other countries. The Company has reduced its cost exposure to approximately 9% of total cost of goods sold directly related to China for its private label business and plans to further reduce this cost exposure to around 6% by the end of fiscal 2025.</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actions have been taken to quickly limit exposure to all tariffs:</w:t>
      </w:r>
    </w:p>
    <w:p>
      <w:pPr>
        <w:spacing w:after="0" w:line="159"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Pulled forward domestic inventory receipts of evergreen product at pre-tariff prices</w:t>
      </w:r>
    </w:p>
    <w:p>
      <w:pPr>
        <w:spacing w:after="0" w:line="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Partnered with suppliers to decrease cost</w:t>
      </w:r>
    </w:p>
    <w:p>
      <w:pPr>
        <w:spacing w:after="0" w:line="6" w:lineRule="exact"/>
        <w:rPr>
          <w:rFonts w:ascii="Arial" w:cs="Arial" w:eastAsia="Arial" w:hAnsi="Arial"/>
          <w:sz w:val="12"/>
          <w:szCs w:val="12"/>
          <w:color w:val="auto"/>
        </w:rPr>
      </w:pPr>
    </w:p>
    <w:p>
      <w:pPr>
        <w:ind w:left="420" w:hanging="212"/>
        <w:spacing w:after="0" w:line="234"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Reduced inventory receipts to maintain maximum flexibility to respond to evolving landscape</w:t>
      </w:r>
    </w:p>
    <w:p>
      <w:pPr>
        <w:ind w:left="420" w:hanging="212"/>
        <w:spacing w:after="0" w:line="234"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Shifted product out of China to other countries</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Reduced fiscal 2025 projected capital expenditures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Flexed expenses to better align with current composition of inventory</w:t>
      </w:r>
    </w:p>
    <w:p>
      <w:pPr>
        <w:spacing w:after="0" w:line="147" w:lineRule="exact"/>
        <w:rPr>
          <w:sz w:val="20"/>
          <w:szCs w:val="20"/>
          <w:color w:val="auto"/>
        </w:rPr>
      </w:pPr>
    </w:p>
    <w:p>
      <w:pPr>
        <w:ind w:right="160"/>
        <w:spacing w:after="0" w:line="260" w:lineRule="auto"/>
        <w:rPr>
          <w:sz w:val="20"/>
          <w:szCs w:val="20"/>
          <w:color w:val="auto"/>
        </w:rPr>
      </w:pPr>
      <w:r>
        <w:rPr>
          <w:rFonts w:ascii="Arial" w:cs="Arial" w:eastAsia="Arial" w:hAnsi="Arial"/>
          <w:sz w:val="12"/>
          <w:szCs w:val="12"/>
          <w:color w:val="auto"/>
        </w:rPr>
        <w:t>With these actions, the Company believes it has effectively mitigated the cost of tariffs at current levels, while minimizing the impacts to customers. Moving forward, the team will remain nimble and make adjustments, if or when the situation changes. The Company also plans to leverage its private brand portfolio, which represents approximately 23% of merchandise sales, to offer differentiated, high-margin value options to the customer. As a value retailer, Academy's owned brands like BCG, Magellan Outdoors, R.O.W., and Freely help to deliver compelling value while protecting margin integrity.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2025 Outlook</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“We are updating our fiscal 2025 guidance range to account for a wider range of scenarios as we move forward in this uncertain demand environment. We remain confident in our strategic initiatives and their progress to date, which has allowed us to maintain the high end of our guidance as we drive toward positive comps," said Carl Ford, Executive Vice President and Chief Financial Officer. "Our strong free cash flow generation will allow us to continue to fund all of our growth initiatives, while returning the majority to investors through dividends and share repurchases."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300"/>
          </w:cols>
          <w:pgMar w:left="300" w:top="374" w:right="299" w:bottom="1440" w:gutter="0" w:footer="0" w:header="0"/>
        </w:sectPr>
      </w:pPr>
    </w:p>
    <w:bookmarkStart w:id="5" w:name="page6"/>
    <w:bookmarkEnd w:id="5"/>
    <w:p>
      <w:pPr>
        <w:ind w:right="160"/>
        <w:spacing w:after="0" w:line="260" w:lineRule="auto"/>
        <w:rPr>
          <w:sz w:val="20"/>
          <w:szCs w:val="20"/>
          <w:color w:val="auto"/>
        </w:rPr>
      </w:pPr>
      <w:r>
        <w:rPr>
          <w:rFonts w:ascii="Arial" w:cs="Arial" w:eastAsia="Arial" w:hAnsi="Arial"/>
          <w:sz w:val="12"/>
          <w:szCs w:val="12"/>
          <w:color w:val="auto"/>
        </w:rPr>
        <w:t>Academy is providing the following updated guidance for fiscal 2025 (i.e., year ending January 31, 2026), as compared to the original guidance given on March 20, 2025. This guidance takes into account various factors, both internal and external, such as the expected benefits of the Company's growth initiatives, current consumer demand, the competitive environment, as well as the potential impacts from inflation and other economic risks:</w:t>
      </w:r>
    </w:p>
    <w:p>
      <w:pPr>
        <w:spacing w:after="0" w:line="128"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High end: Reciprocal tariffs land at 10% for all other countries, including China</w:t>
      </w:r>
    </w:p>
    <w:p>
      <w:pPr>
        <w:spacing w:after="0" w:line="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Low end: China stays at 145%; original reciprocal tariffs announced on April 2, 2025 remain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earnings per share estimates do not include any potential future share repurchases and assume a tax rate of 22.0% to 23.0%.</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820" w:type="dxa"/>
            <w:vAlign w:val="bottom"/>
            <w:tcBorders>
              <w:top w:val="single" w:sz="8" w:color="auto"/>
              <w:left w:val="single" w:sz="8" w:color="auto"/>
              <w:right w:val="single" w:sz="8" w:color="auto"/>
            </w:tcBorders>
            <w:shd w:val="clear" w:color="auto" w:fill="0E32E1"/>
          </w:tcPr>
          <w:p>
            <w:pPr>
              <w:spacing w:after="0"/>
              <w:rPr>
                <w:sz w:val="14"/>
                <w:szCs w:val="14"/>
                <w:color w:val="auto"/>
              </w:rPr>
            </w:pPr>
          </w:p>
        </w:tc>
        <w:tc>
          <w:tcPr>
            <w:tcW w:w="2260" w:type="dxa"/>
            <w:vAlign w:val="bottom"/>
            <w:tcBorders>
              <w:top w:val="single" w:sz="8" w:color="auto"/>
              <w:right w:val="single" w:sz="8" w:color="auto"/>
            </w:tcBorders>
            <w:gridSpan w:val="2"/>
            <w:shd w:val="clear" w:color="auto" w:fill="0E32E1"/>
          </w:tcPr>
          <w:p>
            <w:pPr>
              <w:jc w:val="right"/>
              <w:ind w:right="306"/>
              <w:spacing w:after="0"/>
              <w:rPr>
                <w:sz w:val="20"/>
                <w:szCs w:val="20"/>
                <w:color w:val="auto"/>
              </w:rPr>
            </w:pPr>
            <w:r>
              <w:rPr>
                <w:rFonts w:ascii="Arial" w:cs="Arial" w:eastAsia="Arial" w:hAnsi="Arial"/>
                <w:sz w:val="11"/>
                <w:szCs w:val="11"/>
                <w:b w:val="1"/>
                <w:bCs w:val="1"/>
                <w:color w:val="FFFFFF"/>
              </w:rPr>
              <w:t>Original Fiscal 2025 Guidance</w:t>
            </w:r>
          </w:p>
        </w:tc>
        <w:tc>
          <w:tcPr>
            <w:tcW w:w="2080" w:type="dxa"/>
            <w:vAlign w:val="bottom"/>
            <w:tcBorders>
              <w:top w:val="single" w:sz="8" w:color="auto"/>
            </w:tcBorders>
            <w:gridSpan w:val="2"/>
            <w:shd w:val="clear" w:color="auto" w:fill="0E32E1"/>
          </w:tcPr>
          <w:p>
            <w:pPr>
              <w:jc w:val="right"/>
              <w:ind w:right="26"/>
              <w:spacing w:after="0"/>
              <w:rPr>
                <w:sz w:val="20"/>
                <w:szCs w:val="20"/>
                <w:color w:val="auto"/>
              </w:rPr>
            </w:pPr>
            <w:r>
              <w:rPr>
                <w:rFonts w:ascii="Arial" w:cs="Arial" w:eastAsia="Arial" w:hAnsi="Arial"/>
                <w:sz w:val="11"/>
                <w:szCs w:val="11"/>
                <w:b w:val="1"/>
                <w:bCs w:val="1"/>
                <w:color w:val="FFFFFF"/>
              </w:rPr>
              <w:t>Updated Fiscal 2025 Guidance</w:t>
            </w:r>
          </w:p>
        </w:tc>
        <w:tc>
          <w:tcPr>
            <w:tcW w:w="380" w:type="dxa"/>
            <w:vAlign w:val="bottom"/>
            <w:tcBorders>
              <w:top w:val="single" w:sz="8" w:color="auto"/>
              <w:right w:val="single" w:sz="8" w:color="auto"/>
            </w:tcBorders>
            <w:shd w:val="clear" w:color="auto" w:fill="0E32E1"/>
          </w:tcPr>
          <w:p>
            <w:pPr>
              <w:spacing w:after="0"/>
              <w:rPr>
                <w:sz w:val="14"/>
                <w:szCs w:val="14"/>
                <w:color w:val="auto"/>
              </w:rPr>
            </w:pPr>
          </w:p>
        </w:tc>
        <w:tc>
          <w:tcPr>
            <w:tcW w:w="1340" w:type="dxa"/>
            <w:vAlign w:val="bottom"/>
            <w:tcBorders>
              <w:top w:val="single" w:sz="8" w:color="auto"/>
            </w:tcBorders>
            <w:shd w:val="clear" w:color="auto" w:fill="0E32E1"/>
          </w:tcPr>
          <w:p>
            <w:pPr>
              <w:spacing w:after="0"/>
              <w:rPr>
                <w:sz w:val="14"/>
                <w:szCs w:val="14"/>
                <w:color w:val="auto"/>
              </w:rPr>
            </w:pPr>
          </w:p>
        </w:tc>
        <w:tc>
          <w:tcPr>
            <w:tcW w:w="1420" w:type="dxa"/>
            <w:vAlign w:val="bottom"/>
            <w:tcBorders>
              <w:top w:val="single" w:sz="8" w:color="auto"/>
              <w:right w:val="single" w:sz="8" w:color="auto"/>
            </w:tcBorders>
            <w:shd w:val="clear" w:color="auto" w:fill="0E32E1"/>
          </w:tcPr>
          <w:p>
            <w:pPr>
              <w:jc w:val="right"/>
              <w:ind w:right="147"/>
              <w:spacing w:after="0"/>
              <w:rPr>
                <w:sz w:val="20"/>
                <w:szCs w:val="20"/>
                <w:color w:val="auto"/>
              </w:rPr>
            </w:pPr>
            <w:r>
              <w:rPr>
                <w:rFonts w:ascii="Arial" w:cs="Arial" w:eastAsia="Arial" w:hAnsi="Arial"/>
                <w:sz w:val="10"/>
                <w:szCs w:val="10"/>
                <w:b w:val="1"/>
                <w:bCs w:val="1"/>
                <w:color w:val="FFFFFF"/>
              </w:rPr>
              <w:t>change (at midpoint)</w:t>
            </w:r>
          </w:p>
        </w:tc>
      </w:tr>
      <w:tr>
        <w:trPr>
          <w:trHeight w:val="173"/>
        </w:trPr>
        <w:tc>
          <w:tcPr>
            <w:tcW w:w="3820" w:type="dxa"/>
            <w:vAlign w:val="bottom"/>
            <w:tcBorders>
              <w:left w:val="single" w:sz="8" w:color="auto"/>
              <w:bottom w:val="single" w:sz="8" w:color="auto"/>
              <w:right w:val="single" w:sz="8" w:color="auto"/>
            </w:tcBorders>
            <w:shd w:val="clear" w:color="auto" w:fill="0E32E1"/>
          </w:tcPr>
          <w:p>
            <w:pPr>
              <w:ind w:left="40"/>
              <w:spacing w:after="0"/>
              <w:rPr>
                <w:sz w:val="20"/>
                <w:szCs w:val="20"/>
                <w:color w:val="auto"/>
              </w:rPr>
            </w:pPr>
            <w:r>
              <w:rPr>
                <w:rFonts w:ascii="Arial" w:cs="Arial" w:eastAsia="Arial" w:hAnsi="Arial"/>
                <w:sz w:val="8"/>
                <w:szCs w:val="8"/>
                <w:b w:val="1"/>
                <w:bCs w:val="1"/>
                <w:color w:val="FFFFFF"/>
              </w:rPr>
              <w:t>(in millions, except per share amounts)</w:t>
            </w:r>
          </w:p>
        </w:tc>
        <w:tc>
          <w:tcPr>
            <w:tcW w:w="1260" w:type="dxa"/>
            <w:vAlign w:val="bottom"/>
            <w:tcBorders>
              <w:bottom w:val="single" w:sz="8" w:color="auto"/>
            </w:tcBorders>
            <w:shd w:val="clear" w:color="auto" w:fill="0E32E1"/>
          </w:tcPr>
          <w:p>
            <w:pPr>
              <w:jc w:val="right"/>
              <w:ind w:right="446"/>
              <w:spacing w:after="0"/>
              <w:rPr>
                <w:sz w:val="20"/>
                <w:szCs w:val="20"/>
                <w:color w:val="auto"/>
              </w:rPr>
            </w:pPr>
            <w:r>
              <w:rPr>
                <w:rFonts w:ascii="Arial" w:cs="Arial" w:eastAsia="Arial" w:hAnsi="Arial"/>
                <w:sz w:val="11"/>
                <w:szCs w:val="11"/>
                <w:b w:val="1"/>
                <w:bCs w:val="1"/>
                <w:color w:val="FFFFFF"/>
              </w:rPr>
              <w:t>Low end</w:t>
            </w:r>
          </w:p>
        </w:tc>
        <w:tc>
          <w:tcPr>
            <w:tcW w:w="1000" w:type="dxa"/>
            <w:vAlign w:val="bottom"/>
            <w:tcBorders>
              <w:bottom w:val="single" w:sz="8" w:color="auto"/>
              <w:right w:val="single" w:sz="8" w:color="auto"/>
            </w:tcBorders>
            <w:shd w:val="clear" w:color="auto" w:fill="0E32E1"/>
          </w:tcPr>
          <w:p>
            <w:pPr>
              <w:jc w:val="right"/>
              <w:ind w:right="306"/>
              <w:spacing w:after="0"/>
              <w:rPr>
                <w:sz w:val="20"/>
                <w:szCs w:val="20"/>
                <w:color w:val="auto"/>
              </w:rPr>
            </w:pPr>
            <w:r>
              <w:rPr>
                <w:rFonts w:ascii="Arial" w:cs="Arial" w:eastAsia="Arial" w:hAnsi="Arial"/>
                <w:sz w:val="11"/>
                <w:szCs w:val="11"/>
                <w:b w:val="1"/>
                <w:bCs w:val="1"/>
                <w:color w:val="FFFFFF"/>
              </w:rPr>
              <w:t>High end</w:t>
            </w:r>
          </w:p>
        </w:tc>
        <w:tc>
          <w:tcPr>
            <w:tcW w:w="840" w:type="dxa"/>
            <w:vAlign w:val="bottom"/>
            <w:tcBorders>
              <w:bottom w:val="single" w:sz="8" w:color="auto"/>
            </w:tcBorders>
            <w:shd w:val="clear" w:color="auto" w:fill="0E32E1"/>
          </w:tcPr>
          <w:p>
            <w:pPr>
              <w:ind w:left="380"/>
              <w:spacing w:after="0"/>
              <w:rPr>
                <w:sz w:val="20"/>
                <w:szCs w:val="20"/>
                <w:color w:val="auto"/>
              </w:rPr>
            </w:pPr>
            <w:r>
              <w:rPr>
                <w:rFonts w:ascii="Arial" w:cs="Arial" w:eastAsia="Arial" w:hAnsi="Arial"/>
                <w:sz w:val="11"/>
                <w:szCs w:val="11"/>
                <w:b w:val="1"/>
                <w:bCs w:val="1"/>
                <w:color w:val="FFFFFF"/>
                <w:w w:val="98"/>
              </w:rPr>
              <w:t>Low end</w:t>
            </w:r>
          </w:p>
        </w:tc>
        <w:tc>
          <w:tcPr>
            <w:tcW w:w="1240" w:type="dxa"/>
            <w:vAlign w:val="bottom"/>
            <w:tcBorders>
              <w:bottom w:val="single" w:sz="8" w:color="auto"/>
            </w:tcBorders>
            <w:shd w:val="clear" w:color="auto" w:fill="0E32E1"/>
          </w:tcPr>
          <w:p>
            <w:pPr>
              <w:jc w:val="right"/>
              <w:spacing w:after="0"/>
              <w:rPr>
                <w:sz w:val="20"/>
                <w:szCs w:val="20"/>
                <w:color w:val="auto"/>
              </w:rPr>
            </w:pPr>
            <w:r>
              <w:rPr>
                <w:rFonts w:ascii="Arial" w:cs="Arial" w:eastAsia="Arial" w:hAnsi="Arial"/>
                <w:sz w:val="11"/>
                <w:szCs w:val="11"/>
                <w:b w:val="1"/>
                <w:bCs w:val="1"/>
                <w:color w:val="FFFFFF"/>
              </w:rPr>
              <w:t>High end</w:t>
            </w:r>
          </w:p>
        </w:tc>
        <w:tc>
          <w:tcPr>
            <w:tcW w:w="380" w:type="dxa"/>
            <w:vAlign w:val="bottom"/>
            <w:tcBorders>
              <w:bottom w:val="single" w:sz="8" w:color="auto"/>
              <w:right w:val="single" w:sz="8" w:color="auto"/>
            </w:tcBorders>
            <w:shd w:val="clear" w:color="auto" w:fill="0E32E1"/>
          </w:tcPr>
          <w:p>
            <w:pPr>
              <w:spacing w:after="0"/>
              <w:rPr>
                <w:sz w:val="15"/>
                <w:szCs w:val="15"/>
                <w:color w:val="auto"/>
              </w:rPr>
            </w:pPr>
          </w:p>
        </w:tc>
        <w:tc>
          <w:tcPr>
            <w:tcW w:w="1340" w:type="dxa"/>
            <w:vAlign w:val="bottom"/>
            <w:tcBorders>
              <w:bottom w:val="single" w:sz="8" w:color="auto"/>
            </w:tcBorders>
            <w:shd w:val="clear" w:color="auto" w:fill="0E32E1"/>
          </w:tcPr>
          <w:p>
            <w:pPr>
              <w:jc w:val="right"/>
              <w:ind w:right="426"/>
              <w:spacing w:after="0"/>
              <w:rPr>
                <w:sz w:val="20"/>
                <w:szCs w:val="20"/>
                <w:color w:val="auto"/>
              </w:rPr>
            </w:pPr>
            <w:r>
              <w:rPr>
                <w:rFonts w:ascii="Arial" w:cs="Arial" w:eastAsia="Arial" w:hAnsi="Arial"/>
                <w:sz w:val="11"/>
                <w:szCs w:val="11"/>
                <w:b w:val="1"/>
                <w:bCs w:val="1"/>
                <w:color w:val="FFFFFF"/>
              </w:rPr>
              <w:t>2024 Actuals</w:t>
            </w:r>
          </w:p>
        </w:tc>
        <w:tc>
          <w:tcPr>
            <w:tcW w:w="1420" w:type="dxa"/>
            <w:vAlign w:val="bottom"/>
            <w:tcBorders>
              <w:bottom w:val="single" w:sz="8" w:color="auto"/>
              <w:right w:val="single" w:sz="8" w:color="auto"/>
            </w:tcBorders>
            <w:shd w:val="clear" w:color="auto" w:fill="0E32E1"/>
          </w:tcPr>
          <w:p>
            <w:pPr>
              <w:jc w:val="right"/>
              <w:ind w:right="407"/>
              <w:spacing w:after="0"/>
              <w:rPr>
                <w:sz w:val="20"/>
                <w:szCs w:val="20"/>
                <w:color w:val="auto"/>
              </w:rPr>
            </w:pPr>
            <w:r>
              <w:rPr>
                <w:rFonts w:ascii="Arial" w:cs="Arial" w:eastAsia="Arial" w:hAnsi="Arial"/>
                <w:sz w:val="11"/>
                <w:szCs w:val="11"/>
                <w:b w:val="1"/>
                <w:bCs w:val="1"/>
                <w:color w:val="FFFFFF"/>
              </w:rPr>
              <w:t>vs. 2024</w:t>
            </w:r>
          </w:p>
        </w:tc>
      </w:tr>
      <w:tr>
        <w:trPr>
          <w:trHeight w:val="143"/>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Net sales</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$6,090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$6,265</w:t>
            </w:r>
          </w:p>
        </w:tc>
        <w:tc>
          <w:tcPr>
            <w:tcW w:w="840" w:type="dxa"/>
            <w:vAlign w:val="bottom"/>
          </w:tcPr>
          <w:p>
            <w:pPr>
              <w:spacing w:after="0"/>
              <w:rPr>
                <w:sz w:val="12"/>
                <w:szCs w:val="12"/>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$5,970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4"/>
              </w:rPr>
              <w:t>$6,265</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$5,933</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3.1 %</w:t>
            </w:r>
          </w:p>
        </w:tc>
      </w:tr>
      <w:tr>
        <w:trPr>
          <w:trHeight w:val="234"/>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 xml:space="preserve">Comparable sales </w:t>
            </w:r>
            <w:r>
              <w:rPr>
                <w:rFonts w:ascii="Arial" w:cs="Arial" w:eastAsia="Arial" w:hAnsi="Arial"/>
                <w:sz w:val="5"/>
                <w:szCs w:val="5"/>
                <w:color w:val="auto"/>
              </w:rPr>
              <w:t>(1)</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(2.0)%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1.0 %</w:t>
            </w:r>
          </w:p>
        </w:tc>
        <w:tc>
          <w:tcPr>
            <w:tcW w:w="840" w:type="dxa"/>
            <w:vAlign w:val="bottom"/>
          </w:tcPr>
          <w:p>
            <w:pPr>
              <w:spacing w:after="0"/>
              <w:rPr>
                <w:sz w:val="20"/>
                <w:szCs w:val="20"/>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(4.0)%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1.0 %</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(5.1)%</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+360 bps</w:t>
            </w:r>
          </w:p>
        </w:tc>
      </w:tr>
      <w:tr>
        <w:trPr>
          <w:trHeight w:val="324"/>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Gross margin rate</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34.0 %</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34.5 %</w:t>
            </w:r>
          </w:p>
        </w:tc>
        <w:tc>
          <w:tcPr>
            <w:tcW w:w="840" w:type="dxa"/>
            <w:vAlign w:val="bottom"/>
          </w:tcPr>
          <w:p>
            <w:pPr>
              <w:spacing w:after="0"/>
              <w:rPr>
                <w:sz w:val="24"/>
                <w:szCs w:val="24"/>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w w:val="99"/>
              </w:rPr>
              <w:t>34.0 %</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3"/>
              </w:rPr>
              <w:t>34.5 %</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33.9 %</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+35 bps</w:t>
            </w:r>
          </w:p>
        </w:tc>
      </w:tr>
      <w:tr>
        <w:trPr>
          <w:trHeight w:val="225"/>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GAAP net income</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$375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$410</w:t>
            </w:r>
          </w:p>
        </w:tc>
        <w:tc>
          <w:tcPr>
            <w:tcW w:w="840" w:type="dxa"/>
            <w:vAlign w:val="bottom"/>
          </w:tcPr>
          <w:p>
            <w:pPr>
              <w:spacing w:after="0"/>
              <w:rPr>
                <w:sz w:val="19"/>
                <w:szCs w:val="19"/>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$350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$410</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$418</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(9.1)%</w:t>
            </w:r>
          </w:p>
        </w:tc>
      </w:tr>
      <w:tr>
        <w:trPr>
          <w:trHeight w:val="225"/>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 xml:space="preserve">Adjusted net income </w:t>
            </w:r>
            <w:r>
              <w:rPr>
                <w:rFonts w:ascii="Arial" w:cs="Arial" w:eastAsia="Arial" w:hAnsi="Arial"/>
                <w:sz w:val="5"/>
                <w:szCs w:val="5"/>
                <w:color w:val="auto"/>
              </w:rPr>
              <w:t>(2)</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$400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$435</w:t>
            </w:r>
          </w:p>
        </w:tc>
        <w:tc>
          <w:tcPr>
            <w:tcW w:w="840" w:type="dxa"/>
            <w:vAlign w:val="bottom"/>
          </w:tcPr>
          <w:p>
            <w:pPr>
              <w:spacing w:after="0"/>
              <w:rPr>
                <w:sz w:val="19"/>
                <w:szCs w:val="19"/>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$375</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$435</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$439</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(7.7)%</w:t>
            </w:r>
          </w:p>
        </w:tc>
      </w:tr>
      <w:tr>
        <w:trPr>
          <w:trHeight w:val="225"/>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GAAP earnings per common share, diluted</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$5.40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$5.85</w:t>
            </w:r>
          </w:p>
        </w:tc>
        <w:tc>
          <w:tcPr>
            <w:tcW w:w="840" w:type="dxa"/>
            <w:vAlign w:val="bottom"/>
          </w:tcPr>
          <w:p>
            <w:pPr>
              <w:spacing w:after="0"/>
              <w:rPr>
                <w:sz w:val="19"/>
                <w:szCs w:val="19"/>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$5.10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$5.90</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$5.73</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(4.0)%</w:t>
            </w:r>
          </w:p>
        </w:tc>
      </w:tr>
      <w:tr>
        <w:trPr>
          <w:trHeight w:val="324"/>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 xml:space="preserve">Adjusted earnings per common share, diluted </w:t>
            </w:r>
            <w:r>
              <w:rPr>
                <w:rFonts w:ascii="Arial" w:cs="Arial" w:eastAsia="Arial" w:hAnsi="Arial"/>
                <w:sz w:val="5"/>
                <w:szCs w:val="5"/>
                <w:color w:val="auto"/>
              </w:rPr>
              <w:t>(2)</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$5.75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$6.20</w:t>
            </w:r>
          </w:p>
        </w:tc>
        <w:tc>
          <w:tcPr>
            <w:tcW w:w="840" w:type="dxa"/>
            <w:vAlign w:val="bottom"/>
          </w:tcPr>
          <w:p>
            <w:pPr>
              <w:spacing w:after="0"/>
              <w:rPr>
                <w:sz w:val="24"/>
                <w:szCs w:val="24"/>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$5.45</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$6.25</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$6.02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(2.8)%</w:t>
            </w:r>
          </w:p>
        </w:tc>
      </w:tr>
      <w:tr>
        <w:trPr>
          <w:trHeight w:val="225"/>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Diluted weighted average common shares</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~70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~70</w:t>
            </w:r>
          </w:p>
        </w:tc>
        <w:tc>
          <w:tcPr>
            <w:tcW w:w="840" w:type="dxa"/>
            <w:vAlign w:val="bottom"/>
          </w:tcPr>
          <w:p>
            <w:pPr>
              <w:spacing w:after="0"/>
              <w:rPr>
                <w:sz w:val="19"/>
                <w:szCs w:val="19"/>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~69</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73.0</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(5.5)%</w:t>
            </w:r>
          </w:p>
        </w:tc>
      </w:tr>
      <w:tr>
        <w:trPr>
          <w:trHeight w:val="225"/>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Capital Expenditures</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$220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840" w:type="dxa"/>
            <w:vAlign w:val="bottom"/>
          </w:tcPr>
          <w:p>
            <w:pPr>
              <w:spacing w:after="0"/>
              <w:rPr>
                <w:sz w:val="19"/>
                <w:szCs w:val="19"/>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$180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$200</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 %</w:t>
            </w:r>
          </w:p>
        </w:tc>
      </w:tr>
      <w:tr>
        <w:trPr>
          <w:trHeight w:val="225"/>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 xml:space="preserve">Adjusted free cash flow </w:t>
            </w:r>
            <w:r>
              <w:rPr>
                <w:rFonts w:ascii="Arial" w:cs="Arial" w:eastAsia="Arial" w:hAnsi="Arial"/>
                <w:sz w:val="5"/>
                <w:szCs w:val="5"/>
                <w:color w:val="auto"/>
              </w:rPr>
              <w:t>(2), (3)</w:t>
            </w:r>
          </w:p>
        </w:tc>
        <w:tc>
          <w:tcPr>
            <w:tcW w:w="1260" w:type="dxa"/>
            <w:vAlign w:val="bottom"/>
          </w:tcPr>
          <w:p>
            <w:pPr>
              <w:jc w:val="right"/>
              <w:ind w:right="126"/>
              <w:spacing w:after="0"/>
              <w:rPr>
                <w:sz w:val="20"/>
                <w:szCs w:val="20"/>
                <w:color w:val="auto"/>
              </w:rPr>
            </w:pPr>
            <w:r>
              <w:rPr>
                <w:rFonts w:ascii="Arial" w:cs="Arial" w:eastAsia="Arial" w:hAnsi="Arial"/>
                <w:sz w:val="11"/>
                <w:szCs w:val="11"/>
                <w:color w:val="auto"/>
              </w:rPr>
              <w:t>$290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$320</w:t>
            </w:r>
          </w:p>
        </w:tc>
        <w:tc>
          <w:tcPr>
            <w:tcW w:w="840" w:type="dxa"/>
            <w:vAlign w:val="bottom"/>
          </w:tcPr>
          <w:p>
            <w:pPr>
              <w:spacing w:after="0"/>
              <w:rPr>
                <w:sz w:val="19"/>
                <w:szCs w:val="19"/>
                <w:color w:val="auto"/>
              </w:rPr>
            </w:pPr>
          </w:p>
        </w:tc>
        <w:tc>
          <w:tcPr>
            <w:tcW w:w="1240" w:type="dxa"/>
            <w:vAlign w:val="bottom"/>
          </w:tcPr>
          <w:p>
            <w:pPr>
              <w:jc w:val="right"/>
              <w:ind w:right="826"/>
              <w:spacing w:after="0"/>
              <w:rPr>
                <w:sz w:val="20"/>
                <w:szCs w:val="20"/>
                <w:color w:val="auto"/>
              </w:rPr>
            </w:pPr>
            <w:r>
              <w:rPr>
                <w:rFonts w:ascii="Arial" w:cs="Arial" w:eastAsia="Arial" w:hAnsi="Arial"/>
                <w:sz w:val="11"/>
                <w:szCs w:val="11"/>
                <w:color w:val="auto"/>
              </w:rPr>
              <w:t>$250</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$320</w:t>
            </w:r>
          </w:p>
        </w:tc>
        <w:tc>
          <w:tcPr>
            <w:tcW w:w="1340" w:type="dxa"/>
            <w:vAlign w:val="bottom"/>
          </w:tcPr>
          <w:p>
            <w:pPr>
              <w:jc w:val="right"/>
              <w:ind w:right="206"/>
              <w:spacing w:after="0"/>
              <w:rPr>
                <w:sz w:val="20"/>
                <w:szCs w:val="20"/>
                <w:color w:val="auto"/>
              </w:rPr>
            </w:pPr>
            <w:r>
              <w:rPr>
                <w:rFonts w:ascii="Arial" w:cs="Arial" w:eastAsia="Arial" w:hAnsi="Arial"/>
                <w:sz w:val="11"/>
                <w:szCs w:val="11"/>
                <w:color w:val="auto"/>
              </w:rPr>
              <w:t>$342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(16.7)%</w:t>
            </w:r>
          </w:p>
        </w:tc>
      </w:tr>
      <w:tr>
        <w:trPr>
          <w:trHeight w:val="74"/>
        </w:trPr>
        <w:tc>
          <w:tcPr>
            <w:tcW w:w="38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-1692275</wp:posOffset>
            </wp:positionV>
            <wp:extent cx="3008630"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8630" cy="31115"/>
                    </a:xfrm>
                    <a:prstGeom prst="rect">
                      <a:avLst/>
                    </a:prstGeom>
                    <a:noFill/>
                  </pic:spPr>
                </pic:pic>
              </a:graphicData>
            </a:graphic>
          </wp:anchor>
        </w:drawing>
      </w:r>
    </w:p>
    <w:p>
      <w:pPr>
        <w:spacing w:after="0" w:line="31" w:lineRule="exact"/>
        <w:rPr>
          <w:sz w:val="20"/>
          <w:szCs w:val="20"/>
          <w:color w:val="auto"/>
        </w:rPr>
      </w:pPr>
    </w:p>
    <w:p>
      <w:pPr>
        <w:ind w:left="560" w:hanging="136"/>
        <w:spacing w:after="0"/>
        <w:tabs>
          <w:tab w:leader="none" w:pos="560" w:val="left"/>
        </w:tabs>
        <w:numPr>
          <w:ilvl w:val="0"/>
          <w:numId w:val="5"/>
        </w:numPr>
        <w:rPr>
          <w:rFonts w:ascii="Arial" w:cs="Arial" w:eastAsia="Arial" w:hAnsi="Arial"/>
          <w:sz w:val="8"/>
          <w:szCs w:val="8"/>
          <w:color w:val="auto"/>
        </w:rPr>
      </w:pPr>
      <w:r>
        <w:rPr>
          <w:rFonts w:ascii="Arial" w:cs="Arial" w:eastAsia="Arial" w:hAnsi="Arial"/>
          <w:sz w:val="8"/>
          <w:szCs w:val="8"/>
          <w:color w:val="auto"/>
        </w:rPr>
        <w:t>We define comparable sales as the percentage of period-over-period net sales increase or decrease, in the aggregate, for stores open after thirteen full fiscal months, as well as for all ecommerce sales.</w:t>
      </w:r>
    </w:p>
    <w:p>
      <w:pPr>
        <w:spacing w:after="0" w:line="160" w:lineRule="exact"/>
        <w:rPr>
          <w:rFonts w:ascii="Arial" w:cs="Arial" w:eastAsia="Arial" w:hAnsi="Arial"/>
          <w:sz w:val="8"/>
          <w:szCs w:val="8"/>
          <w:color w:val="auto"/>
        </w:rPr>
      </w:pPr>
    </w:p>
    <w:p>
      <w:pPr>
        <w:ind w:left="420" w:firstLine="4"/>
        <w:spacing w:after="0" w:line="305" w:lineRule="auto"/>
        <w:tabs>
          <w:tab w:leader="none" w:pos="546" w:val="left"/>
        </w:tabs>
        <w:numPr>
          <w:ilvl w:val="0"/>
          <w:numId w:val="5"/>
        </w:numPr>
        <w:rPr>
          <w:rFonts w:ascii="Arial" w:cs="Arial" w:eastAsia="Arial" w:hAnsi="Arial"/>
          <w:sz w:val="8"/>
          <w:szCs w:val="8"/>
          <w:color w:val="auto"/>
        </w:rPr>
      </w:pPr>
      <w:r>
        <w:rPr>
          <w:rFonts w:ascii="Arial" w:cs="Arial" w:eastAsia="Arial" w:hAnsi="Arial"/>
          <w:sz w:val="8"/>
          <w:szCs w:val="8"/>
          <w:color w:val="auto"/>
        </w:rPr>
        <w:t>Adjusted net income, adjusted earnings per common share (EPS), diluted, and adjusted free cash flow are non-GAAP measures. See "Non-GAAP Measures" and "Reconciliations of GAAP to Non-GAAP Financial Measures" below for reconciliations of non-GAAP financial measures to their most directly comparable GAAP financial measures.</w:t>
      </w:r>
    </w:p>
    <w:p>
      <w:pPr>
        <w:spacing w:after="0" w:line="126" w:lineRule="exact"/>
        <w:rPr>
          <w:rFonts w:ascii="Arial" w:cs="Arial" w:eastAsia="Arial" w:hAnsi="Arial"/>
          <w:sz w:val="8"/>
          <w:szCs w:val="8"/>
          <w:color w:val="auto"/>
        </w:rPr>
      </w:pPr>
    </w:p>
    <w:p>
      <w:pPr>
        <w:ind w:left="420" w:firstLine="4"/>
        <w:spacing w:after="0" w:line="305" w:lineRule="auto"/>
        <w:tabs>
          <w:tab w:leader="none" w:pos="546" w:val="left"/>
        </w:tabs>
        <w:numPr>
          <w:ilvl w:val="0"/>
          <w:numId w:val="5"/>
        </w:numPr>
        <w:rPr>
          <w:rFonts w:ascii="Arial" w:cs="Arial" w:eastAsia="Arial" w:hAnsi="Arial"/>
          <w:sz w:val="8"/>
          <w:szCs w:val="8"/>
          <w:color w:val="auto"/>
        </w:rPr>
      </w:pPr>
      <w:r>
        <w:rPr>
          <w:rFonts w:ascii="Arial" w:cs="Arial" w:eastAsia="Arial" w:hAnsi="Arial"/>
          <w:sz w:val="8"/>
          <w:szCs w:val="8"/>
          <w:color w:val="auto"/>
        </w:rPr>
        <w:t>We have not reconciled guidance for adjusted free cash flow to the most comparable GAAP measure because it is not possible to do so without unreasonable efforts given the uncertainty and potential variability of reconciling items, which are dependent on future events and often outside of management's control and could be significant; therefore, we are unable to provide an estimate of the most closely comparable GAAP measure at this time.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Conference Call Info</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 xml:space="preserve">Academy will host a conference call today at 10:00 a.m. Eastern Time to discuss its financial results and related matters. The call will be webcast at </w:t>
      </w:r>
      <w:r>
        <w:rPr>
          <w:rFonts w:ascii="Arial" w:cs="Arial" w:eastAsia="Arial" w:hAnsi="Arial"/>
          <w:sz w:val="12"/>
          <w:szCs w:val="12"/>
          <w:u w:val="single" w:color="auto"/>
          <w:color w:val="0E32E1"/>
        </w:rPr>
        <w:t>investors.academy.com.</w:t>
      </w:r>
      <w:r>
        <w:rPr>
          <w:rFonts w:ascii="Arial" w:cs="Arial" w:eastAsia="Arial" w:hAnsi="Arial"/>
          <w:sz w:val="12"/>
          <w:szCs w:val="12"/>
          <w:color w:val="auto"/>
        </w:rPr>
        <w:t xml:space="preserve"> The following information is provided for those who would like to participate in the conference call:</w:t>
      </w:r>
    </w:p>
    <w:p>
      <w:pPr>
        <w:spacing w:after="0" w:line="133"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800" w:type="dxa"/>
            <w:vAlign w:val="bottom"/>
          </w:tcPr>
          <w:p>
            <w:pPr>
              <w:spacing w:after="0"/>
              <w:rPr>
                <w:sz w:val="20"/>
                <w:szCs w:val="20"/>
                <w:color w:val="auto"/>
              </w:rPr>
            </w:pPr>
            <w:r>
              <w:rPr>
                <w:rFonts w:ascii="Arial" w:cs="Arial" w:eastAsia="Arial" w:hAnsi="Arial"/>
                <w:sz w:val="12"/>
                <w:szCs w:val="12"/>
                <w:color w:val="auto"/>
              </w:rPr>
              <w:t>U.S. callers</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1-877-407-3982</w:t>
            </w: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color w:val="auto"/>
              </w:rPr>
              <w:t>International callers</w:t>
            </w:r>
          </w:p>
        </w:tc>
        <w:tc>
          <w:tcPr>
            <w:tcW w:w="980" w:type="dxa"/>
            <w:vAlign w:val="bottom"/>
          </w:tcPr>
          <w:p>
            <w:pPr>
              <w:jc w:val="right"/>
              <w:spacing w:after="0"/>
              <w:rPr>
                <w:sz w:val="20"/>
                <w:szCs w:val="20"/>
                <w:color w:val="auto"/>
              </w:rPr>
            </w:pPr>
            <w:r>
              <w:rPr>
                <w:rFonts w:ascii="Arial" w:cs="Arial" w:eastAsia="Arial" w:hAnsi="Arial"/>
                <w:sz w:val="12"/>
                <w:szCs w:val="12"/>
                <w:color w:val="auto"/>
              </w:rPr>
              <w:t>1-201-493-6780</w:t>
            </w:r>
          </w:p>
        </w:tc>
      </w:tr>
      <w:tr>
        <w:trPr>
          <w:trHeight w:val="159"/>
        </w:trPr>
        <w:tc>
          <w:tcPr>
            <w:tcW w:w="800" w:type="dxa"/>
            <w:vAlign w:val="bottom"/>
          </w:tcPr>
          <w:p>
            <w:pPr>
              <w:spacing w:after="0"/>
              <w:rPr>
                <w:sz w:val="20"/>
                <w:szCs w:val="20"/>
                <w:color w:val="auto"/>
              </w:rPr>
            </w:pPr>
            <w:r>
              <w:rPr>
                <w:rFonts w:ascii="Arial" w:cs="Arial" w:eastAsia="Arial" w:hAnsi="Arial"/>
                <w:sz w:val="12"/>
                <w:szCs w:val="12"/>
                <w:color w:val="auto"/>
              </w:rPr>
              <w:t>Passcode</w:t>
            </w:r>
          </w:p>
        </w:tc>
        <w:tc>
          <w:tcPr>
            <w:tcW w:w="1360" w:type="dxa"/>
            <w:vAlign w:val="bottom"/>
            <w:gridSpan w:val="2"/>
          </w:tcPr>
          <w:p>
            <w:pPr>
              <w:jc w:val="right"/>
              <w:ind w:right="600"/>
              <w:spacing w:after="0"/>
              <w:rPr>
                <w:sz w:val="20"/>
                <w:szCs w:val="20"/>
                <w:color w:val="auto"/>
              </w:rPr>
            </w:pPr>
            <w:r>
              <w:rPr>
                <w:rFonts w:ascii="Arial" w:cs="Arial" w:eastAsia="Arial" w:hAnsi="Arial"/>
                <w:sz w:val="12"/>
                <w:szCs w:val="12"/>
                <w:color w:val="auto"/>
              </w:rPr>
              <w:t>13753920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conference call will be available for approximately 30 days on the Company's website.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About Academy Sports + Outdoors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Measures</w:t>
      </w:r>
    </w:p>
    <w:p>
      <w:pPr>
        <w:spacing w:after="0" w:line="4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300"/>
          </w:cols>
          <w:pgMar w:left="300" w:top="505" w:right="29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2"/>
          <w:szCs w:val="12"/>
          <w:color w:val="auto"/>
        </w:rPr>
        <w:t>presentation of these non-GAAP measures is useful to investors as they provide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 please see our Annual Report for the fiscal year ended February 1, 2025 (the "Annual Report"), filed on March 20, 2025 and our Quarterly Report for the thirteen weeks ended May 3, 2025 to be filed on June 10, 2025 ("the Quarterly Report"), which may be updated from time to time in our periodic filings with the Securities and Exchange Commission (the "SEC"), which are accessible on the SEC's website at www.sec.gov.</w:t>
      </w:r>
    </w:p>
    <w:p>
      <w:pPr>
        <w:spacing w:after="0" w:line="134" w:lineRule="exact"/>
        <w:rPr>
          <w:sz w:val="20"/>
          <w:szCs w:val="20"/>
          <w:color w:val="auto"/>
        </w:rPr>
      </w:pPr>
    </w:p>
    <w:p>
      <w:pPr>
        <w:ind w:right="480"/>
        <w:spacing w:after="0" w:line="267" w:lineRule="auto"/>
        <w:rPr>
          <w:sz w:val="20"/>
          <w:szCs w:val="20"/>
          <w:color w:val="auto"/>
        </w:rPr>
      </w:pPr>
      <w:r>
        <w:rPr>
          <w:rFonts w:ascii="Arial" w:cs="Arial" w:eastAsia="Arial" w:hAnsi="Arial"/>
          <w:sz w:val="12"/>
          <w:szCs w:val="12"/>
          <w:i w:val="1"/>
          <w:iCs w:val="1"/>
          <w:color w:val="auto"/>
        </w:rPr>
        <w:t>See “Reconciliations of GAAP to Non-GAAP Financial Measures” below for reconciliations of non-GAAP financial measures presented in this press release to their most directly comparable GAAP financial measures.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Forward Looking Statements</w:t>
      </w:r>
    </w:p>
    <w:p>
      <w:pPr>
        <w:spacing w:after="0" w:line="27"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The forward-looking statements in this press release include, among other things, statements regarding the Company’s fiscal 2025 outlook under the caption "2025 Outlook," the Company's plans and expectations regarding tariff-mitigation actions, the Company's strategic plans and financial objectives, including the implementation of such plans, the growth of the Company's business and operations, including the opening of new stores and the expansion into new markets, as well as their performance, the Company's payment of dividends, including the timing and the amount thereof, share repurchases by the Company, and the Company's expectations regarding its future performance and financial condition and the Company's plans to reduce direct import cost exposure to China. These forward-looking statements are subject to various risks, uncertainties, assumptions, or changes in circumstances that are all difficult to predict or quantify. Actual results may differ materially from these expectations due to changes in global, regional, or local economic, business, competitive, market,</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regulatory, environmental, and other factors that could affect overall consumer spending or our industry, including the possible effects of ongoing macroeconomic challenges, inflation and higher interest rates, trade policy changes or additional tariffs or changes in tariffs, geopolitical tensions, or changes to the financial health of our customers, many of which are beyond Academy's control. These and other important factors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that could cause actual results to differ materially from those in the forward-looking statements are set forth in Academy's filings with the SEC, including the Annual Report and the Quarterly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Investor Contact</w:t>
            </w:r>
          </w:p>
        </w:tc>
        <w:tc>
          <w:tcPr>
            <w:tcW w:w="3360" w:type="dxa"/>
            <w:vAlign w:val="bottom"/>
          </w:tcPr>
          <w:p>
            <w:pPr>
              <w:spacing w:after="0"/>
              <w:rPr>
                <w:sz w:val="13"/>
                <w:szCs w:val="13"/>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Media Contact</w:t>
            </w:r>
          </w:p>
        </w:tc>
        <w:tc>
          <w:tcPr>
            <w:tcW w:w="780" w:type="dxa"/>
            <w:vAlign w:val="bottom"/>
          </w:tcPr>
          <w:p>
            <w:pPr>
              <w:spacing w:after="0"/>
              <w:rPr>
                <w:sz w:val="13"/>
                <w:szCs w:val="13"/>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2"/>
                <w:szCs w:val="12"/>
                <w:color w:val="auto"/>
              </w:rPr>
              <w:t>Dan Aldridge</w:t>
            </w:r>
          </w:p>
        </w:tc>
        <w:tc>
          <w:tcPr>
            <w:tcW w:w="1600" w:type="dxa"/>
            <w:vAlign w:val="bottom"/>
            <w:gridSpan w:val="2"/>
          </w:tcPr>
          <w:p>
            <w:pPr>
              <w:spacing w:after="0"/>
              <w:rPr>
                <w:sz w:val="20"/>
                <w:szCs w:val="20"/>
                <w:color w:val="auto"/>
              </w:rPr>
            </w:pPr>
            <w:r>
              <w:rPr>
                <w:rFonts w:ascii="Arial" w:cs="Arial" w:eastAsia="Arial" w:hAnsi="Arial"/>
                <w:sz w:val="12"/>
                <w:szCs w:val="12"/>
                <w:color w:val="auto"/>
              </w:rPr>
              <w:t>Meredith Klein</w:t>
            </w: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VP, Investor Relations</w:t>
            </w:r>
          </w:p>
        </w:tc>
        <w:tc>
          <w:tcPr>
            <w:tcW w:w="1600" w:type="dxa"/>
            <w:vAlign w:val="bottom"/>
            <w:gridSpan w:val="2"/>
          </w:tcPr>
          <w:p>
            <w:pPr>
              <w:spacing w:after="0"/>
              <w:rPr>
                <w:sz w:val="20"/>
                <w:szCs w:val="20"/>
                <w:color w:val="auto"/>
              </w:rPr>
            </w:pPr>
            <w:r>
              <w:rPr>
                <w:rFonts w:ascii="Arial" w:cs="Arial" w:eastAsia="Arial" w:hAnsi="Arial"/>
                <w:sz w:val="12"/>
                <w:szCs w:val="12"/>
                <w:color w:val="auto"/>
              </w:rPr>
              <w:t>VP, Communications</w:t>
            </w:r>
          </w:p>
        </w:tc>
      </w:tr>
      <w:tr>
        <w:trPr>
          <w:trHeight w:val="180"/>
        </w:trPr>
        <w:tc>
          <w:tcPr>
            <w:tcW w:w="960" w:type="dxa"/>
            <w:vAlign w:val="bottom"/>
          </w:tcPr>
          <w:p>
            <w:pPr>
              <w:spacing w:after="0"/>
              <w:rPr>
                <w:sz w:val="20"/>
                <w:szCs w:val="20"/>
                <w:color w:val="auto"/>
              </w:rPr>
            </w:pPr>
            <w:r>
              <w:rPr>
                <w:rFonts w:ascii="Arial" w:cs="Arial" w:eastAsia="Arial" w:hAnsi="Arial"/>
                <w:sz w:val="12"/>
                <w:szCs w:val="12"/>
                <w:color w:val="auto"/>
              </w:rPr>
              <w:t>832-739-4102</w:t>
            </w:r>
          </w:p>
        </w:tc>
        <w:tc>
          <w:tcPr>
            <w:tcW w:w="33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346-823-6615</w:t>
            </w:r>
          </w:p>
        </w:tc>
        <w:tc>
          <w:tcPr>
            <w:tcW w:w="780" w:type="dxa"/>
            <w:vAlign w:val="bottom"/>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dan.aldridge@academy.com</w:t>
            </w:r>
          </w:p>
        </w:tc>
        <w:tc>
          <w:tcPr>
            <w:tcW w:w="1600" w:type="dxa"/>
            <w:vAlign w:val="bottom"/>
            <w:gridSpan w:val="2"/>
          </w:tcPr>
          <w:p>
            <w:pPr>
              <w:spacing w:after="0"/>
              <w:rPr>
                <w:sz w:val="20"/>
                <w:szCs w:val="20"/>
                <w:color w:val="auto"/>
              </w:rPr>
            </w:pPr>
            <w:r>
              <w:rPr>
                <w:rFonts w:ascii="Arial" w:cs="Arial" w:eastAsia="Arial" w:hAnsi="Arial"/>
                <w:sz w:val="12"/>
                <w:szCs w:val="12"/>
                <w:color w:val="auto"/>
                <w:w w:val="97"/>
              </w:rPr>
              <w:t>meredith.klein@academy.com</w:t>
            </w:r>
          </w:p>
        </w:tc>
      </w:tr>
      <w:tr>
        <w:trPr>
          <w:trHeight w:val="352"/>
        </w:trPr>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0" w:type="dxa"/>
            <w:vAlign w:val="bottom"/>
            <w:gridSpan w:val="2"/>
          </w:tcPr>
          <w:p>
            <w:pPr>
              <w:ind w:left="1300"/>
              <w:spacing w:after="0"/>
              <w:rPr>
                <w:sz w:val="20"/>
                <w:szCs w:val="20"/>
                <w:color w:val="auto"/>
              </w:rPr>
            </w:pPr>
            <w:r>
              <w:rPr>
                <w:rFonts w:ascii="Arial" w:cs="Arial" w:eastAsia="Arial" w:hAnsi="Arial"/>
                <w:sz w:val="10"/>
                <w:szCs w:val="10"/>
                <w:color w:val="auto"/>
              </w:rPr>
              <w:t>4</w:t>
            </w:r>
          </w:p>
        </w:tc>
      </w:tr>
    </w:tbl>
    <w:p>
      <w:pPr>
        <w:sectPr>
          <w:pgSz w:w="11900" w:h="16838" w:orient="portrait"/>
          <w:cols w:equalWidth="0" w:num="1">
            <w:col w:w="11300"/>
          </w:cols>
          <w:pgMar w:left="300" w:top="379" w:right="2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INCOME</w:t>
      </w:r>
    </w:p>
    <w:p>
      <w:pPr>
        <w:jc w:val="center"/>
        <w:ind w:right="-7"/>
        <w:spacing w:after="0" w:line="234" w:lineRule="auto"/>
        <w:rPr>
          <w:sz w:val="20"/>
          <w:szCs w:val="20"/>
          <w:color w:val="auto"/>
        </w:rPr>
      </w:pPr>
      <w:r>
        <w:rPr>
          <w:rFonts w:ascii="Arial" w:cs="Arial" w:eastAsia="Arial" w:hAnsi="Arial"/>
          <w:sz w:val="12"/>
          <w:szCs w:val="12"/>
          <w:b w:val="1"/>
          <w:bCs w:val="1"/>
          <w:color w:val="auto"/>
        </w:rPr>
        <w:t>(Unaudited)</w:t>
      </w:r>
    </w:p>
    <w:p>
      <w:pPr>
        <w:jc w:val="center"/>
        <w:ind w:right="-7"/>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Thirteen Weeks Ended</w:t>
            </w:r>
          </w:p>
        </w:tc>
        <w:tc>
          <w:tcPr>
            <w:tcW w:w="164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40"/>
              <w:spacing w:after="0"/>
              <w:rPr>
                <w:sz w:val="20"/>
                <w:szCs w:val="20"/>
                <w:color w:val="auto"/>
              </w:rPr>
            </w:pPr>
            <w:r>
              <w:rPr>
                <w:rFonts w:ascii="Arial" w:cs="Arial" w:eastAsia="Arial" w:hAnsi="Arial"/>
                <w:sz w:val="12"/>
                <w:szCs w:val="12"/>
                <w:b w:val="1"/>
                <w:bCs w:val="1"/>
                <w:color w:val="auto"/>
              </w:rPr>
              <w:t>May 3, 2025</w:t>
            </w:r>
          </w:p>
        </w:tc>
        <w:tc>
          <w:tcPr>
            <w:tcW w:w="1780" w:type="dxa"/>
            <w:vAlign w:val="bottom"/>
            <w:gridSpan w:val="2"/>
          </w:tcPr>
          <w:p>
            <w:pPr>
              <w:ind w:left="220"/>
              <w:spacing w:after="0"/>
              <w:rPr>
                <w:sz w:val="20"/>
                <w:szCs w:val="20"/>
                <w:color w:val="auto"/>
              </w:rPr>
            </w:pPr>
            <w:r>
              <w:rPr>
                <w:rFonts w:ascii="Arial" w:cs="Arial" w:eastAsia="Arial" w:hAnsi="Arial"/>
                <w:sz w:val="12"/>
                <w:szCs w:val="12"/>
                <w:b w:val="1"/>
                <w:bCs w:val="1"/>
                <w:color w:val="auto"/>
              </w:rPr>
              <w:t xml:space="preserve">Percentage of Sales </w:t>
            </w:r>
            <w:r>
              <w:rPr>
                <w:rFonts w:ascii="Arial" w:cs="Arial" w:eastAsia="Arial" w:hAnsi="Arial"/>
                <w:sz w:val="15"/>
                <w:szCs w:val="15"/>
                <w:b w:val="1"/>
                <w:bCs w:val="1"/>
                <w:color w:val="auto"/>
                <w:vertAlign w:val="superscript"/>
              </w:rPr>
              <w:t>(1)</w:t>
            </w:r>
          </w:p>
        </w:tc>
        <w:tc>
          <w:tcPr>
            <w:tcW w:w="32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Arial" w:cs="Arial" w:eastAsia="Arial" w:hAnsi="Arial"/>
                <w:sz w:val="12"/>
                <w:szCs w:val="12"/>
                <w:b w:val="1"/>
                <w:bCs w:val="1"/>
                <w:color w:val="auto"/>
              </w:rPr>
              <w:t>May 4, 2024</w:t>
            </w:r>
          </w:p>
        </w:tc>
        <w:tc>
          <w:tcPr>
            <w:tcW w:w="1640" w:type="dxa"/>
            <w:vAlign w:val="bottom"/>
          </w:tcPr>
          <w:p>
            <w:pPr>
              <w:jc w:val="right"/>
              <w:ind w:right="120"/>
              <w:spacing w:after="0"/>
              <w:rPr>
                <w:sz w:val="20"/>
                <w:szCs w:val="20"/>
                <w:color w:val="auto"/>
              </w:rPr>
            </w:pPr>
            <w:r>
              <w:rPr>
                <w:rFonts w:ascii="Arial" w:cs="Arial" w:eastAsia="Arial" w:hAnsi="Arial"/>
                <w:sz w:val="12"/>
                <w:szCs w:val="12"/>
                <w:b w:val="1"/>
                <w:bCs w:val="1"/>
                <w:color w:val="auto"/>
              </w:rPr>
              <w:t xml:space="preserve">Percentage of Sales </w:t>
            </w:r>
            <w:r>
              <w:rPr>
                <w:rFonts w:ascii="Arial" w:cs="Arial" w:eastAsia="Arial" w:hAnsi="Arial"/>
                <w:sz w:val="15"/>
                <w:szCs w:val="15"/>
                <w:b w:val="1"/>
                <w:bCs w:val="1"/>
                <w:color w:val="auto"/>
                <w:vertAlign w:val="superscript"/>
              </w:rPr>
              <w:t>(1)</w:t>
            </w:r>
          </w:p>
        </w:tc>
      </w:tr>
      <w:tr>
        <w:trPr>
          <w:trHeight w:val="16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sales</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1,351,409</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100.0 %</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1,364,220</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75"/>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892,540</w:t>
            </w: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66.0 %</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908,427</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66.6 %</w:t>
            </w:r>
          </w:p>
        </w:tc>
      </w:tr>
      <w:tr>
        <w:trPr>
          <w:trHeight w:val="174"/>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Gross margin</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458,869</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34.0 %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455,793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33.4 %</w:t>
            </w:r>
          </w:p>
        </w:tc>
      </w:tr>
      <w:tr>
        <w:trPr>
          <w:trHeight w:val="175"/>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Selling, general and administrative expenses</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389,604</w:t>
            </w: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28.8 %</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353,410</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25.9 %</w:t>
            </w:r>
          </w:p>
        </w:tc>
      </w:tr>
      <w:tr>
        <w:trPr>
          <w:trHeight w:val="174"/>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income</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69,265</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5.1 %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102,383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7.5 %</w:t>
            </w:r>
          </w:p>
        </w:tc>
      </w:tr>
      <w:tr>
        <w:trPr>
          <w:trHeight w:val="175"/>
        </w:trPr>
        <w:tc>
          <w:tcPr>
            <w:tcW w:w="4180" w:type="dxa"/>
            <w:vAlign w:val="bottom"/>
          </w:tcPr>
          <w:p>
            <w:pPr>
              <w:spacing w:after="0"/>
              <w:rPr>
                <w:sz w:val="20"/>
                <w:szCs w:val="20"/>
                <w:color w:val="auto"/>
              </w:rPr>
            </w:pPr>
            <w:r>
              <w:rPr>
                <w:rFonts w:ascii="Arial" w:cs="Arial" w:eastAsia="Arial" w:hAnsi="Arial"/>
                <w:sz w:val="12"/>
                <w:szCs w:val="12"/>
                <w:color w:val="auto"/>
              </w:rPr>
              <w:t>Interest expense, net</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9,044</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b w:val="1"/>
                <w:bCs w:val="1"/>
                <w:color w:val="auto"/>
              </w:rPr>
              <w:t>0.7 %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9,486</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0.7 %</w:t>
            </w:r>
          </w:p>
        </w:tc>
      </w:tr>
      <w:tr>
        <w:trPr>
          <w:trHeight w:val="185"/>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Write off of deferred loan costs</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0.0 %</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r>
      <w:tr>
        <w:trPr>
          <w:trHeight w:val="175"/>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 net</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(2,807)</w:t>
            </w: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(5,204)</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w:t>
            </w:r>
          </w:p>
        </w:tc>
      </w:tr>
      <w:tr>
        <w:trPr>
          <w:trHeight w:val="174"/>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before income taxes</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63,028</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97,652</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7.2 %</w:t>
            </w:r>
          </w:p>
        </w:tc>
      </w:tr>
      <w:tr>
        <w:trPr>
          <w:trHeight w:val="175"/>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16,944</w:t>
            </w: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1.3 %</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21,187</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1.6 %</w:t>
            </w:r>
          </w:p>
        </w:tc>
      </w:tr>
      <w:tr>
        <w:trPr>
          <w:trHeight w:val="19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Net income</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46,084</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3.4 %</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76,465</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5.6 %</w:t>
            </w:r>
          </w:p>
        </w:tc>
      </w:tr>
      <w:tr>
        <w:trPr>
          <w:trHeight w:val="153"/>
        </w:trPr>
        <w:tc>
          <w:tcPr>
            <w:tcW w:w="4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0"/>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Earnings Per Common Share:</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5"/>
        </w:trPr>
        <w:tc>
          <w:tcPr>
            <w:tcW w:w="4180" w:type="dxa"/>
            <w:vAlign w:val="bottom"/>
          </w:tcPr>
          <w:p>
            <w:pPr>
              <w:ind w:left="140"/>
              <w:spacing w:after="0"/>
              <w:rPr>
                <w:sz w:val="20"/>
                <w:szCs w:val="20"/>
                <w:color w:val="auto"/>
              </w:rPr>
            </w:pPr>
            <w:r>
              <w:rPr>
                <w:rFonts w:ascii="Arial" w:cs="Arial" w:eastAsia="Arial" w:hAnsi="Arial"/>
                <w:sz w:val="12"/>
                <w:szCs w:val="12"/>
                <w:color w:val="auto"/>
              </w:rPr>
              <w:t>Basic</w:t>
            </w:r>
          </w:p>
        </w:tc>
        <w:tc>
          <w:tcPr>
            <w:tcW w:w="320" w:type="dxa"/>
            <w:vAlign w:val="bottom"/>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0.69</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5"/>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0.68</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1"/>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5"/>
        </w:trPr>
        <w:tc>
          <w:tcPr>
            <w:tcW w:w="4180" w:type="dxa"/>
            <w:vAlign w:val="bottom"/>
          </w:tcPr>
          <w:p>
            <w:pPr>
              <w:ind w:left="140"/>
              <w:spacing w:after="0"/>
              <w:rPr>
                <w:sz w:val="20"/>
                <w:szCs w:val="20"/>
                <w:color w:val="auto"/>
              </w:rPr>
            </w:pPr>
            <w:r>
              <w:rPr>
                <w:rFonts w:ascii="Arial" w:cs="Arial" w:eastAsia="Arial" w:hAnsi="Arial"/>
                <w:sz w:val="12"/>
                <w:szCs w:val="12"/>
                <w:color w:val="auto"/>
              </w:rPr>
              <w:t>Basic</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67,122</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73,993</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5"/>
        </w:trPr>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68,170</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75,798</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bl>
    <w:p>
      <w:pPr>
        <w:spacing w:after="0" w:line="3" w:lineRule="exact"/>
        <w:rPr>
          <w:sz w:val="20"/>
          <w:szCs w:val="20"/>
          <w:color w:val="auto"/>
        </w:rPr>
      </w:pPr>
    </w:p>
    <w:p>
      <w:pPr>
        <w:ind w:left="108" w:hanging="108"/>
        <w:spacing w:after="0"/>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8"/>
          <w:szCs w:val="8"/>
          <w:color w:val="auto"/>
        </w:rPr>
        <w:t>Column may not add due to rounding</w:t>
      </w: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308"/>
          </w:cols>
          <w:pgMar w:left="292" w:top="712"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jc w:val="center"/>
        <w:ind w:right="20"/>
        <w:spacing w:after="0" w:line="234" w:lineRule="auto"/>
        <w:rPr>
          <w:sz w:val="20"/>
          <w:szCs w:val="20"/>
          <w:color w:val="auto"/>
        </w:rPr>
      </w:pPr>
      <w:r>
        <w:rPr>
          <w:rFonts w:ascii="Arial" w:cs="Arial" w:eastAsia="Arial" w:hAnsi="Arial"/>
          <w:sz w:val="12"/>
          <w:szCs w:val="12"/>
          <w:b w:val="1"/>
          <w:bCs w:val="1"/>
          <w:color w:val="auto"/>
        </w:rPr>
        <w:t>(Unaudited)</w:t>
      </w:r>
    </w:p>
    <w:p>
      <w:pPr>
        <w:jc w:val="center"/>
        <w:ind w:right="20"/>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Arial" w:cs="Arial" w:eastAsia="Arial" w:hAnsi="Arial"/>
                <w:sz w:val="12"/>
                <w:szCs w:val="12"/>
                <w:b w:val="1"/>
                <w:bCs w:val="1"/>
                <w:color w:val="auto"/>
              </w:rPr>
              <w:t>May 3, 2025</w:t>
            </w:r>
          </w:p>
        </w:tc>
        <w:tc>
          <w:tcPr>
            <w:tcW w:w="24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February 1, 2025</w:t>
            </w:r>
          </w:p>
        </w:tc>
        <w:tc>
          <w:tcPr>
            <w:tcW w:w="300" w:type="dxa"/>
            <w:vAlign w:val="bottom"/>
          </w:tcPr>
          <w:p>
            <w:pPr>
              <w:spacing w:after="0"/>
              <w:rPr>
                <w:sz w:val="14"/>
                <w:szCs w:val="14"/>
                <w:color w:val="auto"/>
              </w:rPr>
            </w:pPr>
          </w:p>
        </w:tc>
        <w:tc>
          <w:tcPr>
            <w:tcW w:w="1500" w:type="dxa"/>
            <w:vAlign w:val="bottom"/>
          </w:tcPr>
          <w:p>
            <w:pPr>
              <w:jc w:val="right"/>
              <w:ind w:right="520"/>
              <w:spacing w:after="0"/>
              <w:rPr>
                <w:sz w:val="20"/>
                <w:szCs w:val="20"/>
                <w:color w:val="auto"/>
              </w:rPr>
            </w:pPr>
            <w:r>
              <w:rPr>
                <w:rFonts w:ascii="Arial" w:cs="Arial" w:eastAsia="Arial" w:hAnsi="Arial"/>
                <w:sz w:val="12"/>
                <w:szCs w:val="12"/>
                <w:b w:val="1"/>
                <w:bCs w:val="1"/>
                <w:color w:val="auto"/>
              </w:rPr>
              <w:t>May 4, 2024</w:t>
            </w:r>
          </w:p>
        </w:tc>
        <w:tc>
          <w:tcPr>
            <w:tcW w:w="0" w:type="dxa"/>
            <w:vAlign w:val="bottom"/>
          </w:tcPr>
          <w:p>
            <w:pPr>
              <w:spacing w:after="0"/>
              <w:rPr>
                <w:sz w:val="1"/>
                <w:szCs w:val="1"/>
                <w:color w:val="auto"/>
              </w:rPr>
            </w:pPr>
          </w:p>
        </w:tc>
      </w:tr>
      <w:tr>
        <w:trPr>
          <w:trHeight w:val="165"/>
        </w:trPr>
        <w:tc>
          <w:tcPr>
            <w:tcW w:w="5580" w:type="dxa"/>
            <w:vAlign w:val="bottom"/>
            <w:tcBorders>
              <w:top w:val="single" w:sz="8" w:color="CCEEFF"/>
            </w:tcBorders>
            <w:shd w:val="clear" w:color="auto" w:fill="CCEEFF"/>
          </w:tcPr>
          <w:p>
            <w:pPr>
              <w:ind w:left="2560"/>
              <w:spacing w:after="0"/>
              <w:rPr>
                <w:sz w:val="20"/>
                <w:szCs w:val="20"/>
                <w:color w:val="auto"/>
              </w:rPr>
            </w:pPr>
            <w:r>
              <w:rPr>
                <w:rFonts w:ascii="Arial" w:cs="Arial" w:eastAsia="Arial" w:hAnsi="Arial"/>
                <w:sz w:val="12"/>
                <w:szCs w:val="12"/>
                <w:b w:val="1"/>
                <w:bCs w:val="1"/>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285,104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288,929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378,145</w:t>
            </w:r>
          </w:p>
        </w:tc>
        <w:tc>
          <w:tcPr>
            <w:tcW w:w="0" w:type="dxa"/>
            <w:vAlign w:val="bottom"/>
          </w:tcPr>
          <w:p>
            <w:pPr>
              <w:spacing w:after="0"/>
              <w:rPr>
                <w:sz w:val="1"/>
                <w:szCs w:val="1"/>
                <w:color w:val="auto"/>
              </w:rPr>
            </w:pP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w w:val="99"/>
              </w:rPr>
              <w:t>Accounts receivable - less allowance for doubtful accounts of $2,584, $2,752 and $1,817, respectively</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16,869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16,759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13,700</w:t>
            </w: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Merchandise inventories, net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1,560,035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1,308,840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1,356,811</w:t>
            </w:r>
          </w:p>
        </w:tc>
        <w:tc>
          <w:tcPr>
            <w:tcW w:w="0" w:type="dxa"/>
            <w:vAlign w:val="bottom"/>
          </w:tcPr>
          <w:p>
            <w:pPr>
              <w:spacing w:after="0"/>
              <w:rPr>
                <w:sz w:val="1"/>
                <w:szCs w:val="1"/>
                <w:color w:val="auto"/>
              </w:rPr>
            </w:pPr>
          </w:p>
        </w:tc>
      </w:tr>
      <w:tr>
        <w:trPr>
          <w:trHeight w:val="175"/>
        </w:trPr>
        <w:tc>
          <w:tcPr>
            <w:tcW w:w="55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59,757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95,621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68,320</w:t>
            </w: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current assets</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1,921,765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1,710,149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1,816,976</w:t>
            </w:r>
          </w:p>
        </w:tc>
        <w:tc>
          <w:tcPr>
            <w:tcW w:w="0" w:type="dxa"/>
            <w:vAlign w:val="bottom"/>
          </w:tcPr>
          <w:p>
            <w:pPr>
              <w:spacing w:after="0"/>
              <w:rPr>
                <w:sz w:val="1"/>
                <w:szCs w:val="1"/>
                <w:color w:val="auto"/>
              </w:rPr>
            </w:pPr>
          </w:p>
        </w:tc>
      </w:tr>
      <w:tr>
        <w:trPr>
          <w:trHeight w:val="144"/>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PROPERTY AND EQUIPMENT, NET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551,184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525,136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456,594</w:t>
            </w:r>
          </w:p>
        </w:tc>
        <w:tc>
          <w:tcPr>
            <w:tcW w:w="0" w:type="dxa"/>
            <w:vAlign w:val="bottom"/>
          </w:tcPr>
          <w:p>
            <w:pPr>
              <w:spacing w:after="0"/>
              <w:rPr>
                <w:sz w:val="1"/>
                <w:szCs w:val="1"/>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RIGHT-OF-USE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1,210,516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1,173,075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1,116,222</w:t>
            </w: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TRADE NAME</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579,165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579,007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578,364</w:t>
            </w:r>
          </w:p>
        </w:tc>
        <w:tc>
          <w:tcPr>
            <w:tcW w:w="0" w:type="dxa"/>
            <w:vAlign w:val="bottom"/>
          </w:tcPr>
          <w:p>
            <w:pPr>
              <w:spacing w:after="0"/>
              <w:rPr>
                <w:sz w:val="1"/>
                <w:szCs w:val="1"/>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GOODWILL</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861,920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861,920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861,920</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NONCURRENT ASSETS</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55,873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51,676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43,803</w:t>
            </w:r>
          </w:p>
        </w:tc>
        <w:tc>
          <w:tcPr>
            <w:tcW w:w="0" w:type="dxa"/>
            <w:vAlign w:val="bottom"/>
          </w:tcPr>
          <w:p>
            <w:pPr>
              <w:spacing w:after="0"/>
              <w:rPr>
                <w:sz w:val="1"/>
                <w:szCs w:val="1"/>
                <w:color w:val="auto"/>
              </w:rPr>
            </w:pPr>
          </w:p>
        </w:tc>
      </w:tr>
      <w:tr>
        <w:trPr>
          <w:trHeight w:val="190"/>
        </w:trPr>
        <w:tc>
          <w:tcPr>
            <w:tcW w:w="5580" w:type="dxa"/>
            <w:vAlign w:val="bottom"/>
          </w:tcPr>
          <w:p>
            <w:pPr>
              <w:ind w:left="300"/>
              <w:spacing w:after="0"/>
              <w:rPr>
                <w:sz w:val="20"/>
                <w:szCs w:val="20"/>
                <w:color w:val="auto"/>
              </w:rPr>
            </w:pPr>
            <w:r>
              <w:rPr>
                <w:rFonts w:ascii="Arial" w:cs="Arial" w:eastAsia="Arial" w:hAnsi="Arial"/>
                <w:sz w:val="12"/>
                <w:szCs w:val="12"/>
                <w:b w:val="1"/>
                <w:bCs w:val="1"/>
                <w:color w:val="auto"/>
              </w:rPr>
              <w:t>Total assets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5,180,423</w:t>
            </w:r>
          </w:p>
        </w:tc>
        <w:tc>
          <w:tcPr>
            <w:tcW w:w="80" w:type="dxa"/>
            <w:vAlign w:val="bottom"/>
          </w:tcPr>
          <w:p>
            <w:pPr>
              <w:spacing w:after="0"/>
              <w:rPr>
                <w:sz w:val="16"/>
                <w:szCs w:val="16"/>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4,900,963</w:t>
            </w:r>
          </w:p>
        </w:tc>
        <w:tc>
          <w:tcPr>
            <w:tcW w:w="80" w:type="dxa"/>
            <w:vAlign w:val="bottom"/>
          </w:tcPr>
          <w:p>
            <w:pPr>
              <w:spacing w:after="0"/>
              <w:rPr>
                <w:sz w:val="16"/>
                <w:szCs w:val="16"/>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4,873,879</w:t>
            </w:r>
          </w:p>
        </w:tc>
        <w:tc>
          <w:tcPr>
            <w:tcW w:w="0" w:type="dxa"/>
            <w:vAlign w:val="bottom"/>
          </w:tcPr>
          <w:p>
            <w:pPr>
              <w:spacing w:after="0"/>
              <w:rPr>
                <w:sz w:val="1"/>
                <w:szCs w:val="1"/>
                <w:color w:val="auto"/>
              </w:rPr>
            </w:pPr>
          </w:p>
        </w:tc>
      </w:tr>
      <w:tr>
        <w:trPr>
          <w:trHeight w:val="126"/>
        </w:trPr>
        <w:tc>
          <w:tcPr>
            <w:tcW w:w="5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1540"/>
              <w:spacing w:after="0"/>
              <w:rPr>
                <w:sz w:val="20"/>
                <w:szCs w:val="20"/>
                <w:color w:val="auto"/>
              </w:rPr>
            </w:pPr>
            <w:r>
              <w:rPr>
                <w:rFonts w:ascii="Arial" w:cs="Arial" w:eastAsia="Arial" w:hAnsi="Arial"/>
                <w:sz w:val="12"/>
                <w:szCs w:val="12"/>
                <w:b w:val="1"/>
                <w:bCs w:val="1"/>
                <w:color w:val="auto"/>
              </w:rPr>
              <w:t>LIABILITIES AND STOCKHOLDERS' EQUITY</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849,554</w:t>
            </w:r>
          </w:p>
        </w:tc>
        <w:tc>
          <w:tcPr>
            <w:tcW w:w="8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612,424</w:t>
            </w:r>
          </w:p>
        </w:tc>
        <w:tc>
          <w:tcPr>
            <w:tcW w:w="80" w:type="dxa"/>
            <w:vAlign w:val="bottom"/>
          </w:tcPr>
          <w:p>
            <w:pPr>
              <w:spacing w:after="0"/>
              <w:rPr>
                <w:sz w:val="15"/>
                <w:szCs w:val="15"/>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735,563</w:t>
            </w: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272,362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230,323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262,048</w:t>
            </w:r>
          </w:p>
        </w:tc>
        <w:tc>
          <w:tcPr>
            <w:tcW w:w="0" w:type="dxa"/>
            <w:vAlign w:val="bottom"/>
          </w:tcPr>
          <w:p>
            <w:pPr>
              <w:spacing w:after="0"/>
              <w:rPr>
                <w:sz w:val="1"/>
                <w:szCs w:val="1"/>
                <w:color w:val="auto"/>
              </w:rPr>
            </w:pPr>
          </w:p>
        </w:tc>
      </w:tr>
      <w:tr>
        <w:trPr>
          <w:trHeight w:val="175"/>
        </w:trPr>
        <w:tc>
          <w:tcPr>
            <w:tcW w:w="5580" w:type="dxa"/>
            <w:vAlign w:val="bottom"/>
          </w:tcPr>
          <w:p>
            <w:pPr>
              <w:ind w:left="160"/>
              <w:spacing w:after="0"/>
              <w:rPr>
                <w:sz w:val="20"/>
                <w:szCs w:val="20"/>
                <w:color w:val="auto"/>
              </w:rPr>
            </w:pPr>
            <w:r>
              <w:rPr>
                <w:rFonts w:ascii="Arial" w:cs="Arial" w:eastAsia="Arial" w:hAnsi="Arial"/>
                <w:sz w:val="12"/>
                <w:szCs w:val="12"/>
                <w:color w:val="auto"/>
              </w:rPr>
              <w:t>Current lease liabilities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137,979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115,134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121,465</w:t>
            </w: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Current maturities of long-term debt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3,000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64"/>
        </w:trPr>
        <w:tc>
          <w:tcPr>
            <w:tcW w:w="5580" w:type="dxa"/>
            <w:vAlign w:val="bottom"/>
          </w:tcPr>
          <w:p>
            <w:pPr>
              <w:ind w:left="300"/>
              <w:spacing w:after="0"/>
              <w:rPr>
                <w:sz w:val="20"/>
                <w:szCs w:val="20"/>
                <w:color w:val="auto"/>
              </w:rPr>
            </w:pPr>
            <w:r>
              <w:rPr>
                <w:rFonts w:ascii="Arial" w:cs="Arial" w:eastAsia="Arial" w:hAnsi="Arial"/>
                <w:sz w:val="12"/>
                <w:szCs w:val="12"/>
                <w:b w:val="1"/>
                <w:bCs w:val="1"/>
                <w:color w:val="auto"/>
              </w:rPr>
              <w:t>Total current liabilities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1,262,895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960,881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1,122,076</w:t>
            </w:r>
          </w:p>
        </w:tc>
        <w:tc>
          <w:tcPr>
            <w:tcW w:w="0" w:type="dxa"/>
            <w:vAlign w:val="bottom"/>
          </w:tcPr>
          <w:p>
            <w:pPr>
              <w:spacing w:after="0"/>
              <w:rPr>
                <w:sz w:val="1"/>
                <w:szCs w:val="1"/>
                <w:color w:val="auto"/>
              </w:rPr>
            </w:pPr>
          </w:p>
        </w:tc>
      </w:tr>
      <w:tr>
        <w:trPr>
          <w:trHeight w:val="113"/>
        </w:trPr>
        <w:tc>
          <w:tcPr>
            <w:tcW w:w="5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LONG-TERM DEBT, NET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482,209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482,679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484,084</w:t>
            </w: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LONG-TERM LEASE LIABILITIES</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1,210,095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1,185,741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1,098,799</w:t>
            </w:r>
          </w:p>
        </w:tc>
        <w:tc>
          <w:tcPr>
            <w:tcW w:w="0" w:type="dxa"/>
            <w:vAlign w:val="bottom"/>
          </w:tcPr>
          <w:p>
            <w:pPr>
              <w:spacing w:after="0"/>
              <w:rPr>
                <w:sz w:val="1"/>
                <w:szCs w:val="1"/>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DEFERRED TAX LIABILITIES, NET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255,912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256,815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253,069</w:t>
            </w: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LONG-TERM LIABILITIES</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22,080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10,812</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10,330</w:t>
            </w:r>
          </w:p>
        </w:tc>
        <w:tc>
          <w:tcPr>
            <w:tcW w:w="0" w:type="dxa"/>
            <w:vAlign w:val="bottom"/>
          </w:tcPr>
          <w:p>
            <w:pPr>
              <w:spacing w:after="0"/>
              <w:rPr>
                <w:sz w:val="1"/>
                <w:szCs w:val="1"/>
                <w:color w:val="auto"/>
              </w:rPr>
            </w:pPr>
          </w:p>
        </w:tc>
      </w:tr>
      <w:tr>
        <w:trPr>
          <w:trHeight w:val="164"/>
        </w:trPr>
        <w:tc>
          <w:tcPr>
            <w:tcW w:w="5580" w:type="dxa"/>
            <w:vAlign w:val="bottom"/>
            <w:tcBorders>
              <w:bottom w:val="single" w:sz="8" w:color="CCEEFF"/>
            </w:tcBorders>
          </w:tcPr>
          <w:p>
            <w:pPr>
              <w:ind w:left="300"/>
              <w:spacing w:after="0"/>
              <w:rPr>
                <w:sz w:val="20"/>
                <w:szCs w:val="20"/>
                <w:color w:val="auto"/>
              </w:rPr>
            </w:pPr>
            <w:r>
              <w:rPr>
                <w:rFonts w:ascii="Arial" w:cs="Arial" w:eastAsia="Arial" w:hAnsi="Arial"/>
                <w:sz w:val="12"/>
                <w:szCs w:val="12"/>
                <w:b w:val="1"/>
                <w:bCs w:val="1"/>
                <w:color w:val="auto"/>
              </w:rPr>
              <w:t>Total liabilities</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3,233,191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2,896,928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2,968,358</w:t>
            </w:r>
          </w:p>
        </w:tc>
        <w:tc>
          <w:tcPr>
            <w:tcW w:w="0" w:type="dxa"/>
            <w:vAlign w:val="bottom"/>
          </w:tcPr>
          <w:p>
            <w:pPr>
              <w:spacing w:after="0"/>
              <w:rPr>
                <w:sz w:val="1"/>
                <w:szCs w:val="1"/>
                <w:color w:val="auto"/>
              </w:rPr>
            </w:pPr>
          </w:p>
        </w:tc>
      </w:tr>
      <w:tr>
        <w:trPr>
          <w:trHeight w:val="120"/>
        </w:trPr>
        <w:tc>
          <w:tcPr>
            <w:tcW w:w="5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5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STOCKHOLDERS' EQUITY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Preferred stock, $0.01 par value, authorized 50,000,000 shares; none issued and outstanding</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580" w:type="dxa"/>
            <w:vAlign w:val="bottom"/>
          </w:tcPr>
          <w:p>
            <w:pPr>
              <w:ind w:left="20"/>
              <w:spacing w:after="0"/>
              <w:rPr>
                <w:sz w:val="20"/>
                <w:szCs w:val="20"/>
                <w:color w:val="auto"/>
              </w:rPr>
            </w:pPr>
            <w:r>
              <w:rPr>
                <w:rFonts w:ascii="Arial" w:cs="Arial" w:eastAsia="Arial" w:hAnsi="Arial"/>
                <w:sz w:val="12"/>
                <w:szCs w:val="12"/>
                <w:color w:val="auto"/>
              </w:rPr>
              <w:t>Common stock, $0.01 par value, authorized 300,000,000 shares; 66,466,377; 68,332,961 and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580" w:type="dxa"/>
            <w:vAlign w:val="bottom"/>
          </w:tcPr>
          <w:p>
            <w:pPr>
              <w:ind w:left="20"/>
              <w:spacing w:after="0"/>
              <w:rPr>
                <w:sz w:val="20"/>
                <w:szCs w:val="20"/>
                <w:color w:val="auto"/>
              </w:rPr>
            </w:pPr>
            <w:r>
              <w:rPr>
                <w:rFonts w:ascii="Arial" w:cs="Arial" w:eastAsia="Arial" w:hAnsi="Arial"/>
                <w:sz w:val="12"/>
                <w:szCs w:val="12"/>
                <w:color w:val="auto"/>
              </w:rPr>
              <w:t>72,590,530 issued and outstanding as of May 3, 2025, February 1, 2025 and May 4, 2024, respectively.</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662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683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726</w:t>
            </w:r>
          </w:p>
        </w:tc>
        <w:tc>
          <w:tcPr>
            <w:tcW w:w="0" w:type="dxa"/>
            <w:vAlign w:val="bottom"/>
          </w:tcPr>
          <w:p>
            <w:pPr>
              <w:spacing w:after="0"/>
              <w:rPr>
                <w:sz w:val="1"/>
                <w:szCs w:val="1"/>
                <w:color w:val="auto"/>
              </w:rPr>
            </w:pPr>
          </w:p>
        </w:tc>
      </w:tr>
      <w:tr>
        <w:trPr>
          <w:trHeight w:val="185"/>
        </w:trPr>
        <w:tc>
          <w:tcPr>
            <w:tcW w:w="5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244,388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247,094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240,559</w:t>
            </w:r>
          </w:p>
        </w:tc>
        <w:tc>
          <w:tcPr>
            <w:tcW w:w="0" w:type="dxa"/>
            <w:vAlign w:val="bottom"/>
          </w:tcPr>
          <w:p>
            <w:pPr>
              <w:spacing w:after="0"/>
              <w:rPr>
                <w:sz w:val="1"/>
                <w:szCs w:val="1"/>
                <w:color w:val="auto"/>
              </w:rPr>
            </w:pPr>
          </w:p>
        </w:tc>
      </w:tr>
      <w:tr>
        <w:trPr>
          <w:trHeight w:val="175"/>
        </w:trPr>
        <w:tc>
          <w:tcPr>
            <w:tcW w:w="55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Retained earnings</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1,702,182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1,756,258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1,664,236</w:t>
            </w:r>
          </w:p>
        </w:tc>
        <w:tc>
          <w:tcPr>
            <w:tcW w:w="0" w:type="dxa"/>
            <w:vAlign w:val="bottom"/>
          </w:tcPr>
          <w:p>
            <w:pPr>
              <w:spacing w:after="0"/>
              <w:rPr>
                <w:sz w:val="1"/>
                <w:szCs w:val="1"/>
                <w:color w:val="auto"/>
              </w:rPr>
            </w:pPr>
          </w:p>
        </w:tc>
      </w:tr>
      <w:tr>
        <w:trPr>
          <w:trHeight w:val="169"/>
        </w:trPr>
        <w:tc>
          <w:tcPr>
            <w:tcW w:w="55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Stockholders' equity</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1,947,232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2,004,035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1,905,521</w:t>
            </w:r>
          </w:p>
        </w:tc>
        <w:tc>
          <w:tcPr>
            <w:tcW w:w="0" w:type="dxa"/>
            <w:vAlign w:val="bottom"/>
          </w:tcPr>
          <w:p>
            <w:pPr>
              <w:spacing w:after="0"/>
              <w:rPr>
                <w:sz w:val="1"/>
                <w:szCs w:val="1"/>
                <w:color w:val="auto"/>
              </w:rPr>
            </w:pPr>
          </w:p>
        </w:tc>
      </w:tr>
      <w:tr>
        <w:trPr>
          <w:trHeight w:val="174"/>
        </w:trPr>
        <w:tc>
          <w:tcPr>
            <w:tcW w:w="5580" w:type="dxa"/>
            <w:vAlign w:val="bottom"/>
          </w:tcPr>
          <w:p>
            <w:pPr>
              <w:ind w:left="300"/>
              <w:spacing w:after="0"/>
              <w:rPr>
                <w:sz w:val="20"/>
                <w:szCs w:val="20"/>
                <w:color w:val="auto"/>
              </w:rPr>
            </w:pPr>
            <w:r>
              <w:rPr>
                <w:rFonts w:ascii="Arial" w:cs="Arial" w:eastAsia="Arial" w:hAnsi="Arial"/>
                <w:sz w:val="12"/>
                <w:szCs w:val="12"/>
                <w:b w:val="1"/>
                <w:bCs w:val="1"/>
                <w:color w:val="auto"/>
              </w:rPr>
              <w:t>Total liabilities and stockholders' equity</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5,180,423</w:t>
            </w:r>
          </w:p>
        </w:tc>
        <w:tc>
          <w:tcPr>
            <w:tcW w:w="8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4,900,963</w:t>
            </w:r>
          </w:p>
        </w:tc>
        <w:tc>
          <w:tcPr>
            <w:tcW w:w="80" w:type="dxa"/>
            <w:vAlign w:val="bottom"/>
          </w:tcPr>
          <w:p>
            <w:pPr>
              <w:spacing w:after="0"/>
              <w:rPr>
                <w:sz w:val="15"/>
                <w:szCs w:val="15"/>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4,873,879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8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55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2"/>
          <w:szCs w:val="12"/>
          <w:b w:val="1"/>
          <w:bCs w:val="1"/>
          <w:color w:val="auto"/>
        </w:rPr>
        <w:t>(Unaudited)</w:t>
      </w: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2"/>
                <w:szCs w:val="12"/>
                <w:b w:val="1"/>
                <w:bCs w:val="1"/>
                <w:color w:val="auto"/>
              </w:rPr>
              <w:t>Thirteen Weeks Ended</w:t>
            </w:r>
          </w:p>
        </w:tc>
        <w:tc>
          <w:tcPr>
            <w:tcW w:w="560" w:type="dxa"/>
            <w:vAlign w:val="bottom"/>
            <w:tcBorders>
              <w:bottom w:val="single" w:sz="8" w:color="auto"/>
            </w:tcBorders>
          </w:tcPr>
          <w:p>
            <w:pPr>
              <w:spacing w:after="0"/>
              <w:rPr>
                <w:sz w:val="14"/>
                <w:szCs w:val="14"/>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3, 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May 4, 2024</w:t>
            </w:r>
          </w:p>
        </w:tc>
        <w:tc>
          <w:tcPr>
            <w:tcW w:w="560" w:type="dxa"/>
            <w:vAlign w:val="bottom"/>
            <w:tcBorders>
              <w:bottom w:val="single" w:sz="8" w:color="auto"/>
            </w:tcBorders>
          </w:tcPr>
          <w:p>
            <w:pPr>
              <w:spacing w:after="0"/>
              <w:rPr>
                <w:sz w:val="14"/>
                <w:szCs w:val="14"/>
                <w:color w:val="auto"/>
              </w:rPr>
            </w:pPr>
          </w:p>
        </w:tc>
      </w:tr>
      <w:tr>
        <w:trPr>
          <w:trHeight w:val="16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6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3840" w:type="dxa"/>
            <w:vAlign w:val="bottom"/>
            <w:gridSpan w:val="2"/>
          </w:tcPr>
          <w:p>
            <w:pPr>
              <w:jc w:val="right"/>
              <w:ind w:right="1100"/>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46,084</w:t>
            </w:r>
          </w:p>
        </w:tc>
        <w:tc>
          <w:tcPr>
            <w:tcW w:w="80" w:type="dxa"/>
            <w:vAlign w:val="bottom"/>
          </w:tcPr>
          <w:p>
            <w:pPr>
              <w:spacing w:after="0"/>
              <w:rPr>
                <w:sz w:val="15"/>
                <w:szCs w:val="15"/>
                <w:color w:val="auto"/>
              </w:rPr>
            </w:pPr>
          </w:p>
        </w:tc>
        <w:tc>
          <w:tcPr>
            <w:tcW w:w="1240" w:type="dxa"/>
            <w:vAlign w:val="bottom"/>
          </w:tcPr>
          <w:p>
            <w:pPr>
              <w:jc w:val="right"/>
              <w:ind w:right="110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76,465</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75"/>
        </w:trPr>
        <w:tc>
          <w:tcPr>
            <w:tcW w:w="502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30,150</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28,853</w:t>
            </w:r>
          </w:p>
        </w:tc>
      </w:tr>
      <w:tr>
        <w:trPr>
          <w:trHeight w:val="185"/>
        </w:trPr>
        <w:tc>
          <w:tcPr>
            <w:tcW w:w="5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Non-cash lease expense</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12,665</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6,137</w:t>
            </w:r>
          </w:p>
        </w:tc>
      </w:tr>
      <w:tr>
        <w:trPr>
          <w:trHeight w:val="175"/>
        </w:trPr>
        <w:tc>
          <w:tcPr>
            <w:tcW w:w="5020" w:type="dxa"/>
            <w:vAlign w:val="bottom"/>
          </w:tcPr>
          <w:p>
            <w:pPr>
              <w:ind w:left="320"/>
              <w:spacing w:after="0"/>
              <w:rPr>
                <w:sz w:val="20"/>
                <w:szCs w:val="20"/>
                <w:color w:val="auto"/>
              </w:rPr>
            </w:pPr>
            <w:r>
              <w:rPr>
                <w:rFonts w:ascii="Arial" w:cs="Arial" w:eastAsia="Arial" w:hAnsi="Arial"/>
                <w:sz w:val="12"/>
                <w:szCs w:val="12"/>
                <w:color w:val="auto"/>
              </w:rPr>
              <w:t>Equity compensation</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7,542</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6,138</w:t>
            </w:r>
          </w:p>
        </w:tc>
      </w:tr>
      <w:tr>
        <w:trPr>
          <w:trHeight w:val="185"/>
        </w:trPr>
        <w:tc>
          <w:tcPr>
            <w:tcW w:w="5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of deferred loan and other costs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649</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w:t>
            </w:r>
          </w:p>
        </w:tc>
      </w:tr>
      <w:tr>
        <w:trPr>
          <w:trHeight w:val="175"/>
        </w:trPr>
        <w:tc>
          <w:tcPr>
            <w:tcW w:w="5020" w:type="dxa"/>
            <w:vAlign w:val="bottom"/>
          </w:tcPr>
          <w:p>
            <w:pPr>
              <w:ind w:left="320"/>
              <w:spacing w:after="0"/>
              <w:rPr>
                <w:sz w:val="20"/>
                <w:szCs w:val="20"/>
                <w:color w:val="auto"/>
              </w:rPr>
            </w:pPr>
            <w:r>
              <w:rPr>
                <w:rFonts w:ascii="Arial" w:cs="Arial" w:eastAsia="Arial" w:hAnsi="Arial"/>
                <w:sz w:val="12"/>
                <w:szCs w:val="12"/>
                <w:color w:val="auto"/>
              </w:rPr>
              <w:t>Deferred income taxes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(903)</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(1,726)</w:t>
            </w:r>
          </w:p>
        </w:tc>
      </w:tr>
      <w:tr>
        <w:trPr>
          <w:trHeight w:val="185"/>
        </w:trPr>
        <w:tc>
          <w:tcPr>
            <w:tcW w:w="5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Write off of deferred loan costs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w:t>
            </w:r>
          </w:p>
        </w:tc>
      </w:tr>
      <w:tr>
        <w:trPr>
          <w:trHeight w:val="172"/>
        </w:trPr>
        <w:tc>
          <w:tcPr>
            <w:tcW w:w="5020" w:type="dxa"/>
            <w:vAlign w:val="bottom"/>
          </w:tcPr>
          <w:p>
            <w:pPr>
              <w:ind w:left="320"/>
              <w:spacing w:after="0"/>
              <w:rPr>
                <w:sz w:val="20"/>
                <w:szCs w:val="20"/>
                <w:color w:val="auto"/>
              </w:rPr>
            </w:pPr>
            <w:r>
              <w:rPr>
                <w:rFonts w:ascii="Arial" w:cs="Arial" w:eastAsia="Arial" w:hAnsi="Arial"/>
                <w:sz w:val="12"/>
                <w:szCs w:val="12"/>
                <w:color w:val="auto"/>
              </w:rPr>
              <w:t>Changes in assets and liabilities:</w:t>
            </w:r>
          </w:p>
        </w:tc>
        <w:tc>
          <w:tcPr>
            <w:tcW w:w="2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8"/>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Accounts receivable, net</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(110)</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5,671</w:t>
            </w:r>
          </w:p>
        </w:tc>
      </w:tr>
      <w:tr>
        <w:trPr>
          <w:trHeight w:val="175"/>
        </w:trPr>
        <w:tc>
          <w:tcPr>
            <w:tcW w:w="5020" w:type="dxa"/>
            <w:vAlign w:val="bottom"/>
          </w:tcPr>
          <w:p>
            <w:pPr>
              <w:ind w:left="460"/>
              <w:spacing w:after="0"/>
              <w:rPr>
                <w:sz w:val="20"/>
                <w:szCs w:val="20"/>
                <w:color w:val="auto"/>
              </w:rPr>
            </w:pPr>
            <w:r>
              <w:rPr>
                <w:rFonts w:ascii="Arial" w:cs="Arial" w:eastAsia="Arial" w:hAnsi="Arial"/>
                <w:sz w:val="12"/>
                <w:szCs w:val="12"/>
                <w:color w:val="auto"/>
              </w:rPr>
              <w:t>Merchandise inventories, net</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97"/>
              </w:rPr>
              <w:t>(251,195)</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(162,652)</w:t>
            </w:r>
          </w:p>
        </w:tc>
      </w:tr>
      <w:tr>
        <w:trPr>
          <w:trHeight w:val="185"/>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Prepaid expenses and other current assets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35,863</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15,129</w:t>
            </w:r>
          </w:p>
        </w:tc>
      </w:tr>
      <w:tr>
        <w:trPr>
          <w:trHeight w:val="175"/>
        </w:trPr>
        <w:tc>
          <w:tcPr>
            <w:tcW w:w="5020" w:type="dxa"/>
            <w:vAlign w:val="bottom"/>
          </w:tcPr>
          <w:p>
            <w:pPr>
              <w:ind w:left="460"/>
              <w:spacing w:after="0"/>
              <w:rPr>
                <w:sz w:val="20"/>
                <w:szCs w:val="20"/>
                <w:color w:val="auto"/>
              </w:rPr>
            </w:pPr>
            <w:r>
              <w:rPr>
                <w:rFonts w:ascii="Arial" w:cs="Arial" w:eastAsia="Arial" w:hAnsi="Arial"/>
                <w:sz w:val="12"/>
                <w:szCs w:val="12"/>
                <w:color w:val="auto"/>
              </w:rPr>
              <w:t>Other noncurrent assets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(4,566)</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(3,392)</w:t>
            </w:r>
          </w:p>
        </w:tc>
      </w:tr>
      <w:tr>
        <w:trPr>
          <w:trHeight w:val="185"/>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Accounts payable</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231,762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186,475</w:t>
            </w:r>
          </w:p>
        </w:tc>
      </w:tr>
      <w:tr>
        <w:trPr>
          <w:trHeight w:val="175"/>
        </w:trPr>
        <w:tc>
          <w:tcPr>
            <w:tcW w:w="5020" w:type="dxa"/>
            <w:vAlign w:val="bottom"/>
          </w:tcPr>
          <w:p>
            <w:pPr>
              <w:ind w:left="460"/>
              <w:spacing w:after="0"/>
              <w:rPr>
                <w:sz w:val="20"/>
                <w:szCs w:val="20"/>
                <w:color w:val="auto"/>
              </w:rPr>
            </w:pPr>
            <w:r>
              <w:rPr>
                <w:rFonts w:ascii="Arial" w:cs="Arial" w:eastAsia="Arial" w:hAnsi="Arial"/>
                <w:sz w:val="12"/>
                <w:szCs w:val="12"/>
                <w:color w:val="auto"/>
              </w:rPr>
              <w:t>Accrued expenses and other current liabilities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24,848</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20,819</w:t>
            </w:r>
          </w:p>
        </w:tc>
      </w:tr>
      <w:tr>
        <w:trPr>
          <w:trHeight w:val="185"/>
        </w:trPr>
        <w:tc>
          <w:tcPr>
            <w:tcW w:w="5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Income taxes payable</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16,322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21,922</w:t>
            </w:r>
          </w:p>
        </w:tc>
      </w:tr>
      <w:tr>
        <w:trPr>
          <w:trHeight w:val="175"/>
        </w:trPr>
        <w:tc>
          <w:tcPr>
            <w:tcW w:w="502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Other long-term liabilities</w:t>
            </w:r>
          </w:p>
        </w:tc>
        <w:tc>
          <w:tcPr>
            <w:tcW w:w="2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8,361</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(1,235)</w:t>
            </w:r>
          </w:p>
        </w:tc>
      </w:tr>
      <w:tr>
        <w:trPr>
          <w:trHeight w:val="169"/>
        </w:trPr>
        <w:tc>
          <w:tcPr>
            <w:tcW w:w="50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Net cash provided by operating activities</w:t>
            </w:r>
          </w:p>
        </w:tc>
        <w:tc>
          <w:tcPr>
            <w:tcW w:w="26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157,472</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199,677</w:t>
            </w:r>
          </w:p>
        </w:tc>
      </w:tr>
      <w:tr>
        <w:trPr>
          <w:trHeight w:val="156"/>
        </w:trPr>
        <w:tc>
          <w:tcPr>
            <w:tcW w:w="5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6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Capital expenditures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(50,830)</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(32,227)</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Purchases of intangible assets</w:t>
            </w:r>
          </w:p>
        </w:tc>
        <w:tc>
          <w:tcPr>
            <w:tcW w:w="26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(158)</w:t>
            </w:r>
          </w:p>
        </w:tc>
        <w:tc>
          <w:tcPr>
            <w:tcW w:w="8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w:t>
            </w:r>
          </w:p>
        </w:tc>
      </w:tr>
      <w:tr>
        <w:trPr>
          <w:trHeight w:val="164"/>
        </w:trPr>
        <w:tc>
          <w:tcPr>
            <w:tcW w:w="5020" w:type="dxa"/>
            <w:vAlign w:val="bottom"/>
            <w:tcBorders>
              <w:bottom w:val="single" w:sz="8" w:color="CCEEFF"/>
            </w:tcBorders>
          </w:tcPr>
          <w:p>
            <w:pPr>
              <w:ind w:left="600"/>
              <w:spacing w:after="0"/>
              <w:rPr>
                <w:sz w:val="20"/>
                <w:szCs w:val="20"/>
                <w:color w:val="auto"/>
              </w:rPr>
            </w:pPr>
            <w:r>
              <w:rPr>
                <w:rFonts w:ascii="Arial" w:cs="Arial" w:eastAsia="Arial" w:hAnsi="Arial"/>
                <w:sz w:val="12"/>
                <w:szCs w:val="12"/>
                <w:color w:val="auto"/>
              </w:rPr>
              <w:t>Net cash used in investing activities</w:t>
            </w:r>
          </w:p>
        </w:tc>
        <w:tc>
          <w:tcPr>
            <w:tcW w:w="26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(50,988)</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(32,355)</w:t>
            </w:r>
          </w:p>
        </w:tc>
      </w:tr>
      <w:tr>
        <w:trPr>
          <w:trHeight w:val="156"/>
        </w:trPr>
        <w:tc>
          <w:tcPr>
            <w:tcW w:w="50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5"/>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Revolving Credit Facilities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3,900</w:t>
            </w: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Repayment of Revolving Credit Facilities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(3,900)</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Repayment of Term Loan</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(750)</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Debt issuance fees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(5,690)</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 common stock for retirement</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(99,031)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(122,425)</w:t>
            </w:r>
          </w:p>
        </w:tc>
      </w:tr>
      <w:tr>
        <w:trPr>
          <w:trHeight w:val="175"/>
        </w:trPr>
        <w:tc>
          <w:tcPr>
            <w:tcW w:w="5020" w:type="dxa"/>
            <w:vAlign w:val="bottom"/>
          </w:tcPr>
          <w:p>
            <w:pPr>
              <w:ind w:left="160"/>
              <w:spacing w:after="0"/>
              <w:rPr>
                <w:sz w:val="20"/>
                <w:szCs w:val="20"/>
                <w:color w:val="auto"/>
              </w:rPr>
            </w:pPr>
            <w:r>
              <w:rPr>
                <w:rFonts w:ascii="Arial" w:cs="Arial" w:eastAsia="Arial" w:hAnsi="Arial"/>
                <w:sz w:val="12"/>
                <w:szCs w:val="12"/>
                <w:color w:val="auto"/>
              </w:rPr>
              <w:t>Proceeds from exercise of stock options</w:t>
            </w:r>
          </w:p>
        </w:tc>
        <w:tc>
          <w:tcPr>
            <w:tcW w:w="2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1,516</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2,789</w:t>
            </w:r>
          </w:p>
        </w:tc>
      </w:tr>
      <w:tr>
        <w:trPr>
          <w:trHeight w:val="185"/>
        </w:trPr>
        <w:tc>
          <w:tcPr>
            <w:tcW w:w="5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Taxes paid related to net share settlement of equity awards</w:t>
            </w:r>
          </w:p>
        </w:tc>
        <w:tc>
          <w:tcPr>
            <w:tcW w:w="2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(3,328)</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(2,839)</w:t>
            </w:r>
          </w:p>
        </w:tc>
      </w:tr>
      <w:tr>
        <w:trPr>
          <w:trHeight w:val="175"/>
        </w:trPr>
        <w:tc>
          <w:tcPr>
            <w:tcW w:w="50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Dividends paid</w:t>
            </w:r>
          </w:p>
        </w:tc>
        <w:tc>
          <w:tcPr>
            <w:tcW w:w="2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(8,716)</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(8,182)</w:t>
            </w:r>
          </w:p>
        </w:tc>
      </w:tr>
      <w:tr>
        <w:trPr>
          <w:trHeight w:val="169"/>
        </w:trPr>
        <w:tc>
          <w:tcPr>
            <w:tcW w:w="50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Net cash used in financing activities</w:t>
            </w:r>
          </w:p>
        </w:tc>
        <w:tc>
          <w:tcPr>
            <w:tcW w:w="26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(110,309)</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(137,097)</w:t>
            </w:r>
          </w:p>
        </w:tc>
      </w:tr>
      <w:tr>
        <w:trPr>
          <w:trHeight w:val="156"/>
        </w:trPr>
        <w:tc>
          <w:tcPr>
            <w:tcW w:w="5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26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(3,825)</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30,225</w:t>
            </w:r>
          </w:p>
        </w:tc>
      </w:tr>
      <w:tr>
        <w:trPr>
          <w:trHeight w:val="17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2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288,929</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347,920</w:t>
            </w:r>
          </w:p>
        </w:tc>
      </w:tr>
      <w:tr>
        <w:trPr>
          <w:trHeight w:val="194"/>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AT END OF PERIOD</w:t>
            </w:r>
          </w:p>
        </w:tc>
        <w:tc>
          <w:tcPr>
            <w:tcW w:w="3840" w:type="dxa"/>
            <w:vAlign w:val="bottom"/>
            <w:gridSpan w:val="2"/>
            <w:shd w:val="clear" w:color="auto" w:fill="CCEEFF"/>
          </w:tcPr>
          <w:p>
            <w:pPr>
              <w:jc w:val="right"/>
              <w:ind w:right="1100"/>
              <w:spacing w:after="0"/>
              <w:rPr>
                <w:sz w:val="20"/>
                <w:szCs w:val="20"/>
                <w:color w:val="auto"/>
              </w:rPr>
            </w:pPr>
            <w:r>
              <w:rPr>
                <w:rFonts w:ascii="Arial" w:cs="Arial" w:eastAsia="Arial" w:hAnsi="Arial"/>
                <w:sz w:val="12"/>
                <w:szCs w:val="12"/>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285,104</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378,145</w:t>
            </w:r>
          </w:p>
        </w:tc>
      </w:tr>
      <w:tr>
        <w:trPr>
          <w:trHeight w:val="485"/>
        </w:trPr>
        <w:tc>
          <w:tcPr>
            <w:tcW w:w="5020" w:type="dxa"/>
            <w:vAlign w:val="bottom"/>
            <w:tcBorders>
              <w:top w:val="single" w:sz="8" w:color="CCEEFF"/>
            </w:tcBorders>
          </w:tcPr>
          <w:p>
            <w:pPr>
              <w:spacing w:after="0"/>
              <w:rPr>
                <w:sz w:val="24"/>
                <w:szCs w:val="24"/>
                <w:color w:val="auto"/>
              </w:rPr>
            </w:pPr>
          </w:p>
        </w:tc>
        <w:tc>
          <w:tcPr>
            <w:tcW w:w="2600" w:type="dxa"/>
            <w:vAlign w:val="bottom"/>
            <w:tcBorders>
              <w:top w:val="single" w:sz="8" w:color="CCEEFF"/>
            </w:tcBorders>
          </w:tcPr>
          <w:p>
            <w:pPr>
              <w:jc w:val="right"/>
              <w:ind w:right="1884"/>
              <w:spacing w:after="0"/>
              <w:rPr>
                <w:sz w:val="20"/>
                <w:szCs w:val="20"/>
                <w:color w:val="auto"/>
              </w:rPr>
            </w:pPr>
            <w:r>
              <w:rPr>
                <w:rFonts w:ascii="Arial" w:cs="Arial" w:eastAsia="Arial" w:hAnsi="Arial"/>
                <w:sz w:val="10"/>
                <w:szCs w:val="10"/>
                <w:color w:val="auto"/>
              </w:rPr>
              <w:t>7</w:t>
            </w:r>
          </w:p>
        </w:tc>
        <w:tc>
          <w:tcPr>
            <w:tcW w:w="1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-4796155</wp:posOffset>
            </wp:positionV>
            <wp:extent cx="457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RECONCILIATIONS OF GAAP TO NON-GAAP FINANCIAL MEASURES</w:t>
      </w:r>
    </w:p>
    <w:p>
      <w:pPr>
        <w:jc w:val="center"/>
        <w:spacing w:after="0" w:line="234" w:lineRule="auto"/>
        <w:rPr>
          <w:sz w:val="20"/>
          <w:szCs w:val="20"/>
          <w:color w:val="auto"/>
        </w:rPr>
      </w:pPr>
      <w:r>
        <w:rPr>
          <w:rFonts w:ascii="Arial" w:cs="Arial" w:eastAsia="Arial" w:hAnsi="Arial"/>
          <w:sz w:val="12"/>
          <w:szCs w:val="12"/>
          <w:b w:val="1"/>
          <w:bCs w:val="1"/>
          <w:color w:val="auto"/>
        </w:rPr>
        <w:t>(Unaudited)</w:t>
      </w: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EBITDA and Adjusted EBIT</w:t>
      </w:r>
    </w:p>
    <w:p>
      <w:pPr>
        <w:spacing w:after="0" w:line="44"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We define “Adjusted EBITDA” as net income (loss) before interest expense, net, income tax expense and depreciation, and amortization, and impairment, and other adjustments included in the table below. We define “Adjusted EBIT” as Adjusted EBITDA less depreciation and amortization. We describe these adjustments reconciling net income (loss) to Adjusted EBITDA and Adjusted EBIT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880" w:type="dxa"/>
            <w:vAlign w:val="bottom"/>
          </w:tcPr>
          <w:p>
            <w:pPr>
              <w:spacing w:after="0"/>
              <w:rPr>
                <w:sz w:val="13"/>
                <w:szCs w:val="13"/>
                <w:color w:val="auto"/>
              </w:rPr>
            </w:pPr>
          </w:p>
        </w:tc>
        <w:tc>
          <w:tcPr>
            <w:tcW w:w="29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Thirteen Weeks Ended</w:t>
            </w:r>
          </w:p>
        </w:tc>
        <w:tc>
          <w:tcPr>
            <w:tcW w:w="480" w:type="dxa"/>
            <w:vAlign w:val="bottom"/>
            <w:tcBorders>
              <w:bottom w:val="single" w:sz="8" w:color="auto"/>
            </w:tcBorders>
          </w:tcPr>
          <w:p>
            <w:pPr>
              <w:spacing w:after="0"/>
              <w:rPr>
                <w:sz w:val="13"/>
                <w:szCs w:val="13"/>
                <w:color w:val="auto"/>
              </w:rPr>
            </w:pPr>
          </w:p>
        </w:tc>
      </w:tr>
      <w:tr>
        <w:trPr>
          <w:trHeight w:val="151"/>
        </w:trPr>
        <w:tc>
          <w:tcPr>
            <w:tcW w:w="78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May 3, 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May 4, 2024</w:t>
            </w:r>
          </w:p>
        </w:tc>
        <w:tc>
          <w:tcPr>
            <w:tcW w:w="480" w:type="dxa"/>
            <w:vAlign w:val="bottom"/>
            <w:tcBorders>
              <w:bottom w:val="single" w:sz="8" w:color="auto"/>
            </w:tcBorders>
          </w:tcPr>
          <w:p>
            <w:pPr>
              <w:spacing w:after="0"/>
              <w:rPr>
                <w:sz w:val="13"/>
                <w:szCs w:val="13"/>
                <w:color w:val="auto"/>
              </w:rPr>
            </w:pPr>
          </w:p>
        </w:tc>
      </w:tr>
      <w:tr>
        <w:trPr>
          <w:trHeight w:val="153"/>
        </w:trPr>
        <w:tc>
          <w:tcPr>
            <w:tcW w:w="788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1200" w:type="dxa"/>
            <w:vAlign w:val="bottom"/>
            <w:shd w:val="clear" w:color="auto" w:fill="CCEEFF"/>
          </w:tcPr>
          <w:p>
            <w:pPr>
              <w:jc w:val="right"/>
              <w:ind w:right="1066"/>
              <w:spacing w:after="0"/>
              <w:rPr>
                <w:sz w:val="20"/>
                <w:szCs w:val="20"/>
                <w:color w:val="auto"/>
              </w:rPr>
            </w:pPr>
            <w:r>
              <w:rPr>
                <w:rFonts w:ascii="Arial" w:cs="Arial" w:eastAsia="Arial" w:hAnsi="Arial"/>
                <w:sz w:val="11"/>
                <w:szCs w:val="11"/>
                <w:b w:val="1"/>
                <w:bCs w:val="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46,084</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76,465</w:t>
            </w:r>
          </w:p>
        </w:tc>
      </w:tr>
      <w:tr>
        <w:trPr>
          <w:trHeight w:val="160"/>
        </w:trPr>
        <w:tc>
          <w:tcPr>
            <w:tcW w:w="7880" w:type="dxa"/>
            <w:vAlign w:val="bottom"/>
          </w:tcPr>
          <w:p>
            <w:pPr>
              <w:spacing w:after="0"/>
              <w:rPr>
                <w:sz w:val="20"/>
                <w:szCs w:val="20"/>
                <w:color w:val="auto"/>
              </w:rPr>
            </w:pPr>
            <w:r>
              <w:rPr>
                <w:rFonts w:ascii="Arial" w:cs="Arial" w:eastAsia="Arial" w:hAnsi="Arial"/>
                <w:sz w:val="11"/>
                <w:szCs w:val="11"/>
                <w:color w:val="auto"/>
              </w:rPr>
              <w:t>Interest expense, net</w:t>
            </w: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9,044</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9,486</w:t>
            </w:r>
          </w:p>
        </w:tc>
      </w:tr>
      <w:tr>
        <w:trPr>
          <w:trHeight w:val="164"/>
        </w:trPr>
        <w:tc>
          <w:tcPr>
            <w:tcW w:w="78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16,944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21,187</w:t>
            </w:r>
          </w:p>
        </w:tc>
      </w:tr>
      <w:tr>
        <w:trPr>
          <w:trHeight w:val="159"/>
        </w:trPr>
        <w:tc>
          <w:tcPr>
            <w:tcW w:w="7880" w:type="dxa"/>
            <w:vAlign w:val="bottom"/>
          </w:tcPr>
          <w:p>
            <w:pPr>
              <w:spacing w:after="0"/>
              <w:rPr>
                <w:sz w:val="20"/>
                <w:szCs w:val="20"/>
                <w:color w:val="auto"/>
              </w:rPr>
            </w:pPr>
            <w:r>
              <w:rPr>
                <w:rFonts w:ascii="Arial" w:cs="Arial" w:eastAsia="Arial" w:hAnsi="Arial"/>
                <w:sz w:val="11"/>
                <w:szCs w:val="11"/>
                <w:color w:val="auto"/>
              </w:rPr>
              <w:t>Depreciation and amortization</w:t>
            </w: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30,150</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28,853</w:t>
            </w:r>
          </w:p>
        </w:tc>
      </w:tr>
      <w:tr>
        <w:trPr>
          <w:trHeight w:val="165"/>
        </w:trPr>
        <w:tc>
          <w:tcPr>
            <w:tcW w:w="7880" w:type="dxa"/>
            <w:vAlign w:val="bottom"/>
            <w:shd w:val="clear" w:color="auto" w:fill="CCEEFF"/>
          </w:tcPr>
          <w:p>
            <w:pPr>
              <w:spacing w:after="0"/>
              <w:rPr>
                <w:sz w:val="20"/>
                <w:szCs w:val="20"/>
                <w:color w:val="auto"/>
              </w:rPr>
            </w:pPr>
            <w:r>
              <w:rPr>
                <w:rFonts w:ascii="Arial" w:cs="Arial" w:eastAsia="Arial" w:hAnsi="Arial"/>
                <w:sz w:val="11"/>
                <w:szCs w:val="11"/>
                <w:color w:val="auto"/>
              </w:rPr>
              <w:t>Equity compensation (a)</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7,542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6,138</w:t>
            </w:r>
          </w:p>
        </w:tc>
      </w:tr>
      <w:tr>
        <w:trPr>
          <w:trHeight w:val="159"/>
        </w:trPr>
        <w:tc>
          <w:tcPr>
            <w:tcW w:w="7880" w:type="dxa"/>
            <w:vAlign w:val="bottom"/>
          </w:tcPr>
          <w:p>
            <w:pPr>
              <w:spacing w:after="0"/>
              <w:rPr>
                <w:sz w:val="20"/>
                <w:szCs w:val="20"/>
                <w:color w:val="auto"/>
              </w:rPr>
            </w:pPr>
            <w:r>
              <w:rPr>
                <w:rFonts w:ascii="Arial" w:cs="Arial" w:eastAsia="Arial" w:hAnsi="Arial"/>
                <w:sz w:val="11"/>
                <w:szCs w:val="11"/>
                <w:color w:val="auto"/>
              </w:rPr>
              <w:t>Write off of deferred loan costs</w:t>
            </w:r>
          </w:p>
        </w:tc>
        <w:tc>
          <w:tcPr>
            <w:tcW w:w="12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18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449</w:t>
            </w:r>
          </w:p>
        </w:tc>
      </w:tr>
      <w:tr>
        <w:trPr>
          <w:trHeight w:val="151"/>
        </w:trPr>
        <w:tc>
          <w:tcPr>
            <w:tcW w:w="78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Adjusted EBITDA</w:t>
            </w:r>
          </w:p>
        </w:tc>
        <w:tc>
          <w:tcPr>
            <w:tcW w:w="1200" w:type="dxa"/>
            <w:vAlign w:val="bottom"/>
            <w:tcBorders>
              <w:top w:val="single" w:sz="8" w:color="auto"/>
              <w:bottom w:val="single" w:sz="8" w:color="auto"/>
            </w:tcBorders>
            <w:shd w:val="clear" w:color="auto" w:fill="CCEEFF"/>
          </w:tcPr>
          <w:p>
            <w:pPr>
              <w:jc w:val="right"/>
              <w:ind w:right="106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109,764</w:t>
            </w: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142,578</w:t>
            </w:r>
          </w:p>
        </w:tc>
      </w:tr>
      <w:tr>
        <w:trPr>
          <w:trHeight w:val="151"/>
        </w:trPr>
        <w:tc>
          <w:tcPr>
            <w:tcW w:w="78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Less: Depreciation and amortization</w:t>
            </w:r>
          </w:p>
        </w:tc>
        <w:tc>
          <w:tcPr>
            <w:tcW w:w="1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(30,150)</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(28,853)</w:t>
            </w:r>
          </w:p>
        </w:tc>
      </w:tr>
      <w:tr>
        <w:trPr>
          <w:trHeight w:val="170"/>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Adjusted EBIT</w:t>
            </w:r>
          </w:p>
        </w:tc>
        <w:tc>
          <w:tcPr>
            <w:tcW w:w="1200" w:type="dxa"/>
            <w:vAlign w:val="bottom"/>
            <w:tcBorders>
              <w:bottom w:val="single" w:sz="8" w:color="auto"/>
            </w:tcBorders>
            <w:shd w:val="clear" w:color="auto" w:fill="CCEEFF"/>
          </w:tcPr>
          <w:p>
            <w:pPr>
              <w:jc w:val="right"/>
              <w:ind w:right="106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79,614</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113,725</w:t>
            </w:r>
          </w:p>
        </w:tc>
      </w:tr>
    </w:tbl>
    <w:p>
      <w:pPr>
        <w:spacing w:after="0" w:line="87" w:lineRule="exact"/>
        <w:rPr>
          <w:sz w:val="20"/>
          <w:szCs w:val="20"/>
          <w:color w:val="auto"/>
        </w:rPr>
      </w:pPr>
    </w:p>
    <w:p>
      <w:pPr>
        <w:ind w:left="380" w:hanging="376"/>
        <w:spacing w:after="0"/>
        <w:tabs>
          <w:tab w:leader="none" w:pos="380" w:val="left"/>
        </w:tabs>
        <w:numPr>
          <w:ilvl w:val="0"/>
          <w:numId w:val="7"/>
        </w:numPr>
        <w:rPr>
          <w:rFonts w:ascii="Arial" w:cs="Arial" w:eastAsia="Arial" w:hAnsi="Arial"/>
          <w:sz w:val="8"/>
          <w:szCs w:val="8"/>
          <w:color w:val="auto"/>
        </w:rPr>
      </w:pPr>
      <w:r>
        <w:rPr>
          <w:rFonts w:ascii="Arial" w:cs="Arial" w:eastAsia="Arial" w:hAnsi="Arial"/>
          <w:sz w:val="8"/>
          <w:szCs w:val="8"/>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200" w:lineRule="exact"/>
        <w:rPr>
          <w:rFonts w:ascii="Arial" w:cs="Arial" w:eastAsia="Arial" w:hAnsi="Arial"/>
          <w:sz w:val="8"/>
          <w:szCs w:val="8"/>
          <w:color w:val="auto"/>
        </w:rPr>
      </w:pPr>
    </w:p>
    <w:p>
      <w:pPr>
        <w:spacing w:after="0" w:line="390" w:lineRule="exact"/>
        <w:rPr>
          <w:rFonts w:ascii="Arial" w:cs="Arial" w:eastAsia="Arial" w:hAnsi="Arial"/>
          <w:sz w:val="8"/>
          <w:szCs w:val="8"/>
          <w:color w:val="auto"/>
        </w:rPr>
      </w:pPr>
    </w:p>
    <w:p>
      <w:pPr>
        <w:ind w:left="5620"/>
        <w:spacing w:after="0"/>
        <w:rPr>
          <w:rFonts w:ascii="Arial" w:cs="Arial" w:eastAsia="Arial" w:hAnsi="Arial"/>
          <w:sz w:val="8"/>
          <w:szCs w:val="8"/>
          <w:color w:val="auto"/>
        </w:rPr>
      </w:pPr>
      <w:r>
        <w:rPr>
          <w:rFonts w:ascii="Arial" w:cs="Arial" w:eastAsia="Arial" w:hAnsi="Arial"/>
          <w:sz w:val="10"/>
          <w:szCs w:val="10"/>
          <w:color w:val="auto"/>
        </w:rPr>
        <w:t>8</w:t>
      </w:r>
    </w:p>
    <w:p>
      <w:pPr>
        <w:sectPr>
          <w:pgSz w:w="11900" w:h="16838" w:orient="portrait"/>
          <w:cols w:equalWidth="0" w:num="1">
            <w:col w:w="11300"/>
          </w:cols>
          <w:pgMar w:left="300" w:top="71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880" w:type="dxa"/>
            <w:vAlign w:val="bottom"/>
          </w:tcPr>
          <w:p>
            <w:pPr>
              <w:spacing w:after="0"/>
              <w:rPr>
                <w:sz w:val="13"/>
                <w:szCs w:val="13"/>
                <w:color w:val="auto"/>
              </w:rPr>
            </w:pPr>
          </w:p>
        </w:tc>
        <w:tc>
          <w:tcPr>
            <w:tcW w:w="2960" w:type="dxa"/>
            <w:vAlign w:val="bottom"/>
            <w:tcBorders>
              <w:bottom w:val="single" w:sz="8" w:color="auto"/>
            </w:tcBorders>
            <w:gridSpan w:val="4"/>
          </w:tcPr>
          <w:p>
            <w:pPr>
              <w:jc w:val="right"/>
              <w:ind w:right="626"/>
              <w:spacing w:after="0"/>
              <w:rPr>
                <w:sz w:val="20"/>
                <w:szCs w:val="20"/>
                <w:color w:val="auto"/>
              </w:rPr>
            </w:pPr>
            <w:r>
              <w:rPr>
                <w:rFonts w:ascii="Arial" w:cs="Arial" w:eastAsia="Arial" w:hAnsi="Arial"/>
                <w:sz w:val="11"/>
                <w:szCs w:val="11"/>
                <w:b w:val="1"/>
                <w:bCs w:val="1"/>
                <w:color w:val="auto"/>
              </w:rPr>
              <w:t>Thirteen Weeks Ended</w:t>
            </w:r>
          </w:p>
        </w:tc>
        <w:tc>
          <w:tcPr>
            <w:tcW w:w="460" w:type="dxa"/>
            <w:vAlign w:val="bottom"/>
            <w:tcBorders>
              <w:bottom w:val="single" w:sz="8" w:color="auto"/>
            </w:tcBorders>
          </w:tcPr>
          <w:p>
            <w:pPr>
              <w:spacing w:after="0"/>
              <w:rPr>
                <w:sz w:val="13"/>
                <w:szCs w:val="13"/>
                <w:color w:val="auto"/>
              </w:rPr>
            </w:pPr>
          </w:p>
        </w:tc>
      </w:tr>
      <w:tr>
        <w:trPr>
          <w:trHeight w:val="151"/>
        </w:trPr>
        <w:tc>
          <w:tcPr>
            <w:tcW w:w="78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May 3, 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May 4, 2024</w:t>
            </w:r>
          </w:p>
        </w:tc>
        <w:tc>
          <w:tcPr>
            <w:tcW w:w="460" w:type="dxa"/>
            <w:vAlign w:val="bottom"/>
            <w:tcBorders>
              <w:bottom w:val="single" w:sz="8" w:color="auto"/>
            </w:tcBorders>
          </w:tcPr>
          <w:p>
            <w:pPr>
              <w:spacing w:after="0"/>
              <w:rPr>
                <w:sz w:val="13"/>
                <w:szCs w:val="13"/>
                <w:color w:val="auto"/>
              </w:rPr>
            </w:pPr>
          </w:p>
        </w:tc>
      </w:tr>
      <w:tr>
        <w:trPr>
          <w:trHeight w:val="153"/>
        </w:trPr>
        <w:tc>
          <w:tcPr>
            <w:tcW w:w="788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1220" w:type="dxa"/>
            <w:vAlign w:val="bottom"/>
            <w:shd w:val="clear" w:color="auto" w:fill="CCEEFF"/>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46,084</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76,465</w:t>
            </w:r>
          </w:p>
        </w:tc>
      </w:tr>
      <w:tr>
        <w:trPr>
          <w:trHeight w:val="159"/>
        </w:trPr>
        <w:tc>
          <w:tcPr>
            <w:tcW w:w="7880" w:type="dxa"/>
            <w:vAlign w:val="bottom"/>
          </w:tcPr>
          <w:p>
            <w:pPr>
              <w:spacing w:after="0"/>
              <w:rPr>
                <w:sz w:val="20"/>
                <w:szCs w:val="20"/>
                <w:color w:val="auto"/>
              </w:rPr>
            </w:pPr>
            <w:r>
              <w:rPr>
                <w:rFonts w:ascii="Arial" w:cs="Arial" w:eastAsia="Arial" w:hAnsi="Arial"/>
                <w:sz w:val="11"/>
                <w:szCs w:val="11"/>
                <w:color w:val="auto"/>
              </w:rPr>
              <w:t>Equity compensation (a)</w:t>
            </w: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7,542</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6,138</w:t>
            </w:r>
          </w:p>
        </w:tc>
      </w:tr>
      <w:tr>
        <w:trPr>
          <w:trHeight w:val="165"/>
        </w:trPr>
        <w:tc>
          <w:tcPr>
            <w:tcW w:w="7880" w:type="dxa"/>
            <w:vAlign w:val="bottom"/>
            <w:shd w:val="clear" w:color="auto" w:fill="CCEEFF"/>
          </w:tcPr>
          <w:p>
            <w:pPr>
              <w:spacing w:after="0"/>
              <w:rPr>
                <w:sz w:val="20"/>
                <w:szCs w:val="20"/>
                <w:color w:val="auto"/>
              </w:rPr>
            </w:pPr>
            <w:r>
              <w:rPr>
                <w:rFonts w:ascii="Arial" w:cs="Arial" w:eastAsia="Arial" w:hAnsi="Arial"/>
                <w:sz w:val="11"/>
                <w:szCs w:val="11"/>
                <w:color w:val="auto"/>
              </w:rPr>
              <w:t>Write off of deferred loan costs</w:t>
            </w:r>
          </w:p>
        </w:tc>
        <w:tc>
          <w:tcPr>
            <w:tcW w:w="12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449</w:t>
            </w:r>
          </w:p>
        </w:tc>
      </w:tr>
      <w:tr>
        <w:trPr>
          <w:trHeight w:val="159"/>
        </w:trPr>
        <w:tc>
          <w:tcPr>
            <w:tcW w:w="78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Tax effects of these adjustments (b)</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(2,029)</w:t>
            </w: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(1,432)</w:t>
            </w:r>
          </w:p>
        </w:tc>
      </w:tr>
      <w:tr>
        <w:trPr>
          <w:trHeight w:val="153"/>
        </w:trPr>
        <w:tc>
          <w:tcPr>
            <w:tcW w:w="78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Adjusted Net Income</w:t>
            </w:r>
          </w:p>
        </w:tc>
        <w:tc>
          <w:tcPr>
            <w:tcW w:w="1220" w:type="dxa"/>
            <w:vAlign w:val="bottom"/>
            <w:shd w:val="clear" w:color="auto" w:fill="CCEEFF"/>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51,597</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81,620</w:t>
            </w:r>
          </w:p>
        </w:tc>
      </w:tr>
      <w:tr>
        <w:trPr>
          <w:trHeight w:val="99"/>
        </w:trPr>
        <w:tc>
          <w:tcPr>
            <w:tcW w:w="7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62"/>
        </w:trPr>
        <w:tc>
          <w:tcPr>
            <w:tcW w:w="7880" w:type="dxa"/>
            <w:vAlign w:val="bottom"/>
            <w:shd w:val="clear" w:color="auto" w:fill="CCEEFF"/>
          </w:tcPr>
          <w:p>
            <w:pPr>
              <w:spacing w:after="0"/>
              <w:rPr>
                <w:sz w:val="20"/>
                <w:szCs w:val="20"/>
                <w:color w:val="auto"/>
              </w:rPr>
            </w:pPr>
            <w:r>
              <w:rPr>
                <w:rFonts w:ascii="Arial" w:cs="Arial" w:eastAsia="Arial" w:hAnsi="Arial"/>
                <w:sz w:val="11"/>
                <w:szCs w:val="11"/>
                <w:color w:val="auto"/>
              </w:rPr>
              <w:t>Earnings per common share:</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9"/>
        </w:trPr>
        <w:tc>
          <w:tcPr>
            <w:tcW w:w="7880" w:type="dxa"/>
            <w:vAlign w:val="bottom"/>
          </w:tcPr>
          <w:p>
            <w:pPr>
              <w:ind w:left="140"/>
              <w:spacing w:after="0"/>
              <w:rPr>
                <w:sz w:val="20"/>
                <w:szCs w:val="20"/>
                <w:color w:val="auto"/>
              </w:rPr>
            </w:pPr>
            <w:r>
              <w:rPr>
                <w:rFonts w:ascii="Arial" w:cs="Arial" w:eastAsia="Arial" w:hAnsi="Arial"/>
                <w:sz w:val="11"/>
                <w:szCs w:val="11"/>
                <w:color w:val="auto"/>
              </w:rPr>
              <w:t>Basic</w:t>
            </w:r>
          </w:p>
        </w:tc>
        <w:tc>
          <w:tcPr>
            <w:tcW w:w="1220" w:type="dxa"/>
            <w:vAlign w:val="bottom"/>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0.69</w:t>
            </w:r>
          </w:p>
        </w:tc>
        <w:tc>
          <w:tcPr>
            <w:tcW w:w="80" w:type="dxa"/>
            <w:vAlign w:val="bottom"/>
          </w:tcPr>
          <w:p>
            <w:pPr>
              <w:spacing w:after="0"/>
              <w:rPr>
                <w:sz w:val="13"/>
                <w:szCs w:val="13"/>
                <w:color w:val="auto"/>
              </w:rPr>
            </w:pPr>
          </w:p>
        </w:tc>
        <w:tc>
          <w:tcPr>
            <w:tcW w:w="1220" w:type="dxa"/>
            <w:vAlign w:val="bottom"/>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1.03</w:t>
            </w:r>
          </w:p>
        </w:tc>
      </w:tr>
      <w:tr>
        <w:trPr>
          <w:trHeight w:val="164"/>
        </w:trPr>
        <w:tc>
          <w:tcPr>
            <w:tcW w:w="78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1220" w:type="dxa"/>
            <w:vAlign w:val="bottom"/>
            <w:shd w:val="clear" w:color="auto" w:fill="CCEEFF"/>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0.68</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1.01</w:t>
            </w:r>
          </w:p>
        </w:tc>
      </w:tr>
      <w:tr>
        <w:trPr>
          <w:trHeight w:val="157"/>
        </w:trPr>
        <w:tc>
          <w:tcPr>
            <w:tcW w:w="7880" w:type="dxa"/>
            <w:vAlign w:val="bottom"/>
          </w:tcPr>
          <w:p>
            <w:pPr>
              <w:spacing w:after="0"/>
              <w:rPr>
                <w:sz w:val="20"/>
                <w:szCs w:val="20"/>
                <w:color w:val="auto"/>
              </w:rPr>
            </w:pPr>
            <w:r>
              <w:rPr>
                <w:rFonts w:ascii="Arial" w:cs="Arial" w:eastAsia="Arial" w:hAnsi="Arial"/>
                <w:sz w:val="11"/>
                <w:szCs w:val="11"/>
                <w:color w:val="auto"/>
              </w:rPr>
              <w:t>Adjusted earnings per common share:</w:t>
            </w: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8"/>
        </w:trPr>
        <w:tc>
          <w:tcPr>
            <w:tcW w:w="78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1220" w:type="dxa"/>
            <w:vAlign w:val="bottom"/>
            <w:shd w:val="clear" w:color="auto" w:fill="CCEEFF"/>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0.77</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r>
      <w:tr>
        <w:trPr>
          <w:trHeight w:val="160"/>
        </w:trPr>
        <w:tc>
          <w:tcPr>
            <w:tcW w:w="7880" w:type="dxa"/>
            <w:vAlign w:val="bottom"/>
          </w:tcPr>
          <w:p>
            <w:pPr>
              <w:ind w:left="140"/>
              <w:spacing w:after="0"/>
              <w:rPr>
                <w:sz w:val="20"/>
                <w:szCs w:val="20"/>
                <w:color w:val="auto"/>
              </w:rPr>
            </w:pPr>
            <w:r>
              <w:rPr>
                <w:rFonts w:ascii="Arial" w:cs="Arial" w:eastAsia="Arial" w:hAnsi="Arial"/>
                <w:sz w:val="11"/>
                <w:szCs w:val="11"/>
                <w:color w:val="auto"/>
              </w:rPr>
              <w:t>Diluted</w:t>
            </w:r>
          </w:p>
        </w:tc>
        <w:tc>
          <w:tcPr>
            <w:tcW w:w="1220" w:type="dxa"/>
            <w:vAlign w:val="bottom"/>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0.76</w:t>
            </w:r>
          </w:p>
        </w:tc>
        <w:tc>
          <w:tcPr>
            <w:tcW w:w="80" w:type="dxa"/>
            <w:vAlign w:val="bottom"/>
          </w:tcPr>
          <w:p>
            <w:pPr>
              <w:spacing w:after="0"/>
              <w:rPr>
                <w:sz w:val="13"/>
                <w:szCs w:val="13"/>
                <w:color w:val="auto"/>
              </w:rPr>
            </w:pPr>
          </w:p>
        </w:tc>
        <w:tc>
          <w:tcPr>
            <w:tcW w:w="1220" w:type="dxa"/>
            <w:vAlign w:val="bottom"/>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1.08</w:t>
            </w:r>
          </w:p>
        </w:tc>
      </w:tr>
      <w:tr>
        <w:trPr>
          <w:trHeight w:val="164"/>
        </w:trPr>
        <w:tc>
          <w:tcPr>
            <w:tcW w:w="788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 outstanding:</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9"/>
        </w:trPr>
        <w:tc>
          <w:tcPr>
            <w:tcW w:w="7880" w:type="dxa"/>
            <w:vAlign w:val="bottom"/>
          </w:tcPr>
          <w:p>
            <w:pPr>
              <w:ind w:left="140"/>
              <w:spacing w:after="0"/>
              <w:rPr>
                <w:sz w:val="20"/>
                <w:szCs w:val="20"/>
                <w:color w:val="auto"/>
              </w:rPr>
            </w:pPr>
            <w:r>
              <w:rPr>
                <w:rFonts w:ascii="Arial" w:cs="Arial" w:eastAsia="Arial" w:hAnsi="Arial"/>
                <w:sz w:val="11"/>
                <w:szCs w:val="11"/>
                <w:color w:val="auto"/>
              </w:rPr>
              <w:t>Basic</w:t>
            </w: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67,122</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73,993</w:t>
            </w:r>
          </w:p>
        </w:tc>
      </w:tr>
      <w:tr>
        <w:trPr>
          <w:trHeight w:val="165"/>
        </w:trPr>
        <w:tc>
          <w:tcPr>
            <w:tcW w:w="78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68,170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75,798</w:t>
            </w:r>
          </w:p>
        </w:tc>
      </w:tr>
    </w:tbl>
    <w:p>
      <w:pPr>
        <w:spacing w:after="0" w:line="78" w:lineRule="exact"/>
        <w:rPr>
          <w:sz w:val="20"/>
          <w:szCs w:val="20"/>
          <w:color w:val="auto"/>
        </w:rPr>
      </w:pPr>
    </w:p>
    <w:p>
      <w:pPr>
        <w:ind w:left="420" w:hanging="416"/>
        <w:spacing w:after="0"/>
        <w:tabs>
          <w:tab w:leader="none" w:pos="420" w:val="left"/>
        </w:tabs>
        <w:numPr>
          <w:ilvl w:val="0"/>
          <w:numId w:val="8"/>
        </w:numPr>
        <w:rPr>
          <w:rFonts w:ascii="Arial" w:cs="Arial" w:eastAsia="Arial" w:hAnsi="Arial"/>
          <w:sz w:val="8"/>
          <w:szCs w:val="8"/>
          <w:color w:val="auto"/>
        </w:rPr>
      </w:pPr>
      <w:r>
        <w:rPr>
          <w:rFonts w:ascii="Arial" w:cs="Arial" w:eastAsia="Arial" w:hAnsi="Arial"/>
          <w:sz w:val="8"/>
          <w:szCs w:val="8"/>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43" w:lineRule="exact"/>
        <w:rPr>
          <w:rFonts w:ascii="Arial" w:cs="Arial" w:eastAsia="Arial" w:hAnsi="Arial"/>
          <w:sz w:val="8"/>
          <w:szCs w:val="8"/>
          <w:color w:val="auto"/>
        </w:rPr>
      </w:pPr>
    </w:p>
    <w:p>
      <w:pPr>
        <w:ind w:left="420" w:hanging="416"/>
        <w:spacing w:after="0"/>
        <w:tabs>
          <w:tab w:leader="none" w:pos="420" w:val="left"/>
        </w:tabs>
        <w:numPr>
          <w:ilvl w:val="0"/>
          <w:numId w:val="8"/>
        </w:numPr>
        <w:rPr>
          <w:rFonts w:ascii="Arial" w:cs="Arial" w:eastAsia="Arial" w:hAnsi="Arial"/>
          <w:sz w:val="8"/>
          <w:szCs w:val="8"/>
          <w:color w:val="auto"/>
        </w:rPr>
      </w:pPr>
      <w:r>
        <w:rPr>
          <w:rFonts w:ascii="Arial" w:cs="Arial" w:eastAsia="Arial" w:hAnsi="Arial"/>
          <w:sz w:val="8"/>
          <w:szCs w:val="8"/>
          <w:color w:val="auto"/>
        </w:rPr>
        <w:t>Represents the tax effect of the total adjustments made to arrive at Adjusted Net Income at our historical tax rate.</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 Diluted, Guidance Reconciliation (amounts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620" w:type="dxa"/>
            <w:vAlign w:val="bottom"/>
          </w:tcPr>
          <w:p>
            <w:pPr>
              <w:spacing w:after="0"/>
              <w:rPr>
                <w:sz w:val="12"/>
                <w:szCs w:val="12"/>
                <w:color w:val="auto"/>
              </w:rPr>
            </w:pPr>
          </w:p>
        </w:tc>
        <w:tc>
          <w:tcPr>
            <w:tcW w:w="1820" w:type="dxa"/>
            <w:vAlign w:val="bottom"/>
          </w:tcPr>
          <w:p>
            <w:pPr>
              <w:jc w:val="center"/>
              <w:ind w:left="429"/>
              <w:spacing w:after="0"/>
              <w:rPr>
                <w:sz w:val="20"/>
                <w:szCs w:val="20"/>
                <w:color w:val="auto"/>
              </w:rPr>
            </w:pPr>
            <w:r>
              <w:rPr>
                <w:rFonts w:ascii="Arial" w:cs="Arial" w:eastAsia="Arial" w:hAnsi="Arial"/>
                <w:sz w:val="11"/>
                <w:szCs w:val="11"/>
                <w:b w:val="1"/>
                <w:bCs w:val="1"/>
                <w:color w:val="auto"/>
                <w:w w:val="98"/>
              </w:rPr>
              <w:t>Low Range*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tcPr>
          <w:p>
            <w:pPr>
              <w:jc w:val="center"/>
              <w:ind w:right="326"/>
              <w:spacing w:after="0"/>
              <w:rPr>
                <w:sz w:val="20"/>
                <w:szCs w:val="20"/>
                <w:color w:val="auto"/>
              </w:rPr>
            </w:pPr>
            <w:r>
              <w:rPr>
                <w:rFonts w:ascii="Arial" w:cs="Arial" w:eastAsia="Arial" w:hAnsi="Arial"/>
                <w:sz w:val="11"/>
                <w:szCs w:val="11"/>
                <w:b w:val="1"/>
                <w:bCs w:val="1"/>
                <w:color w:val="auto"/>
                <w:w w:val="97"/>
              </w:rPr>
              <w:t>High Range*</w:t>
            </w:r>
          </w:p>
        </w:tc>
      </w:tr>
      <w:tr>
        <w:trPr>
          <w:trHeight w:val="149"/>
        </w:trPr>
        <w:tc>
          <w:tcPr>
            <w:tcW w:w="6620" w:type="dxa"/>
            <w:vAlign w:val="bottom"/>
          </w:tcPr>
          <w:p>
            <w:pPr>
              <w:spacing w:after="0"/>
              <w:rPr>
                <w:sz w:val="12"/>
                <w:szCs w:val="12"/>
                <w:color w:val="auto"/>
              </w:rPr>
            </w:pPr>
          </w:p>
        </w:tc>
        <w:tc>
          <w:tcPr>
            <w:tcW w:w="1820" w:type="dxa"/>
            <w:vAlign w:val="bottom"/>
          </w:tcPr>
          <w:p>
            <w:pPr>
              <w:jc w:val="center"/>
              <w:ind w:left="409"/>
              <w:spacing w:after="0"/>
              <w:rPr>
                <w:sz w:val="20"/>
                <w:szCs w:val="20"/>
                <w:color w:val="auto"/>
              </w:rPr>
            </w:pPr>
            <w:r>
              <w:rPr>
                <w:rFonts w:ascii="Arial" w:cs="Arial" w:eastAsia="Arial" w:hAnsi="Arial"/>
                <w:sz w:val="11"/>
                <w:szCs w:val="11"/>
                <w:b w:val="1"/>
                <w:bCs w:val="1"/>
                <w:color w:val="auto"/>
                <w:w w:val="97"/>
              </w:rPr>
              <w:t>Fiscal Year Ending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tcPr>
          <w:p>
            <w:pPr>
              <w:jc w:val="center"/>
              <w:ind w:right="366"/>
              <w:spacing w:after="0"/>
              <w:rPr>
                <w:sz w:val="20"/>
                <w:szCs w:val="20"/>
                <w:color w:val="auto"/>
              </w:rPr>
            </w:pPr>
            <w:r>
              <w:rPr>
                <w:rFonts w:ascii="Arial" w:cs="Arial" w:eastAsia="Arial" w:hAnsi="Arial"/>
                <w:sz w:val="11"/>
                <w:szCs w:val="11"/>
                <w:b w:val="1"/>
                <w:bCs w:val="1"/>
                <w:color w:val="auto"/>
                <w:w w:val="97"/>
              </w:rPr>
              <w:t>Fiscal Year Ending</w:t>
            </w:r>
          </w:p>
        </w:tc>
      </w:tr>
      <w:tr>
        <w:trPr>
          <w:trHeight w:val="155"/>
        </w:trPr>
        <w:tc>
          <w:tcPr>
            <w:tcW w:w="66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ind w:left="429"/>
              <w:spacing w:after="0"/>
              <w:rPr>
                <w:sz w:val="20"/>
                <w:szCs w:val="20"/>
                <w:color w:val="auto"/>
              </w:rPr>
            </w:pPr>
            <w:r>
              <w:rPr>
                <w:rFonts w:ascii="Arial" w:cs="Arial" w:eastAsia="Arial" w:hAnsi="Arial"/>
                <w:sz w:val="11"/>
                <w:szCs w:val="11"/>
                <w:b w:val="1"/>
                <w:bCs w:val="1"/>
                <w:color w:val="auto"/>
                <w:w w:val="97"/>
              </w:rPr>
              <w:t>January 31, 2026</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center"/>
              <w:ind w:right="306"/>
              <w:spacing w:after="0"/>
              <w:rPr>
                <w:sz w:val="20"/>
                <w:szCs w:val="20"/>
                <w:color w:val="auto"/>
              </w:rPr>
            </w:pPr>
            <w:r>
              <w:rPr>
                <w:rFonts w:ascii="Arial" w:cs="Arial" w:eastAsia="Arial" w:hAnsi="Arial"/>
                <w:sz w:val="11"/>
                <w:szCs w:val="11"/>
                <w:b w:val="1"/>
                <w:bCs w:val="1"/>
                <w:color w:val="auto"/>
                <w:w w:val="97"/>
              </w:rPr>
              <w:t>January 31, 2026</w:t>
            </w:r>
          </w:p>
        </w:tc>
      </w:tr>
      <w:tr>
        <w:trPr>
          <w:trHeight w:val="158"/>
        </w:trPr>
        <w:tc>
          <w:tcPr>
            <w:tcW w:w="662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1820" w:type="dxa"/>
            <w:vAlign w:val="bottom"/>
            <w:shd w:val="clear" w:color="auto" w:fill="CCEEFF"/>
          </w:tcPr>
          <w:p>
            <w:pPr>
              <w:jc w:val="right"/>
              <w:ind w:right="170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410</w:t>
            </w:r>
          </w:p>
        </w:tc>
      </w:tr>
      <w:tr>
        <w:trPr>
          <w:trHeight w:val="156"/>
        </w:trPr>
        <w:tc>
          <w:tcPr>
            <w:tcW w:w="66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 xml:space="preserve">Equity compensation </w:t>
            </w:r>
            <w:r>
              <w:rPr>
                <w:rFonts w:ascii="Arial" w:cs="Arial" w:eastAsia="Arial" w:hAnsi="Arial"/>
                <w:sz w:val="8"/>
                <w:szCs w:val="8"/>
                <w:color w:val="auto"/>
              </w:rPr>
              <w:t>(a)</w:t>
            </w:r>
          </w:p>
        </w:tc>
        <w:tc>
          <w:tcPr>
            <w:tcW w:w="1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w:t>
            </w:r>
          </w:p>
        </w:tc>
      </w:tr>
      <w:tr>
        <w:trPr>
          <w:trHeight w:val="17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Adjusted Net Income</w:t>
            </w:r>
          </w:p>
        </w:tc>
        <w:tc>
          <w:tcPr>
            <w:tcW w:w="1820" w:type="dxa"/>
            <w:vAlign w:val="bottom"/>
            <w:tcBorders>
              <w:bottom w:val="single" w:sz="8" w:color="auto"/>
            </w:tcBorders>
            <w:shd w:val="clear" w:color="auto" w:fill="CCEEFF"/>
          </w:tcPr>
          <w:p>
            <w:pPr>
              <w:jc w:val="right"/>
              <w:ind w:right="170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435</w:t>
            </w:r>
          </w:p>
        </w:tc>
      </w:tr>
      <w:tr>
        <w:trPr>
          <w:trHeight w:val="162"/>
        </w:trPr>
        <w:tc>
          <w:tcPr>
            <w:tcW w:w="6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1"/>
                <w:szCs w:val="11"/>
                <w:color w:val="auto"/>
              </w:rPr>
              <w:t>Earnings Per Common Share, Diluted</w:t>
            </w:r>
          </w:p>
        </w:tc>
        <w:tc>
          <w:tcPr>
            <w:tcW w:w="1820" w:type="dxa"/>
            <w:vAlign w:val="bottom"/>
            <w:shd w:val="clear" w:color="auto" w:fill="CCEEFF"/>
          </w:tcPr>
          <w:p>
            <w:pPr>
              <w:jc w:val="right"/>
              <w:ind w:right="170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5.90</w:t>
            </w:r>
          </w:p>
        </w:tc>
      </w:tr>
      <w:tr>
        <w:trPr>
          <w:trHeight w:val="157"/>
        </w:trPr>
        <w:tc>
          <w:tcPr>
            <w:tcW w:w="66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 xml:space="preserve">Equity compensation </w:t>
            </w:r>
            <w:r>
              <w:rPr>
                <w:rFonts w:ascii="Arial" w:cs="Arial" w:eastAsia="Arial" w:hAnsi="Arial"/>
                <w:sz w:val="8"/>
                <w:szCs w:val="8"/>
                <w:color w:val="auto"/>
              </w:rPr>
              <w:t>(a)</w:t>
            </w:r>
          </w:p>
        </w:tc>
        <w:tc>
          <w:tcPr>
            <w:tcW w:w="1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0.35</w:t>
            </w:r>
          </w:p>
        </w:tc>
      </w:tr>
      <w:tr>
        <w:trPr>
          <w:trHeight w:val="173"/>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Adjusted Earnings Per Common Share, Diluted</w:t>
            </w:r>
          </w:p>
        </w:tc>
        <w:tc>
          <w:tcPr>
            <w:tcW w:w="1820" w:type="dxa"/>
            <w:vAlign w:val="bottom"/>
            <w:tcBorders>
              <w:bottom w:val="single" w:sz="8" w:color="auto"/>
            </w:tcBorders>
            <w:shd w:val="clear" w:color="auto" w:fill="CCEEFF"/>
          </w:tcPr>
          <w:p>
            <w:pPr>
              <w:jc w:val="right"/>
              <w:ind w:right="170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6.25</w:t>
            </w:r>
          </w:p>
        </w:tc>
      </w:tr>
    </w:tbl>
    <w:p>
      <w:pPr>
        <w:spacing w:after="0" w:line="168" w:lineRule="exact"/>
        <w:rPr>
          <w:sz w:val="20"/>
          <w:szCs w:val="20"/>
          <w:color w:val="auto"/>
        </w:rPr>
      </w:pPr>
    </w:p>
    <w:p>
      <w:pPr>
        <w:ind w:left="360" w:hanging="356"/>
        <w:spacing w:after="0"/>
        <w:tabs>
          <w:tab w:leader="none" w:pos="3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presented have been rounded.</w:t>
      </w:r>
    </w:p>
    <w:p>
      <w:pPr>
        <w:spacing w:after="0" w:line="43" w:lineRule="exact"/>
        <w:rPr>
          <w:sz w:val="20"/>
          <w:szCs w:val="20"/>
          <w:color w:val="auto"/>
        </w:rPr>
      </w:pPr>
    </w:p>
    <w:p>
      <w:pPr>
        <w:ind w:left="360" w:hanging="356"/>
        <w:spacing w:after="0"/>
        <w:tabs>
          <w:tab w:leader="none" w:pos="360" w:val="left"/>
        </w:tabs>
        <w:numPr>
          <w:ilvl w:val="0"/>
          <w:numId w:val="10"/>
        </w:numPr>
        <w:rPr>
          <w:rFonts w:ascii="Arial" w:cs="Arial" w:eastAsia="Arial" w:hAnsi="Arial"/>
          <w:sz w:val="8"/>
          <w:szCs w:val="8"/>
          <w:color w:val="auto"/>
        </w:rPr>
      </w:pPr>
      <w:r>
        <w:rPr>
          <w:rFonts w:ascii="Arial" w:cs="Arial" w:eastAsia="Arial" w:hAnsi="Arial"/>
          <w:sz w:val="8"/>
          <w:szCs w:val="8"/>
          <w:color w:val="auto"/>
        </w:rPr>
        <w:t>Adjustments include non-cash charges related to equity-based compensation (as defined above), which may vary from period to period.</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300"/>
          </w:cols>
          <w:pgMar w:left="300" w:top="696"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t>Adjusted Free Cash Flow</w:t>
      </w:r>
    </w:p>
    <w:p>
      <w:pPr>
        <w:spacing w:after="0" w:line="242"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Thirteen Weeks Ended</w:t>
            </w:r>
          </w:p>
        </w:tc>
        <w:tc>
          <w:tcPr>
            <w:tcW w:w="1180" w:type="dxa"/>
            <w:vAlign w:val="bottom"/>
          </w:tcPr>
          <w:p>
            <w:pPr>
              <w:spacing w:after="0"/>
              <w:rPr>
                <w:sz w:val="12"/>
                <w:szCs w:val="12"/>
                <w:color w:val="auto"/>
              </w:rPr>
            </w:pPr>
          </w:p>
        </w:tc>
      </w:tr>
      <w:tr>
        <w:trPr>
          <w:trHeight w:val="173"/>
        </w:trPr>
        <w:tc>
          <w:tcPr>
            <w:tcW w:w="376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May 3, 2025</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w w:val="94"/>
              </w:rPr>
              <w:t>May 4, 2024</w:t>
            </w:r>
          </w:p>
        </w:tc>
      </w:tr>
      <w:tr>
        <w:trPr>
          <w:trHeight w:val="153"/>
        </w:trPr>
        <w:tc>
          <w:tcPr>
            <w:tcW w:w="376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5180" w:type="dxa"/>
            <w:vAlign w:val="bottom"/>
            <w:gridSpan w:val="2"/>
            <w:shd w:val="clear" w:color="auto" w:fill="CCEEFF"/>
          </w:tcPr>
          <w:p>
            <w:pPr>
              <w:jc w:val="right"/>
              <w:ind w:right="1046"/>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157,472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199,677</w:t>
            </w:r>
          </w:p>
        </w:tc>
      </w:tr>
      <w:tr>
        <w:trPr>
          <w:trHeight w:val="160"/>
        </w:trPr>
        <w:tc>
          <w:tcPr>
            <w:tcW w:w="37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investing activities</w:t>
            </w:r>
          </w:p>
        </w:tc>
        <w:tc>
          <w:tcPr>
            <w:tcW w:w="40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(50,988)</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(32,355)</w:t>
            </w:r>
          </w:p>
        </w:tc>
      </w:tr>
      <w:tr>
        <w:trPr>
          <w:trHeight w:val="173"/>
        </w:trPr>
        <w:tc>
          <w:tcPr>
            <w:tcW w:w="37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Adjusted Free Cash Flow</w:t>
            </w:r>
          </w:p>
        </w:tc>
        <w:tc>
          <w:tcPr>
            <w:tcW w:w="5180" w:type="dxa"/>
            <w:vAlign w:val="bottom"/>
            <w:gridSpan w:val="2"/>
            <w:shd w:val="clear" w:color="auto" w:fill="CCEEFF"/>
          </w:tcPr>
          <w:p>
            <w:pPr>
              <w:jc w:val="right"/>
              <w:ind w:right="1046"/>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106,484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167,322</w:t>
            </w:r>
          </w:p>
        </w:tc>
      </w:tr>
      <w:tr>
        <w:trPr>
          <w:trHeight w:val="422"/>
        </w:trPr>
        <w:tc>
          <w:tcPr>
            <w:tcW w:w="3760" w:type="dxa"/>
            <w:vAlign w:val="bottom"/>
            <w:tcBorders>
              <w:top w:val="single" w:sz="8" w:color="CCEEFF"/>
            </w:tcBorders>
          </w:tcPr>
          <w:p>
            <w:pPr>
              <w:spacing w:after="0"/>
              <w:rPr>
                <w:sz w:val="24"/>
                <w:szCs w:val="24"/>
                <w:color w:val="auto"/>
              </w:rPr>
            </w:pPr>
          </w:p>
        </w:tc>
        <w:tc>
          <w:tcPr>
            <w:tcW w:w="4020" w:type="dxa"/>
            <w:vAlign w:val="bottom"/>
            <w:tcBorders>
              <w:top w:val="single" w:sz="8" w:color="CCEEFF"/>
            </w:tcBorders>
          </w:tcPr>
          <w:p>
            <w:pPr>
              <w:jc w:val="right"/>
              <w:ind w:right="2028"/>
              <w:spacing w:after="0"/>
              <w:rPr>
                <w:sz w:val="20"/>
                <w:szCs w:val="20"/>
                <w:color w:val="auto"/>
              </w:rPr>
            </w:pPr>
            <w:r>
              <w:rPr>
                <w:rFonts w:ascii="Arial" w:cs="Arial" w:eastAsia="Arial" w:hAnsi="Arial"/>
                <w:sz w:val="10"/>
                <w:szCs w:val="10"/>
                <w:color w:val="auto"/>
              </w:rPr>
              <w:t>10</w:t>
            </w: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696" w:right="29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2025-06-10T07:06:50Z</dcterms:created>
  <dcterms:modified xsi:type="dcterms:W3CDTF">2025-06-10T07:06:50Z</dcterms:modified>
</cp:coreProperties>
</file>