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137160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140335</wp:posOffset>
            </wp:positionV>
            <wp:extent cx="1697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Date of report (Date of earliest event reported): November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141605</wp:posOffset>
            </wp:positionV>
            <wp:extent cx="1697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261620</wp:posOffset>
            </wp:positionV>
            <wp:extent cx="182562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Academy Sports and Outdoors, Inc.</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129540</wp:posOffset>
            </wp:positionV>
            <wp:extent cx="1697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sectPr>
      </w:pPr>
    </w:p>
    <w:p>
      <w:pPr>
        <w:spacing w:after="0" w:line="397"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jc w:val="center"/>
        <w:ind w:right="2100"/>
        <w:spacing w:after="0"/>
        <w:rPr>
          <w:sz w:val="20"/>
          <w:szCs w:val="20"/>
          <w:color w:val="auto"/>
        </w:rPr>
      </w:pPr>
      <w:r>
        <w:rPr>
          <w:rFonts w:ascii="Arial" w:cs="Arial" w:eastAsia="Arial" w:hAnsi="Arial"/>
          <w:sz w:val="14"/>
          <w:szCs w:val="14"/>
          <w:b w:val="1"/>
          <w:bCs w:val="1"/>
          <w:color w:val="auto"/>
        </w:rPr>
        <w:t>001-39589</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85-1800912</w:t>
      </w:r>
    </w:p>
    <w:p>
      <w:pPr>
        <w:spacing w:after="0" w:line="147" w:lineRule="exact"/>
        <w:rPr>
          <w:sz w:val="24"/>
          <w:szCs w:val="24"/>
          <w:color w:val="auto"/>
        </w:rPr>
      </w:pPr>
    </w:p>
    <w:p>
      <w:pPr>
        <w:sectPr>
          <w:pgSz w:w="11900" w:h="16838" w:orient="portrait"/>
          <w:cols w:equalWidth="0" w:num="3">
            <w:col w:w="4520" w:space="720"/>
            <w:col w:w="2800" w:space="720"/>
            <w:col w:w="2400"/>
          </w:cols>
          <w:pgMar w:left="340" w:top="747" w:right="399"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149" w:lineRule="exact"/>
        <w:rPr>
          <w:sz w:val="24"/>
          <w:szCs w:val="24"/>
          <w:color w:val="auto"/>
        </w:rPr>
      </w:pPr>
    </w:p>
    <w:p>
      <w:pPr>
        <w:sectPr>
          <w:pgSz w:w="11900" w:h="16838" w:orient="portrait"/>
          <w:cols w:equalWidth="0" w:num="3">
            <w:col w:w="4440" w:space="720"/>
            <w:col w:w="2640" w:space="720"/>
            <w:col w:w="2640"/>
          </w:cols>
          <w:pgMar w:left="340" w:top="747" w:right="399" w:bottom="1440" w:gutter="0" w:footer="0" w:header="0"/>
          <w:type w:val="continuous"/>
        </w:sectPr>
      </w:pPr>
    </w:p>
    <w:p>
      <w:pPr>
        <w:ind w:left="114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161" w:lineRule="exact"/>
        <w:rPr>
          <w:sz w:val="24"/>
          <w:szCs w:val="24"/>
          <w:color w:val="auto"/>
        </w:rPr>
      </w:pPr>
    </w:p>
    <w:p>
      <w:pPr>
        <w:sectPr>
          <w:pgSz w:w="11900" w:h="16838" w:orient="portrait"/>
          <w:cols w:equalWidth="0" w:num="3">
            <w:col w:w="4580" w:space="720"/>
            <w:col w:w="2460" w:space="720"/>
            <w:col w:w="2680"/>
          </w:cols>
          <w:pgMar w:left="340" w:top="747" w:right="399" w:bottom="1440" w:gutter="0" w:footer="0" w:header="0"/>
          <w:type w:val="continuous"/>
        </w:sectPr>
      </w:pPr>
    </w:p>
    <w:p>
      <w:pPr>
        <w:ind w:left="4740"/>
        <w:spacing w:after="0"/>
        <w:rPr>
          <w:sz w:val="20"/>
          <w:szCs w:val="20"/>
          <w:color w:val="auto"/>
        </w:rPr>
      </w:pPr>
      <w:r>
        <w:rPr>
          <w:rFonts w:ascii="Arial" w:cs="Arial" w:eastAsia="Arial" w:hAnsi="Arial"/>
          <w:sz w:val="16"/>
          <w:szCs w:val="16"/>
          <w:b w:val="1"/>
          <w:bCs w:val="1"/>
          <w:color w:val="auto"/>
        </w:rPr>
        <w:t>1800 North Mason Road</w:t>
      </w:r>
    </w:p>
    <w:p>
      <w:pPr>
        <w:spacing w:after="0" w:line="59" w:lineRule="exact"/>
        <w:rPr>
          <w:sz w:val="24"/>
          <w:szCs w:val="24"/>
          <w:color w:val="auto"/>
        </w:rPr>
      </w:pPr>
    </w:p>
    <w:p>
      <w:pPr>
        <w:ind w:left="4980"/>
        <w:spacing w:after="0"/>
        <w:rPr>
          <w:sz w:val="20"/>
          <w:szCs w:val="20"/>
          <w:color w:val="auto"/>
        </w:rPr>
      </w:pPr>
      <w:r>
        <w:rPr>
          <w:rFonts w:ascii="Arial" w:cs="Arial" w:eastAsia="Arial" w:hAnsi="Arial"/>
          <w:sz w:val="16"/>
          <w:szCs w:val="16"/>
          <w:b w:val="1"/>
          <w:bCs w:val="1"/>
          <w:color w:val="auto"/>
        </w:rPr>
        <w:t>Katy, Texas 77449</w:t>
      </w:r>
    </w:p>
    <w:p>
      <w:pPr>
        <w:spacing w:after="0" w:line="63" w:lineRule="exact"/>
        <w:rPr>
          <w:sz w:val="24"/>
          <w:szCs w:val="24"/>
          <w:color w:val="auto"/>
        </w:rPr>
      </w:pPr>
    </w:p>
    <w:p>
      <w:pPr>
        <w:ind w:left="4060"/>
        <w:spacing w:after="0"/>
        <w:rPr>
          <w:sz w:val="20"/>
          <w:szCs w:val="20"/>
          <w:color w:val="auto"/>
        </w:rPr>
      </w:pPr>
      <w:r>
        <w:rPr>
          <w:rFonts w:ascii="Arial" w:cs="Arial" w:eastAsia="Arial" w:hAnsi="Arial"/>
          <w:sz w:val="16"/>
          <w:szCs w:val="16"/>
          <w:i w:val="1"/>
          <w:iCs w:val="1"/>
          <w:color w:val="auto"/>
        </w:rPr>
        <w:t>(Address of principal executive offices) (Zip code)</w:t>
      </w:r>
    </w:p>
    <w:p>
      <w:pPr>
        <w:spacing w:after="0" w:line="15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(281) 646-5200</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7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144145</wp:posOffset>
            </wp:positionV>
            <wp:extent cx="1697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68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740" w:type="dxa"/>
            <w:vAlign w:val="bottom"/>
            <w:gridSpan w:val="2"/>
          </w:tcPr>
          <w:p>
            <w:pPr>
              <w:jc w:val="center"/>
              <w:ind w:right="1540"/>
              <w:spacing w:after="0"/>
              <w:rPr>
                <w:sz w:val="20"/>
                <w:szCs w:val="20"/>
                <w:color w:val="auto"/>
              </w:rPr>
            </w:pPr>
            <w:r>
              <w:rPr>
                <w:rFonts w:ascii="Arial" w:cs="Arial" w:eastAsia="Arial" w:hAnsi="Arial"/>
                <w:sz w:val="16"/>
                <w:szCs w:val="16"/>
                <w:b w:val="1"/>
                <w:bCs w:val="1"/>
                <w:color w:val="auto"/>
                <w:w w:val="87"/>
              </w:rPr>
              <w:t>Title of each class</w:t>
            </w:r>
          </w:p>
        </w:tc>
        <w:tc>
          <w:tcPr>
            <w:tcW w:w="3300" w:type="dxa"/>
            <w:vAlign w:val="bottom"/>
            <w:gridSpan w:val="3"/>
          </w:tcPr>
          <w:p>
            <w:pPr>
              <w:jc w:val="center"/>
              <w:ind w:right="640"/>
              <w:spacing w:after="0"/>
              <w:rPr>
                <w:sz w:val="20"/>
                <w:szCs w:val="20"/>
                <w:color w:val="auto"/>
              </w:rPr>
            </w:pPr>
            <w:r>
              <w:rPr>
                <w:rFonts w:ascii="Arial" w:cs="Arial" w:eastAsia="Arial" w:hAnsi="Arial"/>
                <w:sz w:val="16"/>
                <w:szCs w:val="16"/>
                <w:b w:val="1"/>
                <w:bCs w:val="1"/>
                <w:color w:val="auto"/>
                <w:w w:val="92"/>
              </w:rPr>
              <w:t>Trading Symbol(s)</w:t>
            </w: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7"/>
        </w:trPr>
        <w:tc>
          <w:tcPr>
            <w:tcW w:w="358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90"/>
              </w:rPr>
              <w:t>Common Stock, $0.01 par value per share</w:t>
            </w:r>
          </w:p>
        </w:tc>
        <w:tc>
          <w:tcPr>
            <w:tcW w:w="680" w:type="dxa"/>
            <w:vAlign w:val="bottom"/>
          </w:tcPr>
          <w:p>
            <w:pPr>
              <w:spacing w:after="0"/>
              <w:rPr>
                <w:sz w:val="22"/>
                <w:szCs w:val="22"/>
                <w:color w:val="auto"/>
              </w:rPr>
            </w:pPr>
          </w:p>
        </w:tc>
        <w:tc>
          <w:tcPr>
            <w:tcW w:w="2620" w:type="dxa"/>
            <w:vAlign w:val="bottom"/>
            <w:gridSpan w:val="2"/>
          </w:tcPr>
          <w:p>
            <w:pPr>
              <w:jc w:val="center"/>
              <w:ind w:right="1320"/>
              <w:spacing w:after="0"/>
              <w:rPr>
                <w:sz w:val="20"/>
                <w:szCs w:val="20"/>
                <w:color w:val="auto"/>
              </w:rPr>
            </w:pPr>
            <w:r>
              <w:rPr>
                <w:rFonts w:ascii="Arial" w:cs="Arial" w:eastAsia="Arial" w:hAnsi="Arial"/>
                <w:sz w:val="16"/>
                <w:szCs w:val="16"/>
                <w:b w:val="1"/>
                <w:bCs w:val="1"/>
                <w:color w:val="auto"/>
                <w:w w:val="97"/>
              </w:rPr>
              <w:t>ASO</w:t>
            </w: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r>
    </w:tbl>
    <w:p>
      <w:pPr>
        <w:spacing w:after="0" w:line="199" w:lineRule="exact"/>
        <w:rPr>
          <w:sz w:val="24"/>
          <w:szCs w:val="24"/>
          <w:color w:val="auto"/>
        </w:rPr>
      </w:pPr>
    </w:p>
    <w:p>
      <w:pPr>
        <w:spacing w:after="0" w:line="26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4" w:lineRule="exact"/>
        <w:rPr>
          <w:sz w:val="24"/>
          <w:szCs w:val="24"/>
          <w:color w:val="auto"/>
        </w:rPr>
      </w:pPr>
    </w:p>
    <w:p>
      <w:pPr>
        <w:ind w:right="5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391795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86995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113030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The Company is filing this report on Form 8-K to move the deadline relating to stockholder proposals for its 2022 annual meeting of stockholders to December 24, 2021, in conformity with Rule 14a-8 under the Securities Exchange Act of 1934, as amended (the "Exchange Act").</w:t>
      </w:r>
    </w:p>
    <w:p>
      <w:pPr>
        <w:spacing w:after="0" w:line="151"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February 2, 2022 deadline for stockholder proposals that was previously disclosed in the section of the Company's 2021 Definitive Proxy Statement (the "Proxy Statement") entitled "Stockholder Proposals for the 2022 Annual Meeting" is no longer applicable.</w:t>
      </w:r>
    </w:p>
    <w:p>
      <w:pPr>
        <w:spacing w:after="0" w:line="19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To be considered for inclusion in the Company's proxy materials pursuant to Rule 14a-8 under the Exchange Act for the 2022 annual meeting of stockholders, stockholder proposals must be received by the Corporate Secretary of the Company at 1800 North Mason Road, Katy, Texas 77449, no later than close of business on December 24, 2021. Any such proposal also needs to comply with the Securities and Exchange Commission stockholder proposal rules, including eligibility requirements set forth in Rule 14a-8.</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filing does not amend any other information in the Proxy Statement as originally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387985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36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9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Arial" w:cs="Arial" w:eastAsia="Arial" w:hAnsi="Arial"/>
          <w:sz w:val="18"/>
          <w:szCs w:val="18"/>
          <w:color w:val="auto"/>
        </w:rPr>
        <w:t>Date: October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31750</wp:posOffset>
            </wp:positionV>
            <wp:extent cx="2717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Senior Vice President, General Counsel and Secretary</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2021-11-01T05:16:01Z</dcterms:created>
  <dcterms:modified xsi:type="dcterms:W3CDTF">2021-11-01T05:16:01Z</dcterms:modified>
</cp:coreProperties>
</file>