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Mullican Michael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line="292" w:lineRule="auto"/>
        <w:rPr>
          <w:sz w:val="20"/>
          <w:szCs w:val="20"/>
          <w:color w:val="auto"/>
        </w:rPr>
      </w:pPr>
      <w:r>
        <w:rPr>
          <w:rFonts w:ascii="Arial" w:cs="Arial" w:eastAsia="Arial" w:hAnsi="Arial"/>
          <w:sz w:val="17"/>
          <w:szCs w:val="17"/>
          <w:color w:val="0000FF"/>
        </w:rPr>
        <w:t>C/O ACADEMY SPORTS AND OUTDOORS, INC.</w:t>
      </w:r>
    </w:p>
    <w:p>
      <w:pPr>
        <w:spacing w:after="0" w:line="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NORTH MASON ROAD</w:t>
      </w:r>
    </w:p>
    <w:p>
      <w:pPr>
        <w:spacing w:after="0" w:line="30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34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2"/>
          </w:tcPr>
          <w:p>
            <w:pPr>
              <w:ind w:left="80"/>
              <w:spacing w:after="0" w:line="142" w:lineRule="exact"/>
              <w:rPr>
                <w:rFonts w:ascii="Arial" w:cs="Arial" w:eastAsia="Arial" w:hAnsi="Arial"/>
                <w:sz w:val="16"/>
                <w:szCs w:val="16"/>
                <w:color w:val="0000EE"/>
              </w:rPr>
            </w:pPr>
            <w:hyperlink r:id="rId14">
              <w:r>
                <w:rPr>
                  <w:rFonts w:ascii="Arial" w:cs="Arial" w:eastAsia="Arial" w:hAnsi="Arial"/>
                  <w:sz w:val="16"/>
                  <w:szCs w:val="16"/>
                  <w:u w:val="single" w:color="auto"/>
                  <w:color w:val="0000EE"/>
                </w:rPr>
                <w:t>Academy Sports &amp; Outdoors,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21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214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2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6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4"/>
        </w:trPr>
        <w:tc>
          <w:tcPr>
            <w:tcW w:w="200" w:type="dxa"/>
            <w:vAlign w:val="bottom"/>
            <w:tcBorders>
              <w:bottom w:val="single" w:sz="8" w:color="2C2C2C"/>
            </w:tcBorders>
          </w:tcPr>
          <w:p>
            <w:pPr>
              <w:spacing w:after="0"/>
              <w:rPr>
                <w:sz w:val="6"/>
                <w:szCs w:val="6"/>
                <w:color w:val="auto"/>
              </w:rPr>
            </w:pPr>
          </w:p>
        </w:tc>
        <w:tc>
          <w:tcPr>
            <w:tcW w:w="3620" w:type="dxa"/>
            <w:vAlign w:val="bottom"/>
            <w:tcBorders>
              <w:bottom w:val="single" w:sz="8" w:color="2C2C2C"/>
            </w:tcBorders>
          </w:tcPr>
          <w:p>
            <w:pPr>
              <w:spacing w:after="0"/>
              <w:rPr>
                <w:sz w:val="6"/>
                <w:szCs w:val="6"/>
                <w:color w:val="auto"/>
              </w:rPr>
            </w:pPr>
          </w:p>
        </w:tc>
        <w:tc>
          <w:tcPr>
            <w:tcW w:w="500" w:type="dxa"/>
            <w:vAlign w:val="bottom"/>
            <w:vMerge w:val="continue"/>
          </w:tcPr>
          <w:p>
            <w:pPr>
              <w:spacing w:after="0"/>
              <w:rPr>
                <w:sz w:val="6"/>
                <w:szCs w:val="6"/>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7"/>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00" w:type="dxa"/>
            <w:vAlign w:val="bottom"/>
            <w:vMerge w:val="continue"/>
          </w:tcPr>
          <w:p>
            <w:pPr>
              <w:spacing w:after="0"/>
              <w:rPr>
                <w:sz w:val="10"/>
                <w:szCs w:val="10"/>
                <w:color w:val="auto"/>
              </w:rPr>
            </w:pPr>
          </w:p>
        </w:tc>
        <w:tc>
          <w:tcPr>
            <w:tcW w:w="362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1640" w:type="dxa"/>
            <w:vAlign w:val="bottom"/>
            <w:vMerge w:val="restart"/>
          </w:tcPr>
          <w:p>
            <w:pPr>
              <w:ind w:left="720"/>
              <w:spacing w:after="0"/>
              <w:rPr>
                <w:sz w:val="20"/>
                <w:szCs w:val="20"/>
                <w:color w:val="auto"/>
              </w:rPr>
            </w:pPr>
            <w:r>
              <w:rPr>
                <w:rFonts w:ascii="Arial" w:cs="Arial" w:eastAsia="Arial" w:hAnsi="Arial"/>
                <w:sz w:val="17"/>
                <w:szCs w:val="17"/>
                <w:color w:val="0000FF"/>
                <w:w w:val="99"/>
              </w:rPr>
              <w:t>EVP &amp; CFO</w:t>
            </w: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3820" w:type="dxa"/>
            <w:vAlign w:val="bottom"/>
            <w:gridSpan w:val="2"/>
            <w:vMerge w:val="restart"/>
          </w:tcPr>
          <w:p>
            <w:pPr>
              <w:ind w:left="80"/>
              <w:spacing w:after="0"/>
              <w:rPr>
                <w:sz w:val="20"/>
                <w:szCs w:val="20"/>
                <w:color w:val="auto"/>
              </w:rPr>
            </w:pPr>
            <w:r>
              <w:rPr>
                <w:rFonts w:ascii="Arial" w:cs="Arial" w:eastAsia="Arial" w:hAnsi="Arial"/>
                <w:sz w:val="17"/>
                <w:szCs w:val="17"/>
                <w:color w:val="0000FF"/>
              </w:rPr>
              <w:t>01/05/2021</w:t>
            </w:r>
          </w:p>
        </w:tc>
        <w:tc>
          <w:tcPr>
            <w:tcW w:w="5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382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1"/>
        </w:trPr>
        <w:tc>
          <w:tcPr>
            <w:tcW w:w="200" w:type="dxa"/>
            <w:vAlign w:val="bottom"/>
            <w:tcBorders>
              <w:bottom w:val="single" w:sz="8" w:color="2C2C2C"/>
            </w:tcBorders>
          </w:tcPr>
          <w:p>
            <w:pPr>
              <w:spacing w:after="0"/>
              <w:rPr>
                <w:sz w:val="24"/>
                <w:szCs w:val="24"/>
                <w:color w:val="auto"/>
              </w:rPr>
            </w:pPr>
          </w:p>
        </w:tc>
        <w:tc>
          <w:tcPr>
            <w:tcW w:w="362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277495</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498" w:lineRule="exact"/>
        <w:rPr>
          <w:sz w:val="24"/>
          <w:szCs w:val="24"/>
          <w:color w:val="auto"/>
        </w:rPr>
      </w:pPr>
    </w:p>
    <w:p>
      <w:pPr>
        <w:sectPr>
          <w:pgSz w:w="11900" w:h="16838" w:orient="portrait"/>
          <w:cols w:equalWidth="0" w:num="2">
            <w:col w:w="3460" w:space="3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Arial" w:cs="Arial" w:eastAsia="Arial" w:hAnsi="Arial"/>
                <w:sz w:val="17"/>
                <w:szCs w:val="17"/>
                <w:color w:val="0000FF"/>
              </w:rPr>
              <w:t>01/05/2021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72"/>
              <w:spacing w:after="0"/>
              <w:rPr>
                <w:sz w:val="20"/>
                <w:szCs w:val="20"/>
                <w:color w:val="auto"/>
              </w:rPr>
            </w:pPr>
            <w:r>
              <w:rPr>
                <w:rFonts w:ascii="Arial" w:cs="Arial" w:eastAsia="Arial" w:hAnsi="Arial"/>
                <w:sz w:val="17"/>
                <w:szCs w:val="17"/>
                <w:color w:val="0000FF"/>
              </w:rPr>
              <w:t>22,613</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20.49</w:t>
            </w:r>
            <w:r>
              <w:rPr>
                <w:rFonts w:ascii="Arial" w:cs="Arial" w:eastAsia="Arial" w:hAnsi="Arial"/>
                <w:sz w:val="22"/>
                <w:szCs w:val="22"/>
                <w:color w:val="008000"/>
                <w:w w:val="94"/>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w w:val="91"/>
              </w:rPr>
              <w:t>224,171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Arial" w:cs="Arial" w:eastAsia="Arial" w:hAnsi="Arial"/>
                <w:sz w:val="17"/>
                <w:szCs w:val="17"/>
                <w:color w:val="0000FF"/>
              </w:rPr>
              <w:t>01/05/2021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72"/>
              <w:spacing w:after="0"/>
              <w:rPr>
                <w:sz w:val="20"/>
                <w:szCs w:val="20"/>
                <w:color w:val="auto"/>
              </w:rPr>
            </w:pPr>
            <w:r>
              <w:rPr>
                <w:rFonts w:ascii="Arial" w:cs="Arial" w:eastAsia="Arial" w:hAnsi="Arial"/>
                <w:sz w:val="17"/>
                <w:szCs w:val="17"/>
                <w:color w:val="0000FF"/>
              </w:rPr>
              <w:t>334</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21.04</w:t>
            </w:r>
            <w:r>
              <w:rPr>
                <w:rFonts w:ascii="Arial" w:cs="Arial" w:eastAsia="Arial" w:hAnsi="Arial"/>
                <w:sz w:val="22"/>
                <w:szCs w:val="22"/>
                <w:color w:val="008000"/>
                <w:w w:val="94"/>
                <w:vertAlign w:val="superscript"/>
              </w:rPr>
              <w:t>(3)</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w w:val="91"/>
              </w:rPr>
              <w:t>223,837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shares sold to cover the Reporting Person's tax liability in connection with the vesting and settlement of time-based restricted stock units previously granted to the Reporting Person.</w:t>
      </w:r>
    </w:p>
    <w:p>
      <w:pPr>
        <w:spacing w:after="0" w:line="50" w:lineRule="exact"/>
        <w:rPr>
          <w:rFonts w:ascii="Arial" w:cs="Arial" w:eastAsia="Arial" w:hAnsi="Arial"/>
          <w:sz w:val="13"/>
          <w:szCs w:val="13"/>
          <w:color w:val="008000"/>
        </w:rPr>
      </w:pPr>
    </w:p>
    <w:p>
      <w:pPr>
        <w:ind w:left="40" w:right="1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ranging from $19.90 to $20.81,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25" w:lineRule="exact"/>
        <w:rPr>
          <w:rFonts w:ascii="Arial" w:cs="Arial" w:eastAsia="Arial" w:hAnsi="Arial"/>
          <w:sz w:val="13"/>
          <w:szCs w:val="13"/>
          <w:color w:val="008000"/>
        </w:rPr>
      </w:pPr>
    </w:p>
    <w:p>
      <w:pPr>
        <w:ind w:left="40" w:right="1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ranging from $20.93 to $21.31,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Rene G. Casares, Attorney- </w:t>
      </w:r>
      <w:r>
        <w:rPr>
          <w:rFonts w:ascii="Arial" w:cs="Arial" w:eastAsia="Arial" w:hAnsi="Arial"/>
          <w:sz w:val="34"/>
          <w:szCs w:val="34"/>
          <w:color w:val="0000FF"/>
          <w:vertAlign w:val="subscript"/>
        </w:rPr>
        <w:t>01/07/2021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44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25630" TargetMode="External"/><Relationship Id="rId14"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2021-01-07T19:27:16Z</dcterms:created>
  <dcterms:modified xsi:type="dcterms:W3CDTF">2021-01-07T19:27:16Z</dcterms:modified>
</cp:coreProperties>
</file>