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349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4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Ford Earl Carlton IV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NORTH MASON ROAD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CFO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4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1,621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15,099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638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50.86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1,621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-2125345</wp:posOffset>
            </wp:positionV>
            <wp:extent cx="29210" cy="2130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3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of Common Stock acquired under the Issuer's employee stock purchase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Plan, as amended.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6, 2023, subject to the Reporting Person's continued service, the Reporting Person was granted 4,863 time-based restricted stock units that vest in three equal installments beginning on the first anniversary of the grant date.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Gary Holland,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09/08/2025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4055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2025-09-08T17:09:34Z</dcterms:created>
  <dcterms:modified xsi:type="dcterms:W3CDTF">2025-09-08T17:09:34Z</dcterms:modified>
</cp:coreProperties>
</file>