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5"/>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457200</wp:posOffset>
            </wp:positionH>
            <wp:positionV relativeFrom="page">
              <wp:posOffset>339725</wp:posOffset>
            </wp:positionV>
            <wp:extent cx="6592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257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364490</wp:posOffset>
            </wp:positionV>
            <wp:extent cx="65925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2570" cy="8255"/>
                    </a:xfrm>
                    <a:prstGeom prst="rect">
                      <a:avLst/>
                    </a:prstGeom>
                    <a:noFill/>
                  </pic:spPr>
                </pic:pic>
              </a:graphicData>
            </a:graphic>
          </wp:anchor>
        </w:drawing>
        <w:t>UNITED STATES</w:t>
      </w:r>
    </w:p>
    <w:p>
      <w:pPr>
        <w:spacing w:after="0" w:line="61"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59"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132080</wp:posOffset>
            </wp:positionV>
            <wp:extent cx="1687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345"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135255</wp:posOffset>
            </wp:positionV>
            <wp:extent cx="1687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351"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71"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63"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June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145415</wp:posOffset>
            </wp:positionV>
            <wp:extent cx="1687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7830" cy="8255"/>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245745</wp:posOffset>
            </wp:positionV>
            <wp:extent cx="1938655" cy="593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8655" cy="593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ectPr>
          <w:pgSz w:w="11900" w:h="16838" w:orient="portrait"/>
          <w:cols w:equalWidth="0" w:num="1">
            <w:col w:w="10126"/>
          </w:cols>
          <w:pgMar w:left="734" w:top="727" w:right="1039" w:bottom="1440" w:gutter="0" w:footer="0" w:header="0"/>
        </w:sectPr>
      </w:pPr>
    </w:p>
    <w:p>
      <w:pPr>
        <w:spacing w:after="0" w:line="86" w:lineRule="exact"/>
        <w:rPr>
          <w:sz w:val="24"/>
          <w:szCs w:val="24"/>
          <w:color w:val="auto"/>
        </w:rPr>
      </w:pPr>
    </w:p>
    <w:tbl>
      <w:tblPr>
        <w:tblLayout w:type="fixed"/>
        <w:tblInd w:w="1406"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39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w w:val="98"/>
              </w:rPr>
              <w:t>(Exact name of registrant as specified in its charter)</w:t>
            </w:r>
          </w:p>
        </w:tc>
      </w:tr>
      <w:tr>
        <w:trPr>
          <w:trHeight w:val="189"/>
        </w:trPr>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r>
      <w:tr>
        <w:trPr>
          <w:trHeight w:val="344"/>
        </w:trPr>
        <w:tc>
          <w:tcPr>
            <w:tcW w:w="19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40" w:type="dxa"/>
            <w:vAlign w:val="bottom"/>
            <w:gridSpan w:val="2"/>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001-39589</w:t>
            </w:r>
          </w:p>
        </w:tc>
        <w:tc>
          <w:tcPr>
            <w:tcW w:w="420" w:type="dxa"/>
            <w:vAlign w:val="bottom"/>
          </w:tcPr>
          <w:p>
            <w:pPr>
              <w:spacing w:after="0"/>
              <w:rPr>
                <w:sz w:val="24"/>
                <w:szCs w:val="24"/>
                <w:color w:val="auto"/>
              </w:rPr>
            </w:pPr>
          </w:p>
        </w:tc>
      </w:tr>
      <w:tr>
        <w:trPr>
          <w:trHeight w:val="316"/>
        </w:trPr>
        <w:tc>
          <w:tcPr>
            <w:tcW w:w="198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880" w:type="dxa"/>
            <w:vAlign w:val="bottom"/>
          </w:tcPr>
          <w:p>
            <w:pPr>
              <w:spacing w:after="0"/>
              <w:rPr>
                <w:sz w:val="24"/>
                <w:szCs w:val="24"/>
                <w:color w:val="auto"/>
              </w:rPr>
            </w:pPr>
          </w:p>
        </w:tc>
        <w:tc>
          <w:tcPr>
            <w:tcW w:w="30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(Commission</w:t>
            </w:r>
          </w:p>
        </w:tc>
      </w:tr>
      <w:tr>
        <w:trPr>
          <w:trHeight w:val="303"/>
        </w:trPr>
        <w:tc>
          <w:tcPr>
            <w:tcW w:w="198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incorporation)</w:t>
            </w:r>
          </w:p>
        </w:tc>
        <w:tc>
          <w:tcPr>
            <w:tcW w:w="880" w:type="dxa"/>
            <w:vAlign w:val="bottom"/>
          </w:tcPr>
          <w:p>
            <w:pPr>
              <w:spacing w:after="0"/>
              <w:rPr>
                <w:sz w:val="24"/>
                <w:szCs w:val="24"/>
                <w:color w:val="auto"/>
              </w:rPr>
            </w:pPr>
          </w:p>
        </w:tc>
        <w:tc>
          <w:tcPr>
            <w:tcW w:w="3080" w:type="dxa"/>
            <w:vAlign w:val="bottom"/>
            <w:gridSpan w:val="2"/>
          </w:tcPr>
          <w:p>
            <w:pPr>
              <w:jc w:val="right"/>
              <w:ind w:right="1460"/>
              <w:spacing w:after="0"/>
              <w:rPr>
                <w:sz w:val="20"/>
                <w:szCs w:val="20"/>
                <w:color w:val="auto"/>
              </w:rPr>
            </w:pPr>
            <w:r>
              <w:rPr>
                <w:rFonts w:ascii="Times New Roman" w:cs="Times New Roman" w:eastAsia="Times New Roman" w:hAnsi="Times New Roman"/>
                <w:sz w:val="16"/>
                <w:szCs w:val="16"/>
                <w:color w:val="auto"/>
              </w:rPr>
              <w:t>File No.)</w:t>
            </w:r>
          </w:p>
        </w:tc>
      </w:tr>
      <w:tr>
        <w:trPr>
          <w:trHeight w:val="329"/>
        </w:trPr>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7"/>
              </w:rPr>
              <w:t>1800 North Mason Road</w:t>
            </w:r>
          </w:p>
        </w:tc>
      </w:tr>
      <w:tr>
        <w:trPr>
          <w:trHeight w:val="237"/>
        </w:trPr>
        <w:tc>
          <w:tcPr>
            <w:tcW w:w="1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8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5"/>
              </w:rPr>
              <w:t>Katy, Texas 77449</w:t>
            </w:r>
          </w:p>
        </w:tc>
      </w:tr>
      <w:tr>
        <w:trPr>
          <w:trHeight w:val="224"/>
        </w:trPr>
        <w:tc>
          <w:tcPr>
            <w:tcW w:w="1980" w:type="dxa"/>
            <w:vAlign w:val="bottom"/>
          </w:tcPr>
          <w:p>
            <w:pPr>
              <w:spacing w:after="0"/>
              <w:rPr>
                <w:sz w:val="19"/>
                <w:szCs w:val="19"/>
                <w:color w:val="auto"/>
              </w:rPr>
            </w:pPr>
          </w:p>
        </w:tc>
        <w:tc>
          <w:tcPr>
            <w:tcW w:w="3960" w:type="dxa"/>
            <w:vAlign w:val="bottom"/>
            <w:gridSpan w:val="3"/>
          </w:tcPr>
          <w:p>
            <w:pPr>
              <w:ind w:left="200"/>
              <w:spacing w:after="0"/>
              <w:rPr>
                <w:sz w:val="20"/>
                <w:szCs w:val="20"/>
                <w:color w:val="auto"/>
              </w:rPr>
            </w:pPr>
            <w:r>
              <w:rPr>
                <w:rFonts w:ascii="Times New Roman" w:cs="Times New Roman" w:eastAsia="Times New Roman" w:hAnsi="Times New Roman"/>
                <w:sz w:val="16"/>
                <w:szCs w:val="16"/>
                <w:i w:val="1"/>
                <w:iCs w:val="1"/>
                <w:color w:val="auto"/>
                <w:w w:val="97"/>
              </w:rPr>
              <w:t>(Address of principal executive offices, including Zip Code)</w:t>
            </w:r>
          </w:p>
        </w:tc>
      </w:tr>
      <w:tr>
        <w:trPr>
          <w:trHeight w:val="342"/>
        </w:trPr>
        <w:tc>
          <w:tcPr>
            <w:tcW w:w="1980" w:type="dxa"/>
            <w:vAlign w:val="bottom"/>
          </w:tcPr>
          <w:p>
            <w:pPr>
              <w:spacing w:after="0"/>
              <w:rPr>
                <w:sz w:val="24"/>
                <w:szCs w:val="24"/>
                <w:color w:val="auto"/>
              </w:rPr>
            </w:pPr>
          </w:p>
        </w:tc>
        <w:tc>
          <w:tcPr>
            <w:tcW w:w="3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(281) 646-5200</w:t>
            </w:r>
          </w:p>
        </w:tc>
        <w:tc>
          <w:tcPr>
            <w:tcW w:w="420" w:type="dxa"/>
            <w:vAlign w:val="bottom"/>
          </w:tcPr>
          <w:p>
            <w:pPr>
              <w:spacing w:after="0"/>
              <w:rPr>
                <w:sz w:val="24"/>
                <w:szCs w:val="24"/>
                <w:color w:val="auto"/>
              </w:rPr>
            </w:pPr>
          </w:p>
        </w:tc>
      </w:tr>
      <w:tr>
        <w:trPr>
          <w:trHeight w:val="276"/>
        </w:trPr>
        <w:tc>
          <w:tcPr>
            <w:tcW w:w="1980" w:type="dxa"/>
            <w:vAlign w:val="bottom"/>
          </w:tcPr>
          <w:p>
            <w:pPr>
              <w:spacing w:after="0"/>
              <w:rPr>
                <w:sz w:val="24"/>
                <w:szCs w:val="24"/>
                <w:color w:val="auto"/>
              </w:rPr>
            </w:pPr>
          </w:p>
        </w:tc>
        <w:tc>
          <w:tcPr>
            <w:tcW w:w="3960" w:type="dxa"/>
            <w:vAlign w:val="bottom"/>
            <w:gridSpan w:val="3"/>
          </w:tcPr>
          <w:p>
            <w:pPr>
              <w:ind w:left="3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tc>
      </w:tr>
      <w:tr>
        <w:trPr>
          <w:trHeight w:val="447"/>
        </w:trPr>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gridSpan w:val="2"/>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Not Applicable</w:t>
            </w:r>
          </w:p>
        </w:tc>
      </w:tr>
    </w:tbl>
    <w:p>
      <w:pPr>
        <w:spacing w:after="0" w:line="28" w:lineRule="exact"/>
        <w:rPr>
          <w:sz w:val="24"/>
          <w:szCs w:val="24"/>
          <w:color w:val="auto"/>
        </w:rPr>
      </w:pPr>
    </w:p>
    <w:p>
      <w:pPr>
        <w:ind w:left="3206"/>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127000</wp:posOffset>
            </wp:positionV>
            <wp:extent cx="1687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2314" w:lineRule="exact"/>
        <w:rPr>
          <w:sz w:val="24"/>
          <w:szCs w:val="24"/>
          <w:color w:val="auto"/>
        </w:rPr>
      </w:pPr>
    </w:p>
    <w:p>
      <w:pPr>
        <w:sectPr>
          <w:pgSz w:w="11900" w:h="16838" w:orient="portrait"/>
          <w:cols w:equalWidth="0" w:num="2">
            <w:col w:w="7526" w:space="720"/>
            <w:col w:w="1880"/>
          </w:cols>
          <w:pgMar w:left="734" w:top="727" w:right="1039" w:bottom="1440" w:gutter="0" w:footer="0" w:header="0"/>
          <w:type w:val="continuous"/>
        </w:sectPr>
      </w:pPr>
    </w:p>
    <w:p>
      <w:pPr>
        <w:spacing w:after="0" w:line="171" w:lineRule="exact"/>
        <w:rPr>
          <w:sz w:val="24"/>
          <w:szCs w:val="24"/>
          <w:color w:val="auto"/>
        </w:rPr>
      </w:pPr>
    </w:p>
    <w:p>
      <w:pPr>
        <w:ind w:left="6" w:right="220"/>
        <w:spacing w:after="0" w:line="25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186" w:hanging="185"/>
        <w:spacing w:after="0"/>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2" w:lineRule="exact"/>
        <w:rPr>
          <w:rFonts w:ascii="MS PGothic" w:cs="MS PGothic" w:eastAsia="MS PGothic" w:hAnsi="MS PGothic"/>
          <w:sz w:val="16"/>
          <w:szCs w:val="16"/>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2" w:lineRule="exact"/>
        <w:rPr>
          <w:rFonts w:ascii="MS PGothic" w:cs="MS PGothic" w:eastAsia="MS PGothic" w:hAnsi="MS PGothic"/>
          <w:sz w:val="16"/>
          <w:szCs w:val="16"/>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2" w:lineRule="exact"/>
        <w:rPr>
          <w:rFonts w:ascii="MS PGothic" w:cs="MS PGothic" w:eastAsia="MS PGothic" w:hAnsi="MS PGothic"/>
          <w:sz w:val="16"/>
          <w:szCs w:val="16"/>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3"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43" w:lineRule="exact"/>
        <w:rPr>
          <w:sz w:val="24"/>
          <w:szCs w:val="24"/>
          <w:color w:val="auto"/>
        </w:rPr>
      </w:pPr>
    </w:p>
    <w:tbl>
      <w:tblPr>
        <w:tblLayout w:type="fixed"/>
        <w:tblInd w:w="726"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240" w:type="dxa"/>
            <w:vAlign w:val="bottom"/>
          </w:tcPr>
          <w:p>
            <w:pPr>
              <w:spacing w:after="0"/>
              <w:rPr>
                <w:sz w:val="16"/>
                <w:szCs w:val="16"/>
                <w:color w:val="auto"/>
              </w:rPr>
            </w:pPr>
          </w:p>
        </w:tc>
        <w:tc>
          <w:tcPr>
            <w:tcW w:w="2220" w:type="dxa"/>
            <w:vAlign w:val="bottom"/>
            <w:gridSpan w:val="2"/>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r>
        <w:trPr>
          <w:trHeight w:val="252"/>
        </w:trPr>
        <w:tc>
          <w:tcPr>
            <w:tcW w:w="4240" w:type="dxa"/>
            <w:vAlign w:val="bottom"/>
            <w:gridSpan w:val="3"/>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8"/>
              </w:rPr>
              <w:t>Common Stock, $0.01 par value per share</w:t>
            </w:r>
          </w:p>
        </w:tc>
        <w:tc>
          <w:tcPr>
            <w:tcW w:w="2220" w:type="dxa"/>
            <w:vAlign w:val="bottom"/>
            <w:gridSpan w:val="2"/>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7"/>
              </w:rPr>
              <w:t>ASO</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Stock Market LLC</w:t>
            </w:r>
          </w:p>
        </w:tc>
      </w:tr>
    </w:tbl>
    <w:p>
      <w:pPr>
        <w:spacing w:after="0" w:line="188" w:lineRule="exact"/>
        <w:rPr>
          <w:sz w:val="24"/>
          <w:szCs w:val="24"/>
          <w:color w:val="auto"/>
        </w:rPr>
      </w:pPr>
    </w:p>
    <w:p>
      <w:pPr>
        <w:jc w:val="both"/>
        <w:ind w:left="6"/>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6" w:right="24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wp:posOffset>
            </wp:positionH>
            <wp:positionV relativeFrom="paragraph">
              <wp:posOffset>384810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88265</wp:posOffset>
            </wp:positionV>
            <wp:extent cx="65925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257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113665</wp:posOffset>
            </wp:positionV>
            <wp:extent cx="65925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2570" cy="8255"/>
                    </a:xfrm>
                    <a:prstGeom prst="rect">
                      <a:avLst/>
                    </a:prstGeom>
                    <a:noFill/>
                  </pic:spPr>
                </pic:pic>
              </a:graphicData>
            </a:graphic>
          </wp:anchor>
        </w:drawing>
      </w:r>
    </w:p>
    <w:p>
      <w:pPr>
        <w:sectPr>
          <w:pgSz w:w="11900" w:h="16838" w:orient="portrait"/>
          <w:cols w:equalWidth="0" w:num="1">
            <w:col w:w="10126"/>
          </w:cols>
          <w:pgMar w:left="734" w:top="727" w:right="1039" w:bottom="1440" w:gutter="0" w:footer="0" w:header="0"/>
          <w:type w:val="continuous"/>
        </w:sectPr>
      </w:pPr>
    </w:p>
    <w:bookmarkStart w:id="1" w:name="page2"/>
    <w:bookmarkEnd w:id="1"/>
    <w:p>
      <w:pPr>
        <w:ind w:left="40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29" w:lineRule="exact"/>
        <w:rPr>
          <w:sz w:val="20"/>
          <w:szCs w:val="20"/>
          <w:color w:val="auto"/>
        </w:rPr>
      </w:pPr>
    </w:p>
    <w:p>
      <w:pPr>
        <w:jc w:val="both"/>
        <w:ind w:right="100" w:firstLine="391"/>
        <w:spacing w:after="0" w:line="268" w:lineRule="auto"/>
        <w:rPr>
          <w:sz w:val="20"/>
          <w:szCs w:val="20"/>
          <w:color w:val="auto"/>
        </w:rPr>
      </w:pPr>
      <w:r>
        <w:rPr>
          <w:rFonts w:ascii="Times New Roman" w:cs="Times New Roman" w:eastAsia="Times New Roman" w:hAnsi="Times New Roman"/>
          <w:sz w:val="18"/>
          <w:szCs w:val="18"/>
          <w:color w:val="auto"/>
        </w:rPr>
        <w:t>On June 11, 2024, Academy Sports and Outdoors, Inc. (the “Company”) issued a press release announcing financial results for the quarter ended May 4, 2024. A copy of the press release is furnished herewith as Exhibit 99.1 and incorporated by reference herein.</w:t>
      </w:r>
    </w:p>
    <w:p>
      <w:pPr>
        <w:spacing w:after="0" w:line="183" w:lineRule="exact"/>
        <w:rPr>
          <w:sz w:val="20"/>
          <w:szCs w:val="20"/>
          <w:color w:val="auto"/>
        </w:rPr>
      </w:pPr>
    </w:p>
    <w:p>
      <w:pPr>
        <w:jc w:val="both"/>
        <w:ind w:right="100" w:firstLine="391"/>
        <w:spacing w:after="0" w:line="282" w:lineRule="auto"/>
        <w:rPr>
          <w:sz w:val="20"/>
          <w:szCs w:val="20"/>
          <w:color w:val="auto"/>
        </w:rPr>
      </w:pPr>
      <w:r>
        <w:rPr>
          <w:rFonts w:ascii="Times New Roman" w:cs="Times New Roman" w:eastAsia="Times New Roman" w:hAnsi="Times New Roman"/>
          <w:sz w:val="16"/>
          <w:szCs w:val="16"/>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10" w:lineRule="exact"/>
        <w:rPr>
          <w:sz w:val="20"/>
          <w:szCs w:val="20"/>
          <w:color w:val="auto"/>
        </w:rPr>
      </w:pPr>
    </w:p>
    <w:p>
      <w:pPr>
        <w:ind w:left="40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42" w:lineRule="exact"/>
        <w:rPr>
          <w:sz w:val="20"/>
          <w:szCs w:val="20"/>
          <w:color w:val="auto"/>
        </w:rPr>
      </w:pPr>
    </w:p>
    <w:p>
      <w:pPr>
        <w:jc w:val="both"/>
        <w:ind w:right="100" w:firstLine="391"/>
        <w:spacing w:after="0" w:line="253" w:lineRule="auto"/>
        <w:rPr>
          <w:sz w:val="20"/>
          <w:szCs w:val="20"/>
          <w:color w:val="auto"/>
        </w:rPr>
      </w:pPr>
      <w:r>
        <w:rPr>
          <w:rFonts w:ascii="Times New Roman" w:cs="Times New Roman" w:eastAsia="Times New Roman" w:hAnsi="Times New Roman"/>
          <w:sz w:val="18"/>
          <w:szCs w:val="18"/>
          <w:color w:val="auto"/>
        </w:rPr>
        <w:t>On June 6, 2024, the Company’s Board of Directors declared a cash dividend with respect to the quarter ended May 4, 2024 of $0.11 per share of outstanding common stock of the Company, payable on July 18, 2024, to stockholders of record as of the close of business on June 20, 2024.</w:t>
      </w:r>
    </w:p>
    <w:p>
      <w:pPr>
        <w:spacing w:after="0" w:line="200" w:lineRule="exact"/>
        <w:rPr>
          <w:sz w:val="20"/>
          <w:szCs w:val="20"/>
          <w:color w:val="auto"/>
        </w:rPr>
      </w:pPr>
    </w:p>
    <w:p>
      <w:pPr>
        <w:spacing w:after="0" w:line="230" w:lineRule="exact"/>
        <w:rPr>
          <w:sz w:val="20"/>
          <w:szCs w:val="20"/>
          <w:color w:val="auto"/>
        </w:rPr>
      </w:pPr>
    </w:p>
    <w:p>
      <w:pPr>
        <w:ind w:left="40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7"/>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26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00" w:type="dxa"/>
            <w:vAlign w:val="bottom"/>
          </w:tcPr>
          <w:p>
            <w:pPr>
              <w:spacing w:after="0"/>
              <w:rPr>
                <w:sz w:val="24"/>
                <w:szCs w:val="24"/>
                <w:color w:val="auto"/>
              </w:rPr>
            </w:pPr>
          </w:p>
        </w:tc>
      </w:tr>
      <w:tr>
        <w:trPr>
          <w:trHeight w:val="27"/>
        </w:trPr>
        <w:tc>
          <w:tcPr>
            <w:tcW w:w="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1"/>
        </w:trPr>
        <w:tc>
          <w:tcPr>
            <w:tcW w:w="400" w:type="dxa"/>
            <w:vAlign w:val="bottom"/>
          </w:tcPr>
          <w:p>
            <w:pPr>
              <w:spacing w:after="0"/>
              <w:rPr>
                <w:sz w:val="16"/>
                <w:szCs w:val="16"/>
                <w:color w:val="auto"/>
              </w:rPr>
            </w:pPr>
          </w:p>
        </w:tc>
        <w:tc>
          <w:tcPr>
            <w:tcW w:w="1480" w:type="dxa"/>
            <w:vAlign w:val="bottom"/>
            <w:tcBorders>
              <w:top w:val="single" w:sz="8" w:color="auto"/>
            </w:tcBorders>
            <w:gridSpan w:val="3"/>
            <w:shd w:val="clear" w:color="auto" w:fill="CCEEFF"/>
          </w:tcPr>
          <w:p>
            <w:pPr>
              <w:ind w:left="180"/>
              <w:spacing w:after="0" w:line="190"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Borders>
              <w:top w:val="single" w:sz="8" w:color="CCEEFF"/>
            </w:tcBorders>
            <w:shd w:val="clear" w:color="auto" w:fill="CCEEFF"/>
          </w:tcPr>
          <w:p>
            <w:pPr>
              <w:spacing w:after="0"/>
              <w:rPr>
                <w:sz w:val="16"/>
                <w:szCs w:val="16"/>
                <w:color w:val="auto"/>
              </w:rPr>
            </w:pPr>
          </w:p>
        </w:tc>
        <w:tc>
          <w:tcPr>
            <w:tcW w:w="9260" w:type="dxa"/>
            <w:vAlign w:val="bottom"/>
            <w:tcBorders>
              <w:top w:val="single" w:sz="8" w:color="auto"/>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Academy Sports and Outdoors, Inc. Press Release, dated June 11, 2024.</w:t>
            </w:r>
          </w:p>
        </w:tc>
        <w:tc>
          <w:tcPr>
            <w:tcW w:w="100" w:type="dxa"/>
            <w:vAlign w:val="bottom"/>
            <w:tcBorders>
              <w:top w:val="single" w:sz="8" w:color="auto"/>
            </w:tcBorders>
            <w:shd w:val="clear" w:color="auto" w:fill="CCEEFF"/>
          </w:tcPr>
          <w:p>
            <w:pPr>
              <w:spacing w:after="0"/>
              <w:rPr>
                <w:sz w:val="16"/>
                <w:szCs w:val="16"/>
                <w:color w:val="auto"/>
              </w:rPr>
            </w:pPr>
          </w:p>
        </w:tc>
      </w:tr>
      <w:tr>
        <w:trPr>
          <w:trHeight w:val="46"/>
        </w:trPr>
        <w:tc>
          <w:tcPr>
            <w:tcW w:w="400" w:type="dxa"/>
            <w:vAlign w:val="bottom"/>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92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r>
      <w:tr>
        <w:trPr>
          <w:trHeight w:val="236"/>
        </w:trPr>
        <w:tc>
          <w:tcPr>
            <w:tcW w:w="400" w:type="dxa"/>
            <w:vAlign w:val="bottom"/>
          </w:tcPr>
          <w:p>
            <w:pPr>
              <w:spacing w:after="0"/>
              <w:rPr>
                <w:sz w:val="20"/>
                <w:szCs w:val="20"/>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00" w:type="dxa"/>
            <w:vAlign w:val="bottom"/>
          </w:tcPr>
          <w:p>
            <w:pPr>
              <w:spacing w:after="0"/>
              <w:rPr>
                <w:sz w:val="20"/>
                <w:szCs w:val="20"/>
                <w:color w:val="auto"/>
              </w:rPr>
            </w:pPr>
          </w:p>
        </w:tc>
      </w:tr>
      <w:tr>
        <w:trPr>
          <w:trHeight w:val="1731"/>
        </w:trPr>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382" w:right="239" w:bottom="1440" w:gutter="0" w:footer="0" w:header="0"/>
        </w:sectPr>
      </w:pPr>
    </w:p>
    <w:bookmarkStart w:id="2" w:name="page3"/>
    <w:bookmarkEnd w:id="2"/>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1" w:lineRule="exact"/>
        <w:rPr>
          <w:sz w:val="20"/>
          <w:szCs w:val="20"/>
          <w:color w:val="auto"/>
        </w:rPr>
      </w:pPr>
    </w:p>
    <w:p>
      <w:pPr>
        <w:ind w:left="3040"/>
        <w:spacing w:after="0"/>
        <w:tabs>
          <w:tab w:leader="none" w:pos="6380" w:val="left"/>
          <w:tab w:leader="none" w:pos="7060" w:val="left"/>
          <w:tab w:leader="none" w:pos="7400" w:val="left"/>
        </w:tabs>
        <w:rPr>
          <w:sz w:val="20"/>
          <w:szCs w:val="20"/>
          <w:color w:val="auto"/>
        </w:rPr>
      </w:pPr>
      <w:r>
        <w:rPr>
          <w:rFonts w:ascii="Times New Roman" w:cs="Times New Roman" w:eastAsia="Times New Roman" w:hAnsi="Times New Roman"/>
          <w:sz w:val="18"/>
          <w:szCs w:val="18"/>
          <w:color w:val="auto"/>
        </w:rPr>
        <w:t>Date: June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30480</wp:posOffset>
            </wp:positionV>
            <wp:extent cx="26485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9" w:lineRule="exact"/>
        <w:rPr>
          <w:sz w:val="20"/>
          <w:szCs w:val="20"/>
          <w:color w:val="auto"/>
        </w:rPr>
      </w:pPr>
    </w:p>
    <w:p>
      <w:pPr>
        <w:ind w:left="6400"/>
        <w:spacing w:after="0"/>
        <w:tabs>
          <w:tab w:leader="none" w:pos="706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56" w:lineRule="exact"/>
        <w:rPr>
          <w:sz w:val="20"/>
          <w:szCs w:val="20"/>
          <w:color w:val="auto"/>
        </w:rPr>
      </w:pPr>
    </w:p>
    <w:p>
      <w:pPr>
        <w:ind w:left="6400"/>
        <w:spacing w:after="0"/>
        <w:tabs>
          <w:tab w:leader="none" w:pos="7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38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2652395</wp:posOffset>
            </wp:positionH>
            <wp:positionV relativeFrom="paragraph">
              <wp:posOffset>207645</wp:posOffset>
            </wp:positionV>
            <wp:extent cx="1846580" cy="576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6580" cy="57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Academy Sports + Outdoors Reports First Quarter 2024 Results</w:t>
      </w: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Net Sales Decline (1.4)%; Comparable Sales Decline (5.7)%</w:t>
      </w: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GAAP Diluted EPS of $1.01, or $1.08 Adjusted Diluted EPS</w:t>
      </w: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Opened Two New Stores During the First Quarter</w:t>
      </w: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Returned $132 Million to Shareholders Through Share Repurchases and Dividends</w:t>
      </w:r>
    </w:p>
    <w:p>
      <w:pPr>
        <w:spacing w:after="0" w:line="230" w:lineRule="exact"/>
        <w:rPr>
          <w:sz w:val="20"/>
          <w:szCs w:val="20"/>
          <w:color w:val="auto"/>
        </w:rPr>
      </w:pPr>
    </w:p>
    <w:p>
      <w:pPr>
        <w:jc w:val="both"/>
        <w:ind w:firstLine="316"/>
        <w:spacing w:after="0" w:line="258" w:lineRule="auto"/>
        <w:rPr>
          <w:sz w:val="20"/>
          <w:szCs w:val="20"/>
          <w:color w:val="auto"/>
        </w:rPr>
      </w:pPr>
      <w:r>
        <w:rPr>
          <w:rFonts w:ascii="Arial" w:cs="Arial" w:eastAsia="Arial" w:hAnsi="Arial"/>
          <w:sz w:val="18"/>
          <w:szCs w:val="18"/>
          <w:b w:val="1"/>
          <w:bCs w:val="1"/>
          <w:color w:val="auto"/>
        </w:rPr>
        <w:t xml:space="preserve">KATY, TEXAS (Globe Newswire — June 11, 2024) </w:t>
      </w:r>
      <w:r>
        <w:rPr>
          <w:rFonts w:ascii="Arial" w:cs="Arial" w:eastAsia="Arial" w:hAnsi="Arial"/>
          <w:sz w:val="18"/>
          <w:szCs w:val="18"/>
          <w:color w:val="auto"/>
        </w:rPr>
        <w:t>– Academy Sports and Outdoors, Inc. (Nasdaq: ASO) ("Academy" 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its financial results for the first quarter ended May 4, 2024.</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Steve Lawrence, Chief Executive Officer, commented, "As expected, our first quarter results reflect that our customers remain under pressure in the current economic environment. We will navigate through the remainder of the year by continuing to lean into our position as the value leader in our space, while also inspiring customers to shop through introductions and expansions of new and innovative products. We will also continue making strategic investments in our long-range growth initiatives. We are pleased that we drove a positive comp in our new stores and omnichannel business. Academy has the right elements in place to achieve our long-range goals: a well-established business model, an experienced leadership team and a strong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5735320</wp:posOffset>
            </wp:positionH>
            <wp:positionV relativeFrom="paragraph">
              <wp:posOffset>165735</wp:posOffset>
            </wp:positionV>
            <wp:extent cx="8255" cy="384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38417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165735</wp:posOffset>
            </wp:positionV>
            <wp:extent cx="8255" cy="384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384175"/>
                    </a:xfrm>
                    <a:prstGeom prst="rect">
                      <a:avLst/>
                    </a:prstGeom>
                    <a:noFill/>
                  </pic:spPr>
                </pic:pic>
              </a:graphicData>
            </a:graphic>
          </wp:anchor>
        </w:drawing>
      </w:r>
    </w:p>
    <w:p>
      <w:pPr>
        <w:spacing w:after="0" w:line="221" w:lineRule="exact"/>
        <w:rPr>
          <w:sz w:val="20"/>
          <w:szCs w:val="20"/>
          <w:color w:val="auto"/>
        </w:rPr>
      </w:pPr>
    </w:p>
    <w:tbl>
      <w:tblPr>
        <w:tblLayout w:type="fixed"/>
        <w:tblInd w:w="810" w:type="dxa"/>
        <w:tblCellMar>
          <w:top w:w="0" w:type="dxa"/>
          <w:left w:w="0" w:type="dxa"/>
          <w:bottom w:w="0" w:type="dxa"/>
          <w:right w:w="0" w:type="dxa"/>
        </w:tblCellMar>
      </w:tblPr>
      <w:tr>
        <w:trPr>
          <w:trHeight w:val="245"/>
        </w:trPr>
        <w:tc>
          <w:tcPr>
            <w:tcW w:w="4300" w:type="dxa"/>
            <w:vAlign w:val="bottom"/>
            <w:tcBorders>
              <w:top w:val="single" w:sz="8" w:color="auto"/>
              <w:left w:val="single" w:sz="8" w:color="auto"/>
            </w:tcBorders>
            <w:vMerge w:val="restart"/>
            <w:shd w:val="clear" w:color="auto" w:fill="1928A0"/>
          </w:tcPr>
          <w:p>
            <w:pPr>
              <w:ind w:left="20"/>
              <w:spacing w:after="0"/>
              <w:rPr>
                <w:sz w:val="20"/>
                <w:szCs w:val="20"/>
                <w:color w:val="auto"/>
              </w:rPr>
            </w:pPr>
            <w:r>
              <w:rPr>
                <w:rFonts w:ascii="Calibri" w:cs="Calibri" w:eastAsia="Calibri" w:hAnsi="Calibri"/>
                <w:sz w:val="19"/>
                <w:szCs w:val="19"/>
                <w:b w:val="1"/>
                <w:bCs w:val="1"/>
                <w:color w:val="FFFFFF"/>
              </w:rPr>
              <w:t>First Quarter Operatng Results</w:t>
            </w:r>
          </w:p>
        </w:tc>
        <w:tc>
          <w:tcPr>
            <w:tcW w:w="280" w:type="dxa"/>
            <w:vAlign w:val="bottom"/>
            <w:tcBorders>
              <w:top w:val="single" w:sz="8" w:color="auto"/>
            </w:tcBorders>
            <w:shd w:val="clear" w:color="auto" w:fill="1928A0"/>
          </w:tcPr>
          <w:p>
            <w:pPr>
              <w:spacing w:after="0"/>
              <w:rPr>
                <w:sz w:val="21"/>
                <w:szCs w:val="21"/>
                <w:color w:val="auto"/>
              </w:rPr>
            </w:pPr>
          </w:p>
        </w:tc>
        <w:tc>
          <w:tcPr>
            <w:tcW w:w="3660" w:type="dxa"/>
            <w:vAlign w:val="bottom"/>
            <w:tcBorders>
              <w:top w:val="single" w:sz="8" w:color="auto"/>
            </w:tcBorders>
            <w:gridSpan w:val="3"/>
            <w:shd w:val="clear" w:color="auto" w:fill="1928A0"/>
          </w:tcPr>
          <w:p>
            <w:pPr>
              <w:jc w:val="center"/>
              <w:ind w:right="191"/>
              <w:spacing w:after="0"/>
              <w:rPr>
                <w:sz w:val="20"/>
                <w:szCs w:val="20"/>
                <w:color w:val="auto"/>
              </w:rPr>
            </w:pPr>
            <w:r>
              <w:rPr>
                <w:rFonts w:ascii="Calibri" w:cs="Calibri" w:eastAsia="Calibri" w:hAnsi="Calibri"/>
                <w:sz w:val="19"/>
                <w:szCs w:val="19"/>
                <w:b w:val="1"/>
                <w:bCs w:val="1"/>
                <w:color w:val="FFFFFF"/>
              </w:rPr>
              <w:t>Thirteen Weeks Ended</w:t>
            </w:r>
          </w:p>
        </w:tc>
        <w:tc>
          <w:tcPr>
            <w:tcW w:w="1440" w:type="dxa"/>
            <w:vAlign w:val="bottom"/>
            <w:tcBorders>
              <w:top w:val="single" w:sz="8" w:color="auto"/>
              <w:right w:val="single" w:sz="8" w:color="auto"/>
            </w:tcBorders>
            <w:shd w:val="clear" w:color="auto" w:fill="1928A0"/>
          </w:tcPr>
          <w:p>
            <w:pPr>
              <w:ind w:left="400"/>
              <w:spacing w:after="0"/>
              <w:rPr>
                <w:sz w:val="20"/>
                <w:szCs w:val="20"/>
                <w:color w:val="auto"/>
              </w:rPr>
            </w:pPr>
            <w:r>
              <w:rPr>
                <w:rFonts w:ascii="Calibri" w:cs="Calibri" w:eastAsia="Calibri" w:hAnsi="Calibri"/>
                <w:sz w:val="19"/>
                <w:szCs w:val="19"/>
                <w:b w:val="1"/>
                <w:bCs w:val="1"/>
                <w:color w:val="FFFFFF"/>
              </w:rPr>
              <w:t>Change</w:t>
            </w:r>
          </w:p>
        </w:tc>
        <w:tc>
          <w:tcPr>
            <w:tcW w:w="0" w:type="dxa"/>
            <w:vAlign w:val="bottom"/>
          </w:tcPr>
          <w:p>
            <w:pPr>
              <w:spacing w:after="0"/>
              <w:rPr>
                <w:sz w:val="1"/>
                <w:szCs w:val="1"/>
                <w:color w:val="auto"/>
              </w:rPr>
            </w:pPr>
          </w:p>
        </w:tc>
      </w:tr>
      <w:tr>
        <w:trPr>
          <w:trHeight w:val="145"/>
        </w:trPr>
        <w:tc>
          <w:tcPr>
            <w:tcW w:w="4300" w:type="dxa"/>
            <w:vAlign w:val="bottom"/>
            <w:tcBorders>
              <w:left w:val="single" w:sz="8" w:color="auto"/>
            </w:tcBorders>
            <w:vMerge w:val="continue"/>
            <w:shd w:val="clear" w:color="auto" w:fill="1928A0"/>
          </w:tcPr>
          <w:p>
            <w:pPr>
              <w:spacing w:after="0"/>
              <w:rPr>
                <w:sz w:val="12"/>
                <w:szCs w:val="12"/>
                <w:color w:val="auto"/>
              </w:rPr>
            </w:pPr>
          </w:p>
        </w:tc>
        <w:tc>
          <w:tcPr>
            <w:tcW w:w="280" w:type="dxa"/>
            <w:vAlign w:val="bottom"/>
            <w:shd w:val="clear" w:color="auto" w:fill="1928A0"/>
          </w:tcPr>
          <w:p>
            <w:pPr>
              <w:spacing w:after="0"/>
              <w:rPr>
                <w:sz w:val="12"/>
                <w:szCs w:val="12"/>
                <w:color w:val="auto"/>
              </w:rPr>
            </w:pPr>
          </w:p>
        </w:tc>
        <w:tc>
          <w:tcPr>
            <w:tcW w:w="1640" w:type="dxa"/>
            <w:vAlign w:val="bottom"/>
            <w:vMerge w:val="restart"/>
            <w:shd w:val="clear" w:color="auto" w:fill="1928A0"/>
          </w:tcPr>
          <w:p>
            <w:pPr>
              <w:jc w:val="right"/>
              <w:ind w:right="370"/>
              <w:spacing w:after="0"/>
              <w:rPr>
                <w:sz w:val="20"/>
                <w:szCs w:val="20"/>
                <w:color w:val="auto"/>
              </w:rPr>
            </w:pPr>
            <w:r>
              <w:rPr>
                <w:rFonts w:ascii="Calibri" w:cs="Calibri" w:eastAsia="Calibri" w:hAnsi="Calibri"/>
                <w:sz w:val="19"/>
                <w:szCs w:val="19"/>
                <w:b w:val="1"/>
                <w:bCs w:val="1"/>
                <w:color w:val="FFFFFF"/>
              </w:rPr>
              <w:t>May 4, 2024</w:t>
            </w:r>
          </w:p>
        </w:tc>
        <w:tc>
          <w:tcPr>
            <w:tcW w:w="280" w:type="dxa"/>
            <w:vAlign w:val="bottom"/>
            <w:shd w:val="clear" w:color="auto" w:fill="1928A0"/>
          </w:tcPr>
          <w:p>
            <w:pPr>
              <w:spacing w:after="0"/>
              <w:rPr>
                <w:sz w:val="12"/>
                <w:szCs w:val="12"/>
                <w:color w:val="auto"/>
              </w:rPr>
            </w:pPr>
          </w:p>
        </w:tc>
        <w:tc>
          <w:tcPr>
            <w:tcW w:w="1740" w:type="dxa"/>
            <w:vAlign w:val="bottom"/>
            <w:vMerge w:val="restart"/>
            <w:shd w:val="clear" w:color="auto" w:fill="1928A0"/>
          </w:tcPr>
          <w:p>
            <w:pPr>
              <w:jc w:val="right"/>
              <w:ind w:right="371"/>
              <w:spacing w:after="0"/>
              <w:rPr>
                <w:sz w:val="20"/>
                <w:szCs w:val="20"/>
                <w:color w:val="auto"/>
              </w:rPr>
            </w:pPr>
            <w:r>
              <w:rPr>
                <w:rFonts w:ascii="Calibri" w:cs="Calibri" w:eastAsia="Calibri" w:hAnsi="Calibri"/>
                <w:sz w:val="19"/>
                <w:szCs w:val="19"/>
                <w:b w:val="1"/>
                <w:bCs w:val="1"/>
                <w:color w:val="FFFFFF"/>
              </w:rPr>
              <w:t>April 29, 2023</w:t>
            </w:r>
          </w:p>
        </w:tc>
        <w:tc>
          <w:tcPr>
            <w:tcW w:w="1440" w:type="dxa"/>
            <w:vAlign w:val="bottom"/>
            <w:tcBorders>
              <w:right w:val="single" w:sz="8" w:color="auto"/>
            </w:tcBorders>
            <w:vMerge w:val="restart"/>
            <w:shd w:val="clear" w:color="auto" w:fill="1928A0"/>
          </w:tcPr>
          <w:p>
            <w:pPr>
              <w:jc w:val="center"/>
              <w:spacing w:after="0"/>
              <w:rPr>
                <w:sz w:val="20"/>
                <w:szCs w:val="20"/>
                <w:color w:val="auto"/>
              </w:rPr>
            </w:pPr>
            <w:r>
              <w:rPr>
                <w:rFonts w:ascii="Calibri" w:cs="Calibri" w:eastAsia="Calibri" w:hAnsi="Calibri"/>
                <w:sz w:val="19"/>
                <w:szCs w:val="19"/>
                <w:b w:val="1"/>
                <w:bCs w:val="1"/>
                <w:color w:val="FFFFFF"/>
              </w:rPr>
              <w:t>%</w:t>
            </w:r>
          </w:p>
        </w:tc>
        <w:tc>
          <w:tcPr>
            <w:tcW w:w="0" w:type="dxa"/>
            <w:vAlign w:val="bottom"/>
          </w:tcPr>
          <w:p>
            <w:pPr>
              <w:spacing w:after="0"/>
              <w:rPr>
                <w:sz w:val="1"/>
                <w:szCs w:val="1"/>
                <w:color w:val="auto"/>
              </w:rPr>
            </w:pPr>
          </w:p>
        </w:tc>
      </w:tr>
      <w:tr>
        <w:trPr>
          <w:trHeight w:val="202"/>
        </w:trPr>
        <w:tc>
          <w:tcPr>
            <w:tcW w:w="430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12"/>
                <w:szCs w:val="12"/>
                <w:b w:val="1"/>
                <w:bCs w:val="1"/>
                <w:color w:val="FFFFFF"/>
              </w:rPr>
              <w:t>($ in millions, except per share data)</w:t>
            </w:r>
          </w:p>
        </w:tc>
        <w:tc>
          <w:tcPr>
            <w:tcW w:w="280" w:type="dxa"/>
            <w:vAlign w:val="bottom"/>
            <w:tcBorders>
              <w:bottom w:val="single" w:sz="8" w:color="1928A0"/>
            </w:tcBorders>
            <w:shd w:val="clear" w:color="auto" w:fill="1928A0"/>
          </w:tcPr>
          <w:p>
            <w:pPr>
              <w:spacing w:after="0"/>
              <w:rPr>
                <w:sz w:val="17"/>
                <w:szCs w:val="17"/>
                <w:color w:val="auto"/>
              </w:rPr>
            </w:pPr>
          </w:p>
        </w:tc>
        <w:tc>
          <w:tcPr>
            <w:tcW w:w="1640" w:type="dxa"/>
            <w:vAlign w:val="bottom"/>
            <w:tcBorders>
              <w:bottom w:val="single" w:sz="8" w:color="1928A0"/>
            </w:tcBorders>
            <w:vMerge w:val="continue"/>
            <w:shd w:val="clear" w:color="auto" w:fill="1928A0"/>
          </w:tcPr>
          <w:p>
            <w:pPr>
              <w:spacing w:after="0"/>
              <w:rPr>
                <w:sz w:val="17"/>
                <w:szCs w:val="17"/>
                <w:color w:val="auto"/>
              </w:rPr>
            </w:pPr>
          </w:p>
        </w:tc>
        <w:tc>
          <w:tcPr>
            <w:tcW w:w="280" w:type="dxa"/>
            <w:vAlign w:val="bottom"/>
            <w:tcBorders>
              <w:bottom w:val="single" w:sz="8" w:color="1928A0"/>
            </w:tcBorders>
            <w:shd w:val="clear" w:color="auto" w:fill="1928A0"/>
          </w:tcPr>
          <w:p>
            <w:pPr>
              <w:spacing w:after="0"/>
              <w:rPr>
                <w:sz w:val="17"/>
                <w:szCs w:val="17"/>
                <w:color w:val="auto"/>
              </w:rPr>
            </w:pPr>
          </w:p>
        </w:tc>
        <w:tc>
          <w:tcPr>
            <w:tcW w:w="1740" w:type="dxa"/>
            <w:vAlign w:val="bottom"/>
            <w:tcBorders>
              <w:bottom w:val="single" w:sz="8" w:color="1928A0"/>
            </w:tcBorders>
            <w:vMerge w:val="continue"/>
            <w:shd w:val="clear" w:color="auto" w:fill="1928A0"/>
          </w:tcPr>
          <w:p>
            <w:pPr>
              <w:spacing w:after="0"/>
              <w:rPr>
                <w:sz w:val="17"/>
                <w:szCs w:val="17"/>
                <w:color w:val="auto"/>
              </w:rPr>
            </w:pPr>
          </w:p>
        </w:tc>
        <w:tc>
          <w:tcPr>
            <w:tcW w:w="1440" w:type="dxa"/>
            <w:vAlign w:val="bottom"/>
            <w:tcBorders>
              <w:bottom w:val="single" w:sz="8" w:color="1928A0"/>
              <w:right w:val="single" w:sz="8" w:color="auto"/>
            </w:tcBorders>
            <w:vMerge w:val="continue"/>
            <w:shd w:val="clear" w:color="auto" w:fill="1928A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DBDBDB"/>
              <w:left w:val="single" w:sz="8" w:color="auto"/>
              <w:bottom w:val="single" w:sz="8" w:color="DBDBDB"/>
            </w:tcBorders>
            <w:shd w:val="clear" w:color="auto" w:fill="DBDBDB"/>
          </w:tcPr>
          <w:p>
            <w:pPr>
              <w:ind w:left="20"/>
              <w:spacing w:after="0" w:line="206" w:lineRule="exact"/>
              <w:rPr>
                <w:sz w:val="20"/>
                <w:szCs w:val="20"/>
                <w:color w:val="auto"/>
              </w:rPr>
            </w:pPr>
            <w:r>
              <w:rPr>
                <w:rFonts w:ascii="Calibri" w:cs="Calibri" w:eastAsia="Calibri" w:hAnsi="Calibri"/>
                <w:sz w:val="18"/>
                <w:szCs w:val="18"/>
                <w:color w:val="auto"/>
              </w:rPr>
              <w:t>Net sales</w:t>
            </w:r>
          </w:p>
        </w:tc>
        <w:tc>
          <w:tcPr>
            <w:tcW w:w="280" w:type="dxa"/>
            <w:vAlign w:val="bottom"/>
            <w:tcBorders>
              <w:top w:val="single" w:sz="8" w:color="auto"/>
              <w:bottom w:val="single" w:sz="8" w:color="DBDBDB"/>
            </w:tcBorders>
            <w:shd w:val="clear" w:color="auto" w:fill="DBDBDB"/>
          </w:tcPr>
          <w:p>
            <w:pPr>
              <w:jc w:val="right"/>
              <w:ind w:right="92"/>
              <w:spacing w:after="0" w:line="206" w:lineRule="exact"/>
              <w:rPr>
                <w:sz w:val="20"/>
                <w:szCs w:val="20"/>
                <w:color w:val="auto"/>
              </w:rPr>
            </w:pPr>
            <w:r>
              <w:rPr>
                <w:rFonts w:ascii="Calibri" w:cs="Calibri" w:eastAsia="Calibri" w:hAnsi="Calibri"/>
                <w:sz w:val="18"/>
                <w:szCs w:val="18"/>
                <w:color w:val="auto"/>
                <w:w w:val="87"/>
              </w:rPr>
              <w:t>$</w:t>
            </w:r>
          </w:p>
        </w:tc>
        <w:tc>
          <w:tcPr>
            <w:tcW w:w="1640" w:type="dxa"/>
            <w:vAlign w:val="bottom"/>
            <w:tcBorders>
              <w:top w:val="single" w:sz="8" w:color="auto"/>
              <w:bottom w:val="single" w:sz="8" w:color="DBDBDB"/>
            </w:tcBorders>
            <w:shd w:val="clear" w:color="auto" w:fill="DBDBDB"/>
          </w:tcPr>
          <w:p>
            <w:pPr>
              <w:jc w:val="right"/>
              <w:ind w:right="90"/>
              <w:spacing w:after="0" w:line="206" w:lineRule="exact"/>
              <w:rPr>
                <w:sz w:val="20"/>
                <w:szCs w:val="20"/>
                <w:color w:val="auto"/>
              </w:rPr>
            </w:pPr>
            <w:r>
              <w:rPr>
                <w:rFonts w:ascii="Calibri" w:cs="Calibri" w:eastAsia="Calibri" w:hAnsi="Calibri"/>
                <w:sz w:val="18"/>
                <w:szCs w:val="18"/>
                <w:color w:val="auto"/>
              </w:rPr>
              <w:t>1,364.2</w:t>
            </w:r>
          </w:p>
        </w:tc>
        <w:tc>
          <w:tcPr>
            <w:tcW w:w="280" w:type="dxa"/>
            <w:vAlign w:val="bottom"/>
            <w:tcBorders>
              <w:top w:val="single" w:sz="8" w:color="auto"/>
              <w:bottom w:val="single" w:sz="8" w:color="DBDBDB"/>
            </w:tcBorders>
            <w:shd w:val="clear" w:color="auto" w:fill="DBDBDB"/>
          </w:tcPr>
          <w:p>
            <w:pPr>
              <w:jc w:val="center"/>
              <w:ind w:right="72"/>
              <w:spacing w:after="0" w:line="206" w:lineRule="exact"/>
              <w:rPr>
                <w:sz w:val="20"/>
                <w:szCs w:val="20"/>
                <w:color w:val="auto"/>
              </w:rPr>
            </w:pPr>
            <w:r>
              <w:rPr>
                <w:rFonts w:ascii="Calibri" w:cs="Calibri" w:eastAsia="Calibri" w:hAnsi="Calibri"/>
                <w:sz w:val="18"/>
                <w:szCs w:val="18"/>
                <w:color w:val="auto"/>
                <w:w w:val="87"/>
              </w:rPr>
              <w:t>$</w:t>
            </w:r>
          </w:p>
        </w:tc>
        <w:tc>
          <w:tcPr>
            <w:tcW w:w="1740" w:type="dxa"/>
            <w:vAlign w:val="bottom"/>
            <w:tcBorders>
              <w:top w:val="single" w:sz="8" w:color="auto"/>
              <w:bottom w:val="single" w:sz="8" w:color="DBDBDB"/>
            </w:tcBorders>
            <w:shd w:val="clear" w:color="auto" w:fill="DBDBDB"/>
          </w:tcPr>
          <w:p>
            <w:pPr>
              <w:jc w:val="right"/>
              <w:ind w:right="91"/>
              <w:spacing w:after="0" w:line="206" w:lineRule="exact"/>
              <w:rPr>
                <w:sz w:val="20"/>
                <w:szCs w:val="20"/>
                <w:color w:val="auto"/>
              </w:rPr>
            </w:pPr>
            <w:r>
              <w:rPr>
                <w:rFonts w:ascii="Calibri" w:cs="Calibri" w:eastAsia="Calibri" w:hAnsi="Calibri"/>
                <w:sz w:val="18"/>
                <w:szCs w:val="18"/>
                <w:color w:val="auto"/>
              </w:rPr>
              <w:t>1,383.6</w:t>
            </w:r>
          </w:p>
        </w:tc>
        <w:tc>
          <w:tcPr>
            <w:tcW w:w="1440" w:type="dxa"/>
            <w:vAlign w:val="bottom"/>
            <w:tcBorders>
              <w:top w:val="single" w:sz="8" w:color="DBDBDB"/>
              <w:bottom w:val="single" w:sz="8" w:color="DBDBDB"/>
              <w:right w:val="single" w:sz="8" w:color="auto"/>
            </w:tcBorders>
            <w:shd w:val="clear" w:color="auto" w:fill="DBDBDB"/>
          </w:tcPr>
          <w:p>
            <w:pPr>
              <w:jc w:val="center"/>
              <w:spacing w:after="0" w:line="206" w:lineRule="exact"/>
              <w:rPr>
                <w:sz w:val="20"/>
                <w:szCs w:val="20"/>
                <w:color w:val="auto"/>
              </w:rPr>
            </w:pPr>
            <w:r>
              <w:rPr>
                <w:rFonts w:ascii="Calibri" w:cs="Calibri" w:eastAsia="Calibri" w:hAnsi="Calibri"/>
                <w:sz w:val="18"/>
                <w:szCs w:val="18"/>
                <w:color w:val="auto"/>
                <w:w w:val="94"/>
              </w:rPr>
              <w:t>(1.4)%</w:t>
            </w: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tcBorders>
          </w:tcPr>
          <w:p>
            <w:pPr>
              <w:ind w:left="20"/>
              <w:spacing w:after="0" w:line="263" w:lineRule="exact"/>
              <w:rPr>
                <w:sz w:val="20"/>
                <w:szCs w:val="20"/>
                <w:color w:val="auto"/>
              </w:rPr>
            </w:pPr>
            <w:r>
              <w:rPr>
                <w:rFonts w:ascii="Calibri" w:cs="Calibri" w:eastAsia="Calibri" w:hAnsi="Calibri"/>
                <w:sz w:val="18"/>
                <w:szCs w:val="18"/>
                <w:color w:val="auto"/>
              </w:rPr>
              <w:t xml:space="preserve">Comparable sales </w:t>
            </w:r>
            <w:r>
              <w:rPr>
                <w:rFonts w:ascii="Calibri" w:cs="Calibri" w:eastAsia="Calibri" w:hAnsi="Calibri"/>
                <w:sz w:val="22"/>
                <w:szCs w:val="22"/>
                <w:color w:val="auto"/>
                <w:vertAlign w:val="superscript"/>
              </w:rPr>
              <w:t>(1)</w:t>
            </w:r>
          </w:p>
        </w:tc>
        <w:tc>
          <w:tcPr>
            <w:tcW w:w="280" w:type="dxa"/>
            <w:vAlign w:val="bottom"/>
          </w:tcPr>
          <w:p>
            <w:pPr>
              <w:spacing w:after="0"/>
              <w:rPr>
                <w:sz w:val="22"/>
                <w:szCs w:val="22"/>
                <w:color w:val="auto"/>
              </w:rPr>
            </w:pPr>
          </w:p>
        </w:tc>
        <w:tc>
          <w:tcPr>
            <w:tcW w:w="1640" w:type="dxa"/>
            <w:vAlign w:val="bottom"/>
          </w:tcPr>
          <w:p>
            <w:pPr>
              <w:jc w:val="right"/>
              <w:spacing w:after="0" w:line="213" w:lineRule="exact"/>
              <w:rPr>
                <w:sz w:val="20"/>
                <w:szCs w:val="20"/>
                <w:color w:val="auto"/>
              </w:rPr>
            </w:pPr>
            <w:r>
              <w:rPr>
                <w:rFonts w:ascii="Calibri" w:cs="Calibri" w:eastAsia="Calibri" w:hAnsi="Calibri"/>
                <w:sz w:val="18"/>
                <w:szCs w:val="18"/>
                <w:color w:val="auto"/>
              </w:rPr>
              <w:t>(5.7)%</w:t>
            </w:r>
          </w:p>
        </w:tc>
        <w:tc>
          <w:tcPr>
            <w:tcW w:w="280" w:type="dxa"/>
            <w:vAlign w:val="bottom"/>
          </w:tcPr>
          <w:p>
            <w:pPr>
              <w:spacing w:after="0"/>
              <w:rPr>
                <w:sz w:val="22"/>
                <w:szCs w:val="22"/>
                <w:color w:val="auto"/>
              </w:rPr>
            </w:pPr>
          </w:p>
        </w:tc>
        <w:tc>
          <w:tcPr>
            <w:tcW w:w="1740" w:type="dxa"/>
            <w:vAlign w:val="bottom"/>
          </w:tcPr>
          <w:p>
            <w:pPr>
              <w:jc w:val="right"/>
              <w:spacing w:after="0" w:line="213" w:lineRule="exact"/>
              <w:rPr>
                <w:sz w:val="20"/>
                <w:szCs w:val="20"/>
                <w:color w:val="auto"/>
              </w:rPr>
            </w:pPr>
            <w:r>
              <w:rPr>
                <w:rFonts w:ascii="Calibri" w:cs="Calibri" w:eastAsia="Calibri" w:hAnsi="Calibri"/>
                <w:sz w:val="18"/>
                <w:szCs w:val="18"/>
                <w:color w:val="auto"/>
              </w:rPr>
              <w:t>(7.3)%</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Borders>
              <w:left w:val="single" w:sz="8" w:color="auto"/>
              <w:bottom w:val="single" w:sz="8" w:color="DBDBDB"/>
            </w:tcBorders>
            <w:shd w:val="clear" w:color="auto" w:fill="DBDBDB"/>
          </w:tcPr>
          <w:p>
            <w:pPr>
              <w:ind w:left="20"/>
              <w:spacing w:after="0" w:line="213" w:lineRule="exact"/>
              <w:rPr>
                <w:sz w:val="20"/>
                <w:szCs w:val="20"/>
                <w:color w:val="auto"/>
              </w:rPr>
            </w:pPr>
            <w:r>
              <w:rPr>
                <w:rFonts w:ascii="Calibri" w:cs="Calibri" w:eastAsia="Calibri" w:hAnsi="Calibri"/>
                <w:sz w:val="18"/>
                <w:szCs w:val="18"/>
                <w:color w:val="auto"/>
              </w:rPr>
              <w:t>Income before income tax</w:t>
            </w:r>
          </w:p>
        </w:tc>
        <w:tc>
          <w:tcPr>
            <w:tcW w:w="280" w:type="dxa"/>
            <w:vAlign w:val="bottom"/>
            <w:tcBorders>
              <w:bottom w:val="single" w:sz="8" w:color="DBDBDB"/>
            </w:tcBorders>
            <w:shd w:val="clear" w:color="auto" w:fill="DBDBDB"/>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640" w:type="dxa"/>
            <w:vAlign w:val="bottom"/>
            <w:tcBorders>
              <w:bottom w:val="single" w:sz="8" w:color="DBDBDB"/>
            </w:tcBorders>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97.7</w:t>
            </w:r>
          </w:p>
        </w:tc>
        <w:tc>
          <w:tcPr>
            <w:tcW w:w="280" w:type="dxa"/>
            <w:vAlign w:val="bottom"/>
            <w:tcBorders>
              <w:bottom w:val="single" w:sz="8" w:color="DBDBDB"/>
            </w:tcBorders>
            <w:shd w:val="clear" w:color="auto" w:fill="DBDBDB"/>
          </w:tcPr>
          <w:p>
            <w:pPr>
              <w:jc w:val="center"/>
              <w:ind w:right="72"/>
              <w:spacing w:after="0" w:line="213" w:lineRule="exact"/>
              <w:rPr>
                <w:sz w:val="20"/>
                <w:szCs w:val="20"/>
                <w:color w:val="auto"/>
              </w:rPr>
            </w:pPr>
            <w:r>
              <w:rPr>
                <w:rFonts w:ascii="Calibri" w:cs="Calibri" w:eastAsia="Calibri" w:hAnsi="Calibri"/>
                <w:sz w:val="18"/>
                <w:szCs w:val="18"/>
                <w:color w:val="auto"/>
                <w:w w:val="87"/>
              </w:rPr>
              <w:t>$</w:t>
            </w:r>
          </w:p>
        </w:tc>
        <w:tc>
          <w:tcPr>
            <w:tcW w:w="1740" w:type="dxa"/>
            <w:vAlign w:val="bottom"/>
            <w:tcBorders>
              <w:bottom w:val="single" w:sz="8" w:color="DBDBDB"/>
            </w:tcBorders>
            <w:shd w:val="clear" w:color="auto" w:fill="DBDBDB"/>
          </w:tcPr>
          <w:p>
            <w:pPr>
              <w:jc w:val="right"/>
              <w:ind w:right="91"/>
              <w:spacing w:after="0" w:line="213" w:lineRule="exact"/>
              <w:rPr>
                <w:sz w:val="20"/>
                <w:szCs w:val="20"/>
                <w:color w:val="auto"/>
              </w:rPr>
            </w:pPr>
            <w:r>
              <w:rPr>
                <w:rFonts w:ascii="Calibri" w:cs="Calibri" w:eastAsia="Calibri" w:hAnsi="Calibri"/>
                <w:sz w:val="18"/>
                <w:szCs w:val="18"/>
                <w:color w:val="auto"/>
              </w:rPr>
              <w:t>118.7</w:t>
            </w:r>
          </w:p>
        </w:tc>
        <w:tc>
          <w:tcPr>
            <w:tcW w:w="1440" w:type="dxa"/>
            <w:vAlign w:val="bottom"/>
            <w:tcBorders>
              <w:bottom w:val="single" w:sz="8" w:color="DBDBDB"/>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6"/>
              </w:rPr>
              <w:t>(17.7)%</w:t>
            </w:r>
          </w:p>
        </w:tc>
        <w:tc>
          <w:tcPr>
            <w:tcW w:w="0" w:type="dxa"/>
            <w:vAlign w:val="bottom"/>
          </w:tcPr>
          <w:p>
            <w:pPr>
              <w:spacing w:after="0"/>
              <w:rPr>
                <w:sz w:val="1"/>
                <w:szCs w:val="1"/>
                <w:color w:val="auto"/>
              </w:rPr>
            </w:pPr>
          </w:p>
        </w:tc>
      </w:tr>
      <w:tr>
        <w:trPr>
          <w:trHeight w:val="213"/>
        </w:trPr>
        <w:tc>
          <w:tcPr>
            <w:tcW w:w="430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Net income</w:t>
            </w:r>
          </w:p>
        </w:tc>
        <w:tc>
          <w:tcPr>
            <w:tcW w:w="280" w:type="dxa"/>
            <w:vAlign w:val="bottom"/>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640" w:type="dxa"/>
            <w:vAlign w:val="bottom"/>
          </w:tcPr>
          <w:p>
            <w:pPr>
              <w:jc w:val="right"/>
              <w:ind w:right="90"/>
              <w:spacing w:after="0" w:line="213" w:lineRule="exact"/>
              <w:rPr>
                <w:sz w:val="20"/>
                <w:szCs w:val="20"/>
                <w:color w:val="auto"/>
              </w:rPr>
            </w:pPr>
            <w:r>
              <w:rPr>
                <w:rFonts w:ascii="Calibri" w:cs="Calibri" w:eastAsia="Calibri" w:hAnsi="Calibri"/>
                <w:sz w:val="18"/>
                <w:szCs w:val="18"/>
                <w:color w:val="auto"/>
              </w:rPr>
              <w:t>76.5</w:t>
            </w:r>
          </w:p>
        </w:tc>
        <w:tc>
          <w:tcPr>
            <w:tcW w:w="280" w:type="dxa"/>
            <w:vAlign w:val="bottom"/>
          </w:tcPr>
          <w:p>
            <w:pPr>
              <w:jc w:val="center"/>
              <w:ind w:right="72"/>
              <w:spacing w:after="0" w:line="213" w:lineRule="exact"/>
              <w:rPr>
                <w:sz w:val="20"/>
                <w:szCs w:val="20"/>
                <w:color w:val="auto"/>
              </w:rPr>
            </w:pPr>
            <w:r>
              <w:rPr>
                <w:rFonts w:ascii="Calibri" w:cs="Calibri" w:eastAsia="Calibri" w:hAnsi="Calibri"/>
                <w:sz w:val="18"/>
                <w:szCs w:val="18"/>
                <w:color w:val="auto"/>
                <w:w w:val="87"/>
              </w:rPr>
              <w:t>$</w:t>
            </w:r>
          </w:p>
        </w:tc>
        <w:tc>
          <w:tcPr>
            <w:tcW w:w="1740" w:type="dxa"/>
            <w:vAlign w:val="bottom"/>
          </w:tcPr>
          <w:p>
            <w:pPr>
              <w:jc w:val="right"/>
              <w:ind w:right="91"/>
              <w:spacing w:after="0" w:line="213" w:lineRule="exact"/>
              <w:rPr>
                <w:sz w:val="20"/>
                <w:szCs w:val="20"/>
                <w:color w:val="auto"/>
              </w:rPr>
            </w:pPr>
            <w:r>
              <w:rPr>
                <w:rFonts w:ascii="Calibri" w:cs="Calibri" w:eastAsia="Calibri" w:hAnsi="Calibri"/>
                <w:sz w:val="18"/>
                <w:szCs w:val="18"/>
                <w:color w:val="auto"/>
              </w:rPr>
              <w:t>94.0</w:t>
            </w:r>
          </w:p>
        </w:tc>
        <w:tc>
          <w:tcPr>
            <w:tcW w:w="14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6"/>
              </w:rPr>
              <w:t>(18.6)%</w:t>
            </w:r>
          </w:p>
        </w:tc>
        <w:tc>
          <w:tcPr>
            <w:tcW w:w="0" w:type="dxa"/>
            <w:vAlign w:val="bottom"/>
          </w:tcPr>
          <w:p>
            <w:pPr>
              <w:spacing w:after="0"/>
              <w:rPr>
                <w:sz w:val="1"/>
                <w:szCs w:val="1"/>
                <w:color w:val="auto"/>
              </w:rPr>
            </w:pPr>
          </w:p>
        </w:tc>
      </w:tr>
      <w:tr>
        <w:trPr>
          <w:trHeight w:val="50"/>
        </w:trPr>
        <w:tc>
          <w:tcPr>
            <w:tcW w:w="4300" w:type="dxa"/>
            <w:vAlign w:val="bottom"/>
            <w:tcBorders>
              <w:lef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tcBorders>
            <w:shd w:val="clear" w:color="auto" w:fill="DBDBDB"/>
          </w:tcPr>
          <w:p>
            <w:pPr>
              <w:ind w:left="20"/>
              <w:spacing w:after="0" w:line="263" w:lineRule="exact"/>
              <w:rPr>
                <w:sz w:val="20"/>
                <w:szCs w:val="20"/>
                <w:color w:val="auto"/>
              </w:rPr>
            </w:pPr>
            <w:r>
              <w:rPr>
                <w:rFonts w:ascii="Calibri" w:cs="Calibri" w:eastAsia="Calibri" w:hAnsi="Calibri"/>
                <w:sz w:val="18"/>
                <w:szCs w:val="18"/>
                <w:color w:val="auto"/>
              </w:rPr>
              <w:t xml:space="preserve">Adjusted net income </w:t>
            </w:r>
            <w:r>
              <w:rPr>
                <w:rFonts w:ascii="Calibri" w:cs="Calibri" w:eastAsia="Calibri" w:hAnsi="Calibri"/>
                <w:sz w:val="22"/>
                <w:szCs w:val="22"/>
                <w:color w:val="auto"/>
                <w:vertAlign w:val="superscript"/>
              </w:rPr>
              <w:t>(2)</w:t>
            </w:r>
          </w:p>
        </w:tc>
        <w:tc>
          <w:tcPr>
            <w:tcW w:w="280" w:type="dxa"/>
            <w:vAlign w:val="bottom"/>
            <w:shd w:val="clear" w:color="auto" w:fill="DBDBDB"/>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640" w:type="dxa"/>
            <w:vAlign w:val="bottom"/>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81.6</w:t>
            </w:r>
          </w:p>
        </w:tc>
        <w:tc>
          <w:tcPr>
            <w:tcW w:w="280" w:type="dxa"/>
            <w:vAlign w:val="bottom"/>
            <w:shd w:val="clear" w:color="auto" w:fill="DBDBDB"/>
          </w:tcPr>
          <w:p>
            <w:pPr>
              <w:jc w:val="center"/>
              <w:ind w:right="72"/>
              <w:spacing w:after="0" w:line="213" w:lineRule="exact"/>
              <w:rPr>
                <w:sz w:val="20"/>
                <w:szCs w:val="20"/>
                <w:color w:val="auto"/>
              </w:rPr>
            </w:pPr>
            <w:r>
              <w:rPr>
                <w:rFonts w:ascii="Calibri" w:cs="Calibri" w:eastAsia="Calibri" w:hAnsi="Calibri"/>
                <w:sz w:val="18"/>
                <w:szCs w:val="18"/>
                <w:color w:val="auto"/>
                <w:w w:val="87"/>
              </w:rPr>
              <w:t>$</w:t>
            </w:r>
          </w:p>
        </w:tc>
        <w:tc>
          <w:tcPr>
            <w:tcW w:w="1740" w:type="dxa"/>
            <w:vAlign w:val="bottom"/>
            <w:shd w:val="clear" w:color="auto" w:fill="DBDBDB"/>
          </w:tcPr>
          <w:p>
            <w:pPr>
              <w:jc w:val="right"/>
              <w:ind w:right="91"/>
              <w:spacing w:after="0" w:line="213" w:lineRule="exact"/>
              <w:rPr>
                <w:sz w:val="20"/>
                <w:szCs w:val="20"/>
                <w:color w:val="auto"/>
              </w:rPr>
            </w:pPr>
            <w:r>
              <w:rPr>
                <w:rFonts w:ascii="Calibri" w:cs="Calibri" w:eastAsia="Calibri" w:hAnsi="Calibri"/>
                <w:sz w:val="18"/>
                <w:szCs w:val="18"/>
                <w:color w:val="auto"/>
              </w:rPr>
              <w:t>103.0</w:t>
            </w:r>
          </w:p>
        </w:tc>
        <w:tc>
          <w:tcPr>
            <w:tcW w:w="1440" w:type="dxa"/>
            <w:vAlign w:val="bottom"/>
            <w:tcBorders>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6"/>
              </w:rPr>
              <w:t>(20.8)%</w:t>
            </w:r>
          </w:p>
        </w:tc>
        <w:tc>
          <w:tcPr>
            <w:tcW w:w="0" w:type="dxa"/>
            <w:vAlign w:val="bottom"/>
          </w:tcPr>
          <w:p>
            <w:pPr>
              <w:spacing w:after="0"/>
              <w:rPr>
                <w:sz w:val="1"/>
                <w:szCs w:val="1"/>
                <w:color w:val="auto"/>
              </w:rPr>
            </w:pPr>
          </w:p>
        </w:tc>
      </w:tr>
      <w:tr>
        <w:trPr>
          <w:trHeight w:val="213"/>
        </w:trPr>
        <w:tc>
          <w:tcPr>
            <w:tcW w:w="430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Earnings per common share, diluted</w:t>
            </w:r>
          </w:p>
        </w:tc>
        <w:tc>
          <w:tcPr>
            <w:tcW w:w="280" w:type="dxa"/>
            <w:vAlign w:val="bottom"/>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640" w:type="dxa"/>
            <w:vAlign w:val="bottom"/>
          </w:tcPr>
          <w:p>
            <w:pPr>
              <w:jc w:val="right"/>
              <w:ind w:right="90"/>
              <w:spacing w:after="0" w:line="213" w:lineRule="exact"/>
              <w:rPr>
                <w:sz w:val="20"/>
                <w:szCs w:val="20"/>
                <w:color w:val="auto"/>
              </w:rPr>
            </w:pPr>
            <w:r>
              <w:rPr>
                <w:rFonts w:ascii="Calibri" w:cs="Calibri" w:eastAsia="Calibri" w:hAnsi="Calibri"/>
                <w:sz w:val="18"/>
                <w:szCs w:val="18"/>
                <w:color w:val="auto"/>
              </w:rPr>
              <w:t>1.01</w:t>
            </w:r>
          </w:p>
        </w:tc>
        <w:tc>
          <w:tcPr>
            <w:tcW w:w="280" w:type="dxa"/>
            <w:vAlign w:val="bottom"/>
          </w:tcPr>
          <w:p>
            <w:pPr>
              <w:jc w:val="center"/>
              <w:ind w:right="72"/>
              <w:spacing w:after="0" w:line="213" w:lineRule="exact"/>
              <w:rPr>
                <w:sz w:val="20"/>
                <w:szCs w:val="20"/>
                <w:color w:val="auto"/>
              </w:rPr>
            </w:pPr>
            <w:r>
              <w:rPr>
                <w:rFonts w:ascii="Calibri" w:cs="Calibri" w:eastAsia="Calibri" w:hAnsi="Calibri"/>
                <w:sz w:val="18"/>
                <w:szCs w:val="18"/>
                <w:color w:val="auto"/>
                <w:w w:val="87"/>
              </w:rPr>
              <w:t>$</w:t>
            </w:r>
          </w:p>
        </w:tc>
        <w:tc>
          <w:tcPr>
            <w:tcW w:w="1740" w:type="dxa"/>
            <w:vAlign w:val="bottom"/>
          </w:tcPr>
          <w:p>
            <w:pPr>
              <w:jc w:val="right"/>
              <w:ind w:right="91"/>
              <w:spacing w:after="0" w:line="213" w:lineRule="exact"/>
              <w:rPr>
                <w:sz w:val="20"/>
                <w:szCs w:val="20"/>
                <w:color w:val="auto"/>
              </w:rPr>
            </w:pPr>
            <w:r>
              <w:rPr>
                <w:rFonts w:ascii="Calibri" w:cs="Calibri" w:eastAsia="Calibri" w:hAnsi="Calibri"/>
                <w:sz w:val="18"/>
                <w:szCs w:val="18"/>
                <w:color w:val="auto"/>
              </w:rPr>
              <w:t>1.19</w:t>
            </w:r>
          </w:p>
        </w:tc>
        <w:tc>
          <w:tcPr>
            <w:tcW w:w="14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6"/>
              </w:rPr>
              <w:t>(15.1)%</w:t>
            </w:r>
          </w:p>
        </w:tc>
        <w:tc>
          <w:tcPr>
            <w:tcW w:w="0" w:type="dxa"/>
            <w:vAlign w:val="bottom"/>
          </w:tcPr>
          <w:p>
            <w:pPr>
              <w:spacing w:after="0"/>
              <w:rPr>
                <w:sz w:val="1"/>
                <w:szCs w:val="1"/>
                <w:color w:val="auto"/>
              </w:rPr>
            </w:pPr>
          </w:p>
        </w:tc>
      </w:tr>
      <w:tr>
        <w:trPr>
          <w:trHeight w:val="50"/>
        </w:trPr>
        <w:tc>
          <w:tcPr>
            <w:tcW w:w="4300" w:type="dxa"/>
            <w:vAlign w:val="bottom"/>
            <w:tcBorders>
              <w:lef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bottom w:val="single" w:sz="8" w:color="auto"/>
            </w:tcBorders>
            <w:shd w:val="clear" w:color="auto" w:fill="DBDBDB"/>
          </w:tcPr>
          <w:p>
            <w:pPr>
              <w:ind w:left="20"/>
              <w:spacing w:after="0" w:line="263" w:lineRule="exact"/>
              <w:rPr>
                <w:sz w:val="20"/>
                <w:szCs w:val="20"/>
                <w:color w:val="auto"/>
              </w:rPr>
            </w:pPr>
            <w:r>
              <w:rPr>
                <w:rFonts w:ascii="Calibri" w:cs="Calibri" w:eastAsia="Calibri" w:hAnsi="Calibri"/>
                <w:sz w:val="18"/>
                <w:szCs w:val="18"/>
                <w:color w:val="auto"/>
              </w:rPr>
              <w:t xml:space="preserve">Adjusted earnings per common share, diluted </w:t>
            </w:r>
            <w:r>
              <w:rPr>
                <w:rFonts w:ascii="Calibri" w:cs="Calibri" w:eastAsia="Calibri" w:hAnsi="Calibri"/>
                <w:sz w:val="22"/>
                <w:szCs w:val="22"/>
                <w:color w:val="auto"/>
                <w:vertAlign w:val="superscript"/>
              </w:rPr>
              <w:t>(1)</w:t>
            </w:r>
          </w:p>
        </w:tc>
        <w:tc>
          <w:tcPr>
            <w:tcW w:w="280" w:type="dxa"/>
            <w:vAlign w:val="bottom"/>
            <w:tcBorders>
              <w:bottom w:val="single" w:sz="8" w:color="auto"/>
            </w:tcBorders>
            <w:shd w:val="clear" w:color="auto" w:fill="DBDBDB"/>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640" w:type="dxa"/>
            <w:vAlign w:val="bottom"/>
            <w:tcBorders>
              <w:bottom w:val="single" w:sz="8" w:color="auto"/>
            </w:tcBorders>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1.08</w:t>
            </w:r>
          </w:p>
        </w:tc>
        <w:tc>
          <w:tcPr>
            <w:tcW w:w="280" w:type="dxa"/>
            <w:vAlign w:val="bottom"/>
            <w:tcBorders>
              <w:bottom w:val="single" w:sz="8" w:color="auto"/>
            </w:tcBorders>
            <w:shd w:val="clear" w:color="auto" w:fill="DBDBDB"/>
          </w:tcPr>
          <w:p>
            <w:pPr>
              <w:jc w:val="center"/>
              <w:ind w:right="72"/>
              <w:spacing w:after="0" w:line="213" w:lineRule="exact"/>
              <w:rPr>
                <w:sz w:val="20"/>
                <w:szCs w:val="20"/>
                <w:color w:val="auto"/>
              </w:rPr>
            </w:pPr>
            <w:r>
              <w:rPr>
                <w:rFonts w:ascii="Calibri" w:cs="Calibri" w:eastAsia="Calibri" w:hAnsi="Calibri"/>
                <w:sz w:val="18"/>
                <w:szCs w:val="18"/>
                <w:color w:val="auto"/>
                <w:w w:val="87"/>
              </w:rPr>
              <w:t>$</w:t>
            </w:r>
          </w:p>
        </w:tc>
        <w:tc>
          <w:tcPr>
            <w:tcW w:w="1740" w:type="dxa"/>
            <w:vAlign w:val="bottom"/>
            <w:tcBorders>
              <w:bottom w:val="single" w:sz="8" w:color="auto"/>
            </w:tcBorders>
            <w:shd w:val="clear" w:color="auto" w:fill="DBDBDB"/>
          </w:tcPr>
          <w:p>
            <w:pPr>
              <w:jc w:val="right"/>
              <w:ind w:right="91"/>
              <w:spacing w:after="0" w:line="213" w:lineRule="exact"/>
              <w:rPr>
                <w:sz w:val="20"/>
                <w:szCs w:val="20"/>
                <w:color w:val="auto"/>
              </w:rPr>
            </w:pPr>
            <w:r>
              <w:rPr>
                <w:rFonts w:ascii="Calibri" w:cs="Calibri" w:eastAsia="Calibri" w:hAnsi="Calibri"/>
                <w:sz w:val="18"/>
                <w:szCs w:val="18"/>
                <w:color w:val="auto"/>
              </w:rPr>
              <w:t>1.30</w:t>
            </w:r>
          </w:p>
        </w:tc>
        <w:tc>
          <w:tcPr>
            <w:tcW w:w="1440" w:type="dxa"/>
            <w:vAlign w:val="bottom"/>
            <w:tcBorders>
              <w:bottom w:val="single" w:sz="8" w:color="auto"/>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6"/>
              </w:rPr>
              <w:t>(16.9)%</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right="3320" w:firstLine="5"/>
        <w:spacing w:after="0" w:line="230" w:lineRule="auto"/>
        <w:tabs>
          <w:tab w:leader="none" w:pos="184" w:val="left"/>
        </w:tabs>
        <w:numPr>
          <w:ilvl w:val="0"/>
          <w:numId w:val="2"/>
        </w:numPr>
        <w:rPr>
          <w:rFonts w:ascii="Arial" w:cs="Arial" w:eastAsia="Arial" w:hAnsi="Arial"/>
          <w:sz w:val="12"/>
          <w:szCs w:val="12"/>
          <w:color w:val="auto"/>
        </w:rPr>
      </w:pPr>
      <w:r>
        <w:rPr>
          <w:rFonts w:ascii="Arial" w:cs="Arial" w:eastAsia="Arial" w:hAnsi="Arial"/>
          <w:sz w:val="12"/>
          <w:szCs w:val="12"/>
          <w:color w:val="auto"/>
        </w:rPr>
        <w:t>Fiscal 2023 had a 53</w:t>
      </w:r>
      <w:r>
        <w:rPr>
          <w:rFonts w:ascii="Arial" w:cs="Arial" w:eastAsia="Arial" w:hAnsi="Arial"/>
          <w:sz w:val="15"/>
          <w:szCs w:val="15"/>
          <w:color w:val="auto"/>
          <w:vertAlign w:val="superscript"/>
        </w:rPr>
        <w:t>rd</w:t>
      </w:r>
      <w:r>
        <w:rPr>
          <w:rFonts w:ascii="Arial" w:cs="Arial" w:eastAsia="Arial" w:hAnsi="Arial"/>
          <w:sz w:val="12"/>
          <w:szCs w:val="12"/>
          <w:color w:val="auto"/>
        </w:rPr>
        <w:t xml:space="preserve"> week, so the Company is using a shifted comp sales calculation which compares weeks 1-13 in Q1 2024 to weeks 2-14 in fiscal 2023.</w:t>
      </w:r>
    </w:p>
    <w:p>
      <w:pPr>
        <w:ind w:right="3640" w:firstLine="5"/>
        <w:spacing w:after="0" w:line="249" w:lineRule="auto"/>
        <w:tabs>
          <w:tab w:leader="none" w:pos="184"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net income and adjusted earnings per common share, diluted are non-GAAP measures. See "Non-GAAP Measures" and "Reconciliations of GAAP to Non-GAAP Financial Measures" below for reconciliations of non-GAAP financial measures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5760720</wp:posOffset>
            </wp:positionH>
            <wp:positionV relativeFrom="paragraph">
              <wp:posOffset>156845</wp:posOffset>
            </wp:positionV>
            <wp:extent cx="8255" cy="375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37592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156845</wp:posOffset>
            </wp:positionV>
            <wp:extent cx="8255" cy="375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375920"/>
                    </a:xfrm>
                    <a:prstGeom prst="rect">
                      <a:avLst/>
                    </a:prstGeom>
                    <a:noFill/>
                  </pic:spPr>
                </pic:pic>
              </a:graphicData>
            </a:graphic>
          </wp:anchor>
        </w:drawing>
      </w:r>
    </w:p>
    <w:p>
      <w:pPr>
        <w:spacing w:after="0" w:line="207" w:lineRule="exact"/>
        <w:rPr>
          <w:sz w:val="20"/>
          <w:szCs w:val="20"/>
          <w:color w:val="auto"/>
        </w:rPr>
      </w:pPr>
    </w:p>
    <w:tbl>
      <w:tblPr>
        <w:tblLayout w:type="fixed"/>
        <w:tblInd w:w="750" w:type="dxa"/>
        <w:tblCellMar>
          <w:top w:w="0" w:type="dxa"/>
          <w:left w:w="0" w:type="dxa"/>
          <w:bottom w:w="0" w:type="dxa"/>
          <w:right w:w="0" w:type="dxa"/>
        </w:tblCellMar>
      </w:tblPr>
      <w:tr>
        <w:trPr>
          <w:trHeight w:val="245"/>
        </w:trPr>
        <w:tc>
          <w:tcPr>
            <w:tcW w:w="4440" w:type="dxa"/>
            <w:vAlign w:val="bottom"/>
            <w:tcBorders>
              <w:top w:val="single" w:sz="8" w:color="auto"/>
              <w:left w:val="single" w:sz="8" w:color="auto"/>
            </w:tcBorders>
            <w:shd w:val="clear" w:color="auto" w:fill="1928A0"/>
          </w:tcPr>
          <w:p>
            <w:pPr>
              <w:spacing w:after="0"/>
              <w:rPr>
                <w:sz w:val="21"/>
                <w:szCs w:val="21"/>
                <w:color w:val="auto"/>
              </w:rPr>
            </w:pPr>
          </w:p>
        </w:tc>
        <w:tc>
          <w:tcPr>
            <w:tcW w:w="280" w:type="dxa"/>
            <w:vAlign w:val="bottom"/>
            <w:tcBorders>
              <w:top w:val="single" w:sz="8" w:color="auto"/>
            </w:tcBorders>
            <w:shd w:val="clear" w:color="auto" w:fill="1928A0"/>
          </w:tcPr>
          <w:p>
            <w:pPr>
              <w:spacing w:after="0"/>
              <w:rPr>
                <w:sz w:val="21"/>
                <w:szCs w:val="21"/>
                <w:color w:val="auto"/>
              </w:rPr>
            </w:pPr>
          </w:p>
        </w:tc>
        <w:tc>
          <w:tcPr>
            <w:tcW w:w="3800" w:type="dxa"/>
            <w:vAlign w:val="bottom"/>
            <w:tcBorders>
              <w:top w:val="single" w:sz="8" w:color="auto"/>
            </w:tcBorders>
            <w:gridSpan w:val="3"/>
            <w:shd w:val="clear" w:color="auto" w:fill="1928A0"/>
          </w:tcPr>
          <w:p>
            <w:pPr>
              <w:jc w:val="right"/>
              <w:ind w:right="1130"/>
              <w:spacing w:after="0"/>
              <w:rPr>
                <w:sz w:val="20"/>
                <w:szCs w:val="20"/>
                <w:color w:val="auto"/>
              </w:rPr>
            </w:pPr>
            <w:r>
              <w:rPr>
                <w:rFonts w:ascii="Calibri" w:cs="Calibri" w:eastAsia="Calibri" w:hAnsi="Calibri"/>
                <w:sz w:val="19"/>
                <w:szCs w:val="19"/>
                <w:b w:val="1"/>
                <w:bCs w:val="1"/>
                <w:color w:val="FFFFFF"/>
              </w:rPr>
              <w:t>Thirteen Weeks Ended</w:t>
            </w:r>
          </w:p>
        </w:tc>
        <w:tc>
          <w:tcPr>
            <w:tcW w:w="1260" w:type="dxa"/>
            <w:vAlign w:val="bottom"/>
            <w:tcBorders>
              <w:top w:val="single" w:sz="8" w:color="auto"/>
              <w:right w:val="single" w:sz="8" w:color="auto"/>
            </w:tcBorders>
            <w:shd w:val="clear" w:color="auto" w:fill="1928A0"/>
          </w:tcPr>
          <w:p>
            <w:pPr>
              <w:ind w:left="240"/>
              <w:spacing w:after="0"/>
              <w:rPr>
                <w:sz w:val="20"/>
                <w:szCs w:val="20"/>
                <w:color w:val="auto"/>
              </w:rPr>
            </w:pPr>
            <w:r>
              <w:rPr>
                <w:rFonts w:ascii="Calibri" w:cs="Calibri" w:eastAsia="Calibri" w:hAnsi="Calibri"/>
                <w:sz w:val="19"/>
                <w:szCs w:val="19"/>
                <w:b w:val="1"/>
                <w:bCs w:val="1"/>
                <w:color w:val="FFFFFF"/>
              </w:rPr>
              <w:t>Change</w:t>
            </w:r>
          </w:p>
        </w:tc>
      </w:tr>
      <w:tr>
        <w:trPr>
          <w:trHeight w:val="327"/>
        </w:trPr>
        <w:tc>
          <w:tcPr>
            <w:tcW w:w="4440" w:type="dxa"/>
            <w:vAlign w:val="bottom"/>
            <w:tcBorders>
              <w:left w:val="single" w:sz="8" w:color="auto"/>
              <w:bottom w:val="single" w:sz="8" w:color="1928A0"/>
            </w:tcBorders>
            <w:shd w:val="clear" w:color="auto" w:fill="1928A0"/>
          </w:tcPr>
          <w:p>
            <w:pPr>
              <w:ind w:left="40"/>
              <w:spacing w:after="0"/>
              <w:rPr>
                <w:sz w:val="20"/>
                <w:szCs w:val="20"/>
                <w:color w:val="auto"/>
              </w:rPr>
            </w:pPr>
            <w:r>
              <w:rPr>
                <w:rFonts w:ascii="Calibri" w:cs="Calibri" w:eastAsia="Calibri" w:hAnsi="Calibri"/>
                <w:sz w:val="19"/>
                <w:szCs w:val="19"/>
                <w:b w:val="1"/>
                <w:bCs w:val="1"/>
                <w:color w:val="FFFFFF"/>
              </w:rPr>
              <w:t xml:space="preserve">Balance Sheet </w:t>
            </w:r>
            <w:r>
              <w:rPr>
                <w:rFonts w:ascii="Calibri" w:cs="Calibri" w:eastAsia="Calibri" w:hAnsi="Calibri"/>
                <w:sz w:val="14"/>
                <w:szCs w:val="14"/>
                <w:b w:val="1"/>
                <w:bCs w:val="1"/>
                <w:color w:val="FFFFFF"/>
              </w:rPr>
              <w:t>($ in millions)</w:t>
            </w:r>
          </w:p>
        </w:tc>
        <w:tc>
          <w:tcPr>
            <w:tcW w:w="280" w:type="dxa"/>
            <w:vAlign w:val="bottom"/>
            <w:tcBorders>
              <w:bottom w:val="single" w:sz="8" w:color="1928A0"/>
            </w:tcBorders>
            <w:shd w:val="clear" w:color="auto" w:fill="1928A0"/>
          </w:tcPr>
          <w:p>
            <w:pPr>
              <w:spacing w:after="0"/>
              <w:rPr>
                <w:sz w:val="24"/>
                <w:szCs w:val="24"/>
                <w:color w:val="auto"/>
              </w:rPr>
            </w:pPr>
          </w:p>
        </w:tc>
        <w:tc>
          <w:tcPr>
            <w:tcW w:w="1640" w:type="dxa"/>
            <w:vAlign w:val="bottom"/>
            <w:tcBorders>
              <w:bottom w:val="single" w:sz="8" w:color="1928A0"/>
            </w:tcBorders>
            <w:shd w:val="clear" w:color="auto" w:fill="1928A0"/>
          </w:tcPr>
          <w:p>
            <w:pPr>
              <w:jc w:val="right"/>
              <w:ind w:right="349"/>
              <w:spacing w:after="0"/>
              <w:rPr>
                <w:sz w:val="20"/>
                <w:szCs w:val="20"/>
                <w:color w:val="auto"/>
              </w:rPr>
            </w:pPr>
            <w:r>
              <w:rPr>
                <w:rFonts w:ascii="Calibri" w:cs="Calibri" w:eastAsia="Calibri" w:hAnsi="Calibri"/>
                <w:sz w:val="19"/>
                <w:szCs w:val="19"/>
                <w:b w:val="1"/>
                <w:bCs w:val="1"/>
                <w:color w:val="FFFFFF"/>
              </w:rPr>
              <w:t>May 4, 2024</w:t>
            </w:r>
          </w:p>
        </w:tc>
        <w:tc>
          <w:tcPr>
            <w:tcW w:w="280" w:type="dxa"/>
            <w:vAlign w:val="bottom"/>
            <w:tcBorders>
              <w:bottom w:val="single" w:sz="8" w:color="1928A0"/>
            </w:tcBorders>
            <w:shd w:val="clear" w:color="auto" w:fill="1928A0"/>
          </w:tcPr>
          <w:p>
            <w:pPr>
              <w:spacing w:after="0"/>
              <w:rPr>
                <w:sz w:val="24"/>
                <w:szCs w:val="24"/>
                <w:color w:val="auto"/>
              </w:rPr>
            </w:pPr>
          </w:p>
        </w:tc>
        <w:tc>
          <w:tcPr>
            <w:tcW w:w="1880" w:type="dxa"/>
            <w:vAlign w:val="bottom"/>
            <w:tcBorders>
              <w:bottom w:val="single" w:sz="8" w:color="1928A0"/>
            </w:tcBorders>
            <w:shd w:val="clear" w:color="auto" w:fill="1928A0"/>
          </w:tcPr>
          <w:p>
            <w:pPr>
              <w:jc w:val="right"/>
              <w:ind w:right="510"/>
              <w:spacing w:after="0"/>
              <w:rPr>
                <w:sz w:val="20"/>
                <w:szCs w:val="20"/>
                <w:color w:val="auto"/>
              </w:rPr>
            </w:pPr>
            <w:r>
              <w:rPr>
                <w:rFonts w:ascii="Calibri" w:cs="Calibri" w:eastAsia="Calibri" w:hAnsi="Calibri"/>
                <w:sz w:val="19"/>
                <w:szCs w:val="19"/>
                <w:b w:val="1"/>
                <w:bCs w:val="1"/>
                <w:color w:val="FFFFFF"/>
              </w:rPr>
              <w:t>April 29, 2023</w:t>
            </w:r>
          </w:p>
        </w:tc>
        <w:tc>
          <w:tcPr>
            <w:tcW w:w="1260" w:type="dxa"/>
            <w:vAlign w:val="bottom"/>
            <w:tcBorders>
              <w:bottom w:val="single" w:sz="8" w:color="1928A0"/>
              <w:right w:val="single" w:sz="8" w:color="auto"/>
            </w:tcBorders>
            <w:shd w:val="clear" w:color="auto" w:fill="1928A0"/>
          </w:tcPr>
          <w:p>
            <w:pPr>
              <w:jc w:val="center"/>
              <w:ind w:right="109"/>
              <w:spacing w:after="0"/>
              <w:rPr>
                <w:sz w:val="20"/>
                <w:szCs w:val="20"/>
                <w:color w:val="auto"/>
              </w:rPr>
            </w:pPr>
            <w:r>
              <w:rPr>
                <w:rFonts w:ascii="Calibri" w:cs="Calibri" w:eastAsia="Calibri" w:hAnsi="Calibri"/>
                <w:sz w:val="19"/>
                <w:szCs w:val="19"/>
                <w:b w:val="1"/>
                <w:bCs w:val="1"/>
                <w:color w:val="FFFFFF"/>
              </w:rPr>
              <w:t>%</w:t>
            </w:r>
          </w:p>
        </w:tc>
      </w:tr>
      <w:tr>
        <w:trPr>
          <w:trHeight w:val="243"/>
        </w:trPr>
        <w:tc>
          <w:tcPr>
            <w:tcW w:w="4440" w:type="dxa"/>
            <w:vAlign w:val="bottom"/>
            <w:tcBorders>
              <w:left w:val="single" w:sz="8" w:color="auto"/>
              <w:bottom w:val="single" w:sz="8" w:color="DBDBDB"/>
            </w:tcBorders>
            <w:shd w:val="clear" w:color="auto" w:fill="DBDBDB"/>
          </w:tcPr>
          <w:p>
            <w:pPr>
              <w:ind w:left="40"/>
              <w:spacing w:after="0" w:line="213" w:lineRule="exact"/>
              <w:rPr>
                <w:sz w:val="20"/>
                <w:szCs w:val="20"/>
                <w:color w:val="auto"/>
              </w:rPr>
            </w:pPr>
            <w:r>
              <w:rPr>
                <w:rFonts w:ascii="Calibri" w:cs="Calibri" w:eastAsia="Calibri" w:hAnsi="Calibri"/>
                <w:sz w:val="18"/>
                <w:szCs w:val="18"/>
                <w:color w:val="auto"/>
              </w:rPr>
              <w:t>Cash and cash equivalents</w:t>
            </w:r>
          </w:p>
        </w:tc>
        <w:tc>
          <w:tcPr>
            <w:tcW w:w="280" w:type="dxa"/>
            <w:vAlign w:val="bottom"/>
            <w:tcBorders>
              <w:bottom w:val="single" w:sz="8" w:color="DBDBDB"/>
            </w:tcBorders>
            <w:shd w:val="clear" w:color="auto" w:fill="DBDBDB"/>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64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378.1</w:t>
            </w:r>
          </w:p>
        </w:tc>
        <w:tc>
          <w:tcPr>
            <w:tcW w:w="280" w:type="dxa"/>
            <w:vAlign w:val="bottom"/>
            <w:tcBorders>
              <w:bottom w:val="single" w:sz="8" w:color="DBDBDB"/>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880" w:type="dxa"/>
            <w:vAlign w:val="bottom"/>
            <w:tcBorders>
              <w:bottom w:val="single" w:sz="8" w:color="DBDBDB"/>
            </w:tcBorders>
            <w:shd w:val="clear" w:color="auto" w:fill="DBDBDB"/>
          </w:tcPr>
          <w:p>
            <w:pPr>
              <w:jc w:val="right"/>
              <w:ind w:right="170"/>
              <w:spacing w:after="0" w:line="213" w:lineRule="exact"/>
              <w:rPr>
                <w:sz w:val="20"/>
                <w:szCs w:val="20"/>
                <w:color w:val="auto"/>
              </w:rPr>
            </w:pPr>
            <w:r>
              <w:rPr>
                <w:rFonts w:ascii="Calibri" w:cs="Calibri" w:eastAsia="Calibri" w:hAnsi="Calibri"/>
                <w:sz w:val="18"/>
                <w:szCs w:val="18"/>
                <w:color w:val="auto"/>
              </w:rPr>
              <w:t>295.5</w:t>
            </w:r>
          </w:p>
        </w:tc>
        <w:tc>
          <w:tcPr>
            <w:tcW w:w="1260" w:type="dxa"/>
            <w:vAlign w:val="bottom"/>
            <w:tcBorders>
              <w:bottom w:val="single" w:sz="8" w:color="DBDBDB"/>
              <w:right w:val="single" w:sz="8" w:color="auto"/>
            </w:tcBorders>
            <w:shd w:val="clear" w:color="auto" w:fill="DBDBDB"/>
          </w:tcPr>
          <w:p>
            <w:pPr>
              <w:jc w:val="center"/>
              <w:ind w:right="109"/>
              <w:spacing w:after="0" w:line="213" w:lineRule="exact"/>
              <w:rPr>
                <w:sz w:val="20"/>
                <w:szCs w:val="20"/>
                <w:color w:val="auto"/>
              </w:rPr>
            </w:pPr>
            <w:r>
              <w:rPr>
                <w:rFonts w:ascii="Calibri" w:cs="Calibri" w:eastAsia="Calibri" w:hAnsi="Calibri"/>
                <w:sz w:val="18"/>
                <w:szCs w:val="18"/>
                <w:color w:val="auto"/>
                <w:w w:val="93"/>
              </w:rPr>
              <w:t>28.0%</w:t>
            </w:r>
          </w:p>
        </w:tc>
      </w:tr>
      <w:tr>
        <w:trPr>
          <w:trHeight w:val="213"/>
        </w:trPr>
        <w:tc>
          <w:tcPr>
            <w:tcW w:w="4440" w:type="dxa"/>
            <w:vAlign w:val="bottom"/>
            <w:tcBorders>
              <w:lef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Merchandise inventories, net</w:t>
            </w:r>
          </w:p>
        </w:tc>
        <w:tc>
          <w:tcPr>
            <w:tcW w:w="280" w:type="dxa"/>
            <w:vAlign w:val="bottom"/>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640" w:type="dxa"/>
            <w:vAlign w:val="bottom"/>
          </w:tcPr>
          <w:p>
            <w:pPr>
              <w:jc w:val="right"/>
              <w:spacing w:after="0" w:line="213" w:lineRule="exact"/>
              <w:rPr>
                <w:sz w:val="20"/>
                <w:szCs w:val="20"/>
                <w:color w:val="auto"/>
              </w:rPr>
            </w:pPr>
            <w:r>
              <w:rPr>
                <w:rFonts w:ascii="Calibri" w:cs="Calibri" w:eastAsia="Calibri" w:hAnsi="Calibri"/>
                <w:sz w:val="18"/>
                <w:szCs w:val="18"/>
                <w:color w:val="auto"/>
              </w:rPr>
              <w:t>1,356.8</w:t>
            </w:r>
          </w:p>
        </w:tc>
        <w:tc>
          <w:tcPr>
            <w:tcW w:w="28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880" w:type="dxa"/>
            <w:vAlign w:val="bottom"/>
          </w:tcPr>
          <w:p>
            <w:pPr>
              <w:jc w:val="right"/>
              <w:ind w:right="170"/>
              <w:spacing w:after="0" w:line="213" w:lineRule="exact"/>
              <w:rPr>
                <w:sz w:val="20"/>
                <w:szCs w:val="20"/>
                <w:color w:val="auto"/>
              </w:rPr>
            </w:pPr>
            <w:r>
              <w:rPr>
                <w:rFonts w:ascii="Calibri" w:cs="Calibri" w:eastAsia="Calibri" w:hAnsi="Calibri"/>
                <w:sz w:val="18"/>
                <w:szCs w:val="18"/>
                <w:color w:val="auto"/>
              </w:rPr>
              <w:t>1,386.5</w:t>
            </w:r>
          </w:p>
        </w:tc>
        <w:tc>
          <w:tcPr>
            <w:tcW w:w="1260" w:type="dxa"/>
            <w:vAlign w:val="bottom"/>
            <w:tcBorders>
              <w:right w:val="single" w:sz="8" w:color="auto"/>
            </w:tcBorders>
          </w:tcPr>
          <w:p>
            <w:pPr>
              <w:jc w:val="center"/>
              <w:ind w:right="109"/>
              <w:spacing w:after="0" w:line="213" w:lineRule="exact"/>
              <w:rPr>
                <w:sz w:val="20"/>
                <w:szCs w:val="20"/>
                <w:color w:val="auto"/>
              </w:rPr>
            </w:pPr>
            <w:r>
              <w:rPr>
                <w:rFonts w:ascii="Calibri" w:cs="Calibri" w:eastAsia="Calibri" w:hAnsi="Calibri"/>
                <w:sz w:val="18"/>
                <w:szCs w:val="18"/>
                <w:color w:val="auto"/>
                <w:w w:val="98"/>
              </w:rPr>
              <w:t>(2.1)%</w:t>
            </w:r>
          </w:p>
        </w:tc>
      </w:tr>
      <w:tr>
        <w:trPr>
          <w:trHeight w:val="50"/>
        </w:trPr>
        <w:tc>
          <w:tcPr>
            <w:tcW w:w="4440" w:type="dxa"/>
            <w:vAlign w:val="bottom"/>
            <w:tcBorders>
              <w:lef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r>
      <w:tr>
        <w:trPr>
          <w:trHeight w:val="243"/>
        </w:trPr>
        <w:tc>
          <w:tcPr>
            <w:tcW w:w="4440" w:type="dxa"/>
            <w:vAlign w:val="bottom"/>
            <w:tcBorders>
              <w:left w:val="single" w:sz="8" w:color="auto"/>
              <w:bottom w:val="single" w:sz="8" w:color="DBDBDB"/>
            </w:tcBorders>
            <w:shd w:val="clear" w:color="auto" w:fill="DBDBDB"/>
          </w:tcPr>
          <w:p>
            <w:pPr>
              <w:ind w:left="40"/>
              <w:spacing w:after="0" w:line="213" w:lineRule="exact"/>
              <w:rPr>
                <w:sz w:val="20"/>
                <w:szCs w:val="20"/>
                <w:color w:val="auto"/>
              </w:rPr>
            </w:pPr>
            <w:r>
              <w:rPr>
                <w:rFonts w:ascii="Calibri" w:cs="Calibri" w:eastAsia="Calibri" w:hAnsi="Calibri"/>
                <w:sz w:val="18"/>
                <w:szCs w:val="18"/>
                <w:color w:val="auto"/>
              </w:rPr>
              <w:t>Long-term debt, net</w:t>
            </w:r>
          </w:p>
        </w:tc>
        <w:tc>
          <w:tcPr>
            <w:tcW w:w="280" w:type="dxa"/>
            <w:vAlign w:val="bottom"/>
            <w:tcBorders>
              <w:bottom w:val="single" w:sz="8" w:color="DBDBDB"/>
            </w:tcBorders>
            <w:shd w:val="clear" w:color="auto" w:fill="DBDBDB"/>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64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484.1</w:t>
            </w:r>
          </w:p>
        </w:tc>
        <w:tc>
          <w:tcPr>
            <w:tcW w:w="280" w:type="dxa"/>
            <w:vAlign w:val="bottom"/>
            <w:tcBorders>
              <w:bottom w:val="single" w:sz="8" w:color="DBDBDB"/>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880" w:type="dxa"/>
            <w:vAlign w:val="bottom"/>
            <w:tcBorders>
              <w:bottom w:val="single" w:sz="8" w:color="DBDBDB"/>
            </w:tcBorders>
            <w:shd w:val="clear" w:color="auto" w:fill="DBDBDB"/>
          </w:tcPr>
          <w:p>
            <w:pPr>
              <w:jc w:val="right"/>
              <w:ind w:right="170"/>
              <w:spacing w:after="0" w:line="213" w:lineRule="exact"/>
              <w:rPr>
                <w:sz w:val="20"/>
                <w:szCs w:val="20"/>
                <w:color w:val="auto"/>
              </w:rPr>
            </w:pPr>
            <w:r>
              <w:rPr>
                <w:rFonts w:ascii="Calibri" w:cs="Calibri" w:eastAsia="Calibri" w:hAnsi="Calibri"/>
                <w:sz w:val="18"/>
                <w:szCs w:val="18"/>
                <w:color w:val="auto"/>
              </w:rPr>
              <w:t>584.1</w:t>
            </w:r>
          </w:p>
        </w:tc>
        <w:tc>
          <w:tcPr>
            <w:tcW w:w="1260" w:type="dxa"/>
            <w:vAlign w:val="bottom"/>
            <w:tcBorders>
              <w:bottom w:val="single" w:sz="8" w:color="DBDBDB"/>
              <w:right w:val="single" w:sz="8" w:color="auto"/>
            </w:tcBorders>
            <w:shd w:val="clear" w:color="auto" w:fill="DBDBDB"/>
          </w:tcPr>
          <w:p>
            <w:pPr>
              <w:jc w:val="center"/>
              <w:ind w:right="109"/>
              <w:spacing w:after="0" w:line="213" w:lineRule="exact"/>
              <w:rPr>
                <w:sz w:val="20"/>
                <w:szCs w:val="20"/>
                <w:color w:val="auto"/>
              </w:rPr>
            </w:pPr>
            <w:r>
              <w:rPr>
                <w:rFonts w:ascii="Calibri" w:cs="Calibri" w:eastAsia="Calibri" w:hAnsi="Calibri"/>
                <w:sz w:val="18"/>
                <w:szCs w:val="18"/>
                <w:color w:val="auto"/>
                <w:w w:val="96"/>
              </w:rPr>
              <w:t>(17.1)%</w:t>
            </w:r>
          </w:p>
        </w:tc>
      </w:tr>
      <w:tr>
        <w:trPr>
          <w:trHeight w:val="20"/>
        </w:trPr>
        <w:tc>
          <w:tcPr>
            <w:tcW w:w="44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5626735</wp:posOffset>
            </wp:positionH>
            <wp:positionV relativeFrom="paragraph">
              <wp:posOffset>367665</wp:posOffset>
            </wp:positionV>
            <wp:extent cx="8255" cy="375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37592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367665</wp:posOffset>
            </wp:positionV>
            <wp:extent cx="8255" cy="37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3759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750" w:type="dxa"/>
        <w:tblCellMar>
          <w:top w:w="0" w:type="dxa"/>
          <w:left w:w="0" w:type="dxa"/>
          <w:bottom w:w="0" w:type="dxa"/>
          <w:right w:w="0" w:type="dxa"/>
        </w:tblCellMar>
      </w:tblPr>
      <w:tr>
        <w:trPr>
          <w:trHeight w:val="245"/>
        </w:trPr>
        <w:tc>
          <w:tcPr>
            <w:tcW w:w="4380" w:type="dxa"/>
            <w:vAlign w:val="bottom"/>
            <w:tcBorders>
              <w:top w:val="single" w:sz="8" w:color="auto"/>
              <w:left w:val="single" w:sz="8" w:color="auto"/>
            </w:tcBorders>
            <w:shd w:val="clear" w:color="auto" w:fill="1928A0"/>
          </w:tcPr>
          <w:p>
            <w:pPr>
              <w:spacing w:after="0"/>
              <w:rPr>
                <w:sz w:val="21"/>
                <w:szCs w:val="21"/>
                <w:color w:val="auto"/>
              </w:rPr>
            </w:pPr>
          </w:p>
        </w:tc>
        <w:tc>
          <w:tcPr>
            <w:tcW w:w="260" w:type="dxa"/>
            <w:vAlign w:val="bottom"/>
            <w:tcBorders>
              <w:top w:val="single" w:sz="8" w:color="auto"/>
            </w:tcBorders>
            <w:shd w:val="clear" w:color="auto" w:fill="1928A0"/>
          </w:tcPr>
          <w:p>
            <w:pPr>
              <w:spacing w:after="0"/>
              <w:rPr>
                <w:sz w:val="21"/>
                <w:szCs w:val="21"/>
                <w:color w:val="auto"/>
              </w:rPr>
            </w:pPr>
          </w:p>
        </w:tc>
        <w:tc>
          <w:tcPr>
            <w:tcW w:w="3100" w:type="dxa"/>
            <w:vAlign w:val="bottom"/>
            <w:tcBorders>
              <w:top w:val="single" w:sz="8" w:color="auto"/>
            </w:tcBorders>
            <w:gridSpan w:val="2"/>
            <w:shd w:val="clear" w:color="auto" w:fill="1928A0"/>
          </w:tcPr>
          <w:p>
            <w:pPr>
              <w:jc w:val="right"/>
              <w:ind w:right="489"/>
              <w:spacing w:after="0"/>
              <w:rPr>
                <w:sz w:val="20"/>
                <w:szCs w:val="20"/>
                <w:color w:val="auto"/>
              </w:rPr>
            </w:pPr>
            <w:r>
              <w:rPr>
                <w:rFonts w:ascii="Calibri" w:cs="Calibri" w:eastAsia="Calibri" w:hAnsi="Calibri"/>
                <w:sz w:val="19"/>
                <w:szCs w:val="19"/>
                <w:b w:val="1"/>
                <w:bCs w:val="1"/>
                <w:color w:val="FFFFFF"/>
              </w:rPr>
              <w:t>Thirteen Weeks Ended</w:t>
            </w:r>
          </w:p>
        </w:tc>
        <w:tc>
          <w:tcPr>
            <w:tcW w:w="600" w:type="dxa"/>
            <w:vAlign w:val="bottom"/>
            <w:tcBorders>
              <w:top w:val="single" w:sz="8" w:color="auto"/>
            </w:tcBorders>
            <w:shd w:val="clear" w:color="auto" w:fill="1928A0"/>
          </w:tcPr>
          <w:p>
            <w:pPr>
              <w:spacing w:after="0"/>
              <w:rPr>
                <w:sz w:val="21"/>
                <w:szCs w:val="21"/>
                <w:color w:val="auto"/>
              </w:rPr>
            </w:pPr>
          </w:p>
        </w:tc>
        <w:tc>
          <w:tcPr>
            <w:tcW w:w="1460" w:type="dxa"/>
            <w:vAlign w:val="bottom"/>
            <w:tcBorders>
              <w:top w:val="single" w:sz="8" w:color="auto"/>
              <w:right w:val="single" w:sz="8" w:color="auto"/>
            </w:tcBorders>
            <w:shd w:val="clear" w:color="auto" w:fill="1928A0"/>
          </w:tcPr>
          <w:p>
            <w:pPr>
              <w:jc w:val="right"/>
              <w:ind w:right="448"/>
              <w:spacing w:after="0"/>
              <w:rPr>
                <w:sz w:val="20"/>
                <w:szCs w:val="20"/>
                <w:color w:val="auto"/>
              </w:rPr>
            </w:pPr>
            <w:r>
              <w:rPr>
                <w:rFonts w:ascii="Calibri" w:cs="Calibri" w:eastAsia="Calibri" w:hAnsi="Calibri"/>
                <w:sz w:val="19"/>
                <w:szCs w:val="19"/>
                <w:b w:val="1"/>
                <w:bCs w:val="1"/>
                <w:color w:val="FFFFFF"/>
              </w:rPr>
              <w:t>Change</w:t>
            </w:r>
          </w:p>
        </w:tc>
      </w:tr>
      <w:tr>
        <w:trPr>
          <w:trHeight w:val="327"/>
        </w:trPr>
        <w:tc>
          <w:tcPr>
            <w:tcW w:w="438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19"/>
                <w:szCs w:val="19"/>
                <w:b w:val="1"/>
                <w:bCs w:val="1"/>
                <w:color w:val="FFFFFF"/>
              </w:rPr>
              <w:t xml:space="preserve">Capital Allocaton </w:t>
            </w:r>
            <w:r>
              <w:rPr>
                <w:rFonts w:ascii="Calibri" w:cs="Calibri" w:eastAsia="Calibri" w:hAnsi="Calibri"/>
                <w:sz w:val="14"/>
                <w:szCs w:val="14"/>
                <w:b w:val="1"/>
                <w:bCs w:val="1"/>
                <w:color w:val="FFFFFF"/>
              </w:rPr>
              <w:t>($ in millions)</w:t>
            </w:r>
          </w:p>
        </w:tc>
        <w:tc>
          <w:tcPr>
            <w:tcW w:w="260" w:type="dxa"/>
            <w:vAlign w:val="bottom"/>
            <w:tcBorders>
              <w:bottom w:val="single" w:sz="8" w:color="1928A0"/>
            </w:tcBorders>
            <w:shd w:val="clear" w:color="auto" w:fill="1928A0"/>
          </w:tcPr>
          <w:p>
            <w:pPr>
              <w:spacing w:after="0"/>
              <w:rPr>
                <w:sz w:val="24"/>
                <w:szCs w:val="24"/>
                <w:color w:val="auto"/>
              </w:rPr>
            </w:pPr>
          </w:p>
        </w:tc>
        <w:tc>
          <w:tcPr>
            <w:tcW w:w="1580" w:type="dxa"/>
            <w:vAlign w:val="bottom"/>
            <w:tcBorders>
              <w:bottom w:val="single" w:sz="8" w:color="1928A0"/>
            </w:tcBorders>
            <w:shd w:val="clear" w:color="auto" w:fill="1928A0"/>
          </w:tcPr>
          <w:p>
            <w:pPr>
              <w:jc w:val="right"/>
              <w:ind w:right="328"/>
              <w:spacing w:after="0"/>
              <w:rPr>
                <w:sz w:val="20"/>
                <w:szCs w:val="20"/>
                <w:color w:val="auto"/>
              </w:rPr>
            </w:pPr>
            <w:r>
              <w:rPr>
                <w:rFonts w:ascii="Calibri" w:cs="Calibri" w:eastAsia="Calibri" w:hAnsi="Calibri"/>
                <w:sz w:val="19"/>
                <w:szCs w:val="19"/>
                <w:b w:val="1"/>
                <w:bCs w:val="1"/>
                <w:color w:val="FFFFFF"/>
              </w:rPr>
              <w:t>May 4, 2024</w:t>
            </w:r>
          </w:p>
        </w:tc>
        <w:tc>
          <w:tcPr>
            <w:tcW w:w="1520" w:type="dxa"/>
            <w:vAlign w:val="bottom"/>
            <w:tcBorders>
              <w:bottom w:val="single" w:sz="8" w:color="1928A0"/>
            </w:tcBorders>
            <w:shd w:val="clear" w:color="auto" w:fill="1928A0"/>
          </w:tcPr>
          <w:p>
            <w:pPr>
              <w:jc w:val="right"/>
              <w:spacing w:after="0"/>
              <w:rPr>
                <w:sz w:val="20"/>
                <w:szCs w:val="20"/>
                <w:color w:val="auto"/>
              </w:rPr>
            </w:pPr>
            <w:r>
              <w:rPr>
                <w:rFonts w:ascii="Calibri" w:cs="Calibri" w:eastAsia="Calibri" w:hAnsi="Calibri"/>
                <w:sz w:val="19"/>
                <w:szCs w:val="19"/>
                <w:b w:val="1"/>
                <w:bCs w:val="1"/>
                <w:color w:val="FFFFFF"/>
              </w:rPr>
              <w:t>April 29, 2023</w:t>
            </w:r>
          </w:p>
        </w:tc>
        <w:tc>
          <w:tcPr>
            <w:tcW w:w="600" w:type="dxa"/>
            <w:vAlign w:val="bottom"/>
            <w:tcBorders>
              <w:bottom w:val="single" w:sz="8" w:color="1928A0"/>
            </w:tcBorders>
            <w:shd w:val="clear" w:color="auto" w:fill="1928A0"/>
          </w:tcPr>
          <w:p>
            <w:pPr>
              <w:spacing w:after="0"/>
              <w:rPr>
                <w:sz w:val="24"/>
                <w:szCs w:val="24"/>
                <w:color w:val="auto"/>
              </w:rPr>
            </w:pPr>
          </w:p>
        </w:tc>
        <w:tc>
          <w:tcPr>
            <w:tcW w:w="1460" w:type="dxa"/>
            <w:vAlign w:val="bottom"/>
            <w:tcBorders>
              <w:bottom w:val="single" w:sz="8" w:color="1928A0"/>
              <w:right w:val="single" w:sz="8" w:color="auto"/>
            </w:tcBorders>
            <w:shd w:val="clear" w:color="auto" w:fill="1928A0"/>
          </w:tcPr>
          <w:p>
            <w:pPr>
              <w:jc w:val="right"/>
              <w:ind w:right="688"/>
              <w:spacing w:after="0"/>
              <w:rPr>
                <w:sz w:val="20"/>
                <w:szCs w:val="20"/>
                <w:color w:val="auto"/>
              </w:rPr>
            </w:pPr>
            <w:r>
              <w:rPr>
                <w:rFonts w:ascii="Calibri" w:cs="Calibri" w:eastAsia="Calibri" w:hAnsi="Calibri"/>
                <w:sz w:val="19"/>
                <w:szCs w:val="19"/>
                <w:b w:val="1"/>
                <w:bCs w:val="1"/>
                <w:color w:val="FFFFFF"/>
              </w:rPr>
              <w:t>%</w:t>
            </w:r>
          </w:p>
        </w:tc>
      </w:tr>
      <w:tr>
        <w:trPr>
          <w:trHeight w:val="243"/>
        </w:trPr>
        <w:tc>
          <w:tcPr>
            <w:tcW w:w="4380" w:type="dxa"/>
            <w:vAlign w:val="bottom"/>
            <w:tcBorders>
              <w:left w:val="single" w:sz="8" w:color="auto"/>
              <w:bottom w:val="single" w:sz="8" w:color="DBDBDB"/>
            </w:tcBorders>
            <w:shd w:val="clear" w:color="auto" w:fill="DBDBDB"/>
          </w:tcPr>
          <w:p>
            <w:pPr>
              <w:ind w:left="20"/>
              <w:spacing w:after="0" w:line="213" w:lineRule="exact"/>
              <w:rPr>
                <w:sz w:val="20"/>
                <w:szCs w:val="20"/>
                <w:color w:val="auto"/>
              </w:rPr>
            </w:pPr>
            <w:r>
              <w:rPr>
                <w:rFonts w:ascii="Calibri" w:cs="Calibri" w:eastAsia="Calibri" w:hAnsi="Calibri"/>
                <w:sz w:val="18"/>
                <w:szCs w:val="18"/>
                <w:color w:val="auto"/>
              </w:rPr>
              <w:t>Share repurchases</w:t>
            </w:r>
          </w:p>
        </w:tc>
        <w:tc>
          <w:tcPr>
            <w:tcW w:w="260" w:type="dxa"/>
            <w:vAlign w:val="bottom"/>
            <w:tcBorders>
              <w:bottom w:val="single" w:sz="8" w:color="DBDBDB"/>
            </w:tcBorders>
            <w:shd w:val="clear" w:color="auto" w:fill="DBDBDB"/>
          </w:tcPr>
          <w:p>
            <w:pPr>
              <w:jc w:val="right"/>
              <w:ind w:right="72"/>
              <w:spacing w:after="0" w:line="213" w:lineRule="exact"/>
              <w:rPr>
                <w:sz w:val="20"/>
                <w:szCs w:val="20"/>
                <w:color w:val="auto"/>
              </w:rPr>
            </w:pPr>
            <w:r>
              <w:rPr>
                <w:rFonts w:ascii="Calibri" w:cs="Calibri" w:eastAsia="Calibri" w:hAnsi="Calibri"/>
                <w:sz w:val="18"/>
                <w:szCs w:val="18"/>
                <w:color w:val="auto"/>
                <w:w w:val="87"/>
              </w:rPr>
              <w:t>$</w:t>
            </w:r>
          </w:p>
        </w:tc>
        <w:tc>
          <w:tcPr>
            <w:tcW w:w="158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123.5</w:t>
            </w:r>
          </w:p>
        </w:tc>
        <w:tc>
          <w:tcPr>
            <w:tcW w:w="1520" w:type="dxa"/>
            <w:vAlign w:val="bottom"/>
            <w:tcBorders>
              <w:bottom w:val="single" w:sz="8" w:color="DBDBDB"/>
            </w:tcBorders>
            <w:shd w:val="clear" w:color="auto" w:fill="DBDBDB"/>
          </w:tcPr>
          <w:p>
            <w:pPr>
              <w:jc w:val="right"/>
              <w:ind w:right="1309"/>
              <w:spacing w:after="0" w:line="213"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DBDBDB"/>
            </w:tcBorders>
            <w:shd w:val="clear" w:color="auto" w:fill="DBDBDB"/>
          </w:tcPr>
          <w:p>
            <w:pPr>
              <w:jc w:val="right"/>
              <w:ind w:right="192"/>
              <w:spacing w:after="0" w:line="213" w:lineRule="exact"/>
              <w:rPr>
                <w:sz w:val="20"/>
                <w:szCs w:val="20"/>
                <w:color w:val="auto"/>
              </w:rPr>
            </w:pPr>
            <w:r>
              <w:rPr>
                <w:rFonts w:ascii="Calibri" w:cs="Calibri" w:eastAsia="Calibri" w:hAnsi="Calibri"/>
                <w:sz w:val="18"/>
                <w:szCs w:val="18"/>
                <w:color w:val="auto"/>
                <w:w w:val="93"/>
              </w:rPr>
              <w:t>50.3</w:t>
            </w:r>
          </w:p>
        </w:tc>
        <w:tc>
          <w:tcPr>
            <w:tcW w:w="1460" w:type="dxa"/>
            <w:vAlign w:val="bottom"/>
            <w:tcBorders>
              <w:bottom w:val="single" w:sz="8" w:color="DBDBDB"/>
              <w:right w:val="single" w:sz="8" w:color="auto"/>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145.5 %</w:t>
            </w:r>
          </w:p>
        </w:tc>
      </w:tr>
      <w:tr>
        <w:trPr>
          <w:trHeight w:val="213"/>
        </w:trPr>
        <w:tc>
          <w:tcPr>
            <w:tcW w:w="438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Dividends paid</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w w:val="87"/>
              </w:rPr>
              <w:t>$</w:t>
            </w:r>
          </w:p>
        </w:tc>
        <w:tc>
          <w:tcPr>
            <w:tcW w:w="1580" w:type="dxa"/>
            <w:vAlign w:val="bottom"/>
          </w:tcPr>
          <w:p>
            <w:pPr>
              <w:jc w:val="right"/>
              <w:spacing w:after="0" w:line="213" w:lineRule="exact"/>
              <w:rPr>
                <w:sz w:val="20"/>
                <w:szCs w:val="20"/>
                <w:color w:val="auto"/>
              </w:rPr>
            </w:pPr>
            <w:r>
              <w:rPr>
                <w:rFonts w:ascii="Calibri" w:cs="Calibri" w:eastAsia="Calibri" w:hAnsi="Calibri"/>
                <w:sz w:val="18"/>
                <w:szCs w:val="18"/>
                <w:color w:val="auto"/>
              </w:rPr>
              <w:t>8.2</w:t>
            </w:r>
          </w:p>
        </w:tc>
        <w:tc>
          <w:tcPr>
            <w:tcW w:w="1520" w:type="dxa"/>
            <w:vAlign w:val="bottom"/>
          </w:tcPr>
          <w:p>
            <w:pPr>
              <w:jc w:val="right"/>
              <w:ind w:right="1309"/>
              <w:spacing w:after="0" w:line="213"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ind w:right="192"/>
              <w:spacing w:after="0" w:line="213" w:lineRule="exact"/>
              <w:rPr>
                <w:sz w:val="20"/>
                <w:szCs w:val="20"/>
                <w:color w:val="auto"/>
              </w:rPr>
            </w:pPr>
            <w:r>
              <w:rPr>
                <w:rFonts w:ascii="Calibri" w:cs="Calibri" w:eastAsia="Calibri" w:hAnsi="Calibri"/>
                <w:sz w:val="18"/>
                <w:szCs w:val="18"/>
                <w:color w:val="auto"/>
              </w:rPr>
              <w:t>6.9</w:t>
            </w:r>
          </w:p>
        </w:tc>
        <w:tc>
          <w:tcPr>
            <w:tcW w:w="1460" w:type="dxa"/>
            <w:vAlign w:val="bottom"/>
            <w:tcBorders>
              <w:right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18.8 %</w:t>
            </w:r>
          </w:p>
        </w:tc>
      </w:tr>
      <w:tr>
        <w:trPr>
          <w:trHeight w:val="50"/>
        </w:trPr>
        <w:tc>
          <w:tcPr>
            <w:tcW w:w="43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r>
    </w:tbl>
    <w:p>
      <w:pPr>
        <w:spacing w:after="0" w:line="2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Subsequent to the end of the first quarter, on June 6, 2024, Academy's Board of Directors declared a quarterly cash dividend of $0.11 per share of common stock. The dividend is payable on July 18, 2024, to stockholders of record as of the close of business on June 20, 2024.</w:t>
      </w:r>
    </w:p>
    <w:p>
      <w:pPr>
        <w:sectPr>
          <w:pgSz w:w="11900" w:h="16838" w:orient="portrait"/>
          <w:cols w:equalWidth="0" w:num="1">
            <w:col w:w="11240"/>
          </w:cols>
          <w:pgMar w:left="320" w:top="422"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422" w:right="339" w:bottom="1440" w:gutter="0" w:footer="0" w:header="0"/>
          <w:type w:val="continuous"/>
        </w:sectPr>
      </w:pPr>
    </w:p>
    <w:bookmarkStart w:id="4" w:name="page5"/>
    <w:bookmarkEnd w:id="4"/>
    <w:p>
      <w:pPr>
        <w:jc w:val="both"/>
        <w:spacing w:after="0" w:line="235" w:lineRule="auto"/>
        <w:rPr>
          <w:sz w:val="20"/>
          <w:szCs w:val="20"/>
          <w:color w:val="auto"/>
        </w:rPr>
      </w:pPr>
      <w:r>
        <w:rPr>
          <w:rFonts w:ascii="Arial" w:cs="Arial" w:eastAsia="Arial" w:hAnsi="Arial"/>
          <w:sz w:val="18"/>
          <w:szCs w:val="18"/>
          <w:color w:val="auto"/>
        </w:rPr>
        <w:t>Carl Ford, Chief Financial Officer, said, "Academy generated $200 million in cash from operations during the quarter. We believe that investing this cash into the pillars of our long-range plan will result in long-term, sustainable sales and profit growth for Academy and our shareholders. To that end, in the first quarter, we invested $32 million of capital back into the Company, repurchased $124 million in stock, and paid $8 million in dividends. We are focused on driving traffic, managing our inventory to maintain margins, and controlling expenses as we invest in our growth initiatives."</w:t>
      </w:r>
    </w:p>
    <w:p>
      <w:pPr>
        <w:spacing w:after="0" w:line="231" w:lineRule="auto"/>
        <w:rPr>
          <w:sz w:val="20"/>
          <w:szCs w:val="20"/>
          <w:color w:val="auto"/>
        </w:rPr>
      </w:pPr>
      <w:r>
        <w:rPr>
          <w:rFonts w:ascii="Arial" w:cs="Arial" w:eastAsia="Arial" w:hAnsi="Arial"/>
          <w:sz w:val="18"/>
          <w:szCs w:val="18"/>
          <w:b w:val="1"/>
          <w:bCs w:val="1"/>
          <w:u w:val="single" w:color="auto"/>
          <w:color w:val="auto"/>
        </w:rPr>
        <w:t>New Store Openings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Academy opened two new stores during the first quarter. The Company plans to open 15 to 17 stores in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2024 Outlook</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Academy is reiterating its previous sales and net income guidance for fiscal 2024, while updating its earnings per share forecast to reflect the share repurchase activity completed in the first quarter.</w:t>
      </w:r>
    </w:p>
    <w:p>
      <w:pPr>
        <w:spacing w:after="0" w:line="2" w:lineRule="exact"/>
        <w:rPr>
          <w:sz w:val="20"/>
          <w:szCs w:val="20"/>
          <w:color w:val="auto"/>
        </w:rPr>
      </w:pPr>
    </w:p>
    <w:tbl>
      <w:tblPr>
        <w:tblLayout w:type="fixed"/>
        <w:tblInd w:w="90" w:type="dxa"/>
        <w:tblCellMar>
          <w:top w:w="0" w:type="dxa"/>
          <w:left w:w="0" w:type="dxa"/>
          <w:bottom w:w="0" w:type="dxa"/>
          <w:right w:w="0" w:type="dxa"/>
        </w:tblCellMar>
      </w:tblPr>
      <w:tr>
        <w:trPr>
          <w:trHeight w:val="235"/>
        </w:trPr>
        <w:tc>
          <w:tcPr>
            <w:tcW w:w="4060" w:type="dxa"/>
            <w:vAlign w:val="bottom"/>
            <w:tcBorders>
              <w:top w:val="single" w:sz="8" w:color="auto"/>
              <w:left w:val="single" w:sz="8" w:color="auto"/>
            </w:tcBorders>
            <w:shd w:val="clear" w:color="auto" w:fill="1928A0"/>
          </w:tcPr>
          <w:p>
            <w:pPr>
              <w:spacing w:after="0"/>
              <w:rPr>
                <w:sz w:val="20"/>
                <w:szCs w:val="20"/>
                <w:color w:val="auto"/>
              </w:rPr>
            </w:pPr>
          </w:p>
        </w:tc>
        <w:tc>
          <w:tcPr>
            <w:tcW w:w="240" w:type="dxa"/>
            <w:vAlign w:val="bottom"/>
            <w:tcBorders>
              <w:top w:val="single" w:sz="8" w:color="auto"/>
            </w:tcBorders>
            <w:shd w:val="clear" w:color="auto" w:fill="1928A0"/>
          </w:tcPr>
          <w:p>
            <w:pPr>
              <w:spacing w:after="0"/>
              <w:rPr>
                <w:sz w:val="20"/>
                <w:szCs w:val="20"/>
                <w:color w:val="auto"/>
              </w:rPr>
            </w:pPr>
          </w:p>
        </w:tc>
        <w:tc>
          <w:tcPr>
            <w:tcW w:w="3420" w:type="dxa"/>
            <w:vAlign w:val="bottom"/>
            <w:tcBorders>
              <w:top w:val="single" w:sz="8" w:color="auto"/>
            </w:tcBorders>
            <w:gridSpan w:val="3"/>
            <w:shd w:val="clear" w:color="auto" w:fill="1928A0"/>
          </w:tcPr>
          <w:p>
            <w:pPr>
              <w:jc w:val="right"/>
              <w:ind w:right="1072"/>
              <w:spacing w:after="0"/>
              <w:rPr>
                <w:sz w:val="20"/>
                <w:szCs w:val="20"/>
                <w:color w:val="auto"/>
              </w:rPr>
            </w:pPr>
            <w:r>
              <w:rPr>
                <w:rFonts w:ascii="Calibri" w:cs="Calibri" w:eastAsia="Calibri" w:hAnsi="Calibri"/>
                <w:sz w:val="19"/>
                <w:szCs w:val="19"/>
                <w:b w:val="1"/>
                <w:bCs w:val="1"/>
                <w:color w:val="FFFFFF"/>
              </w:rPr>
              <w:t>Updated Guidance</w:t>
            </w:r>
          </w:p>
        </w:tc>
        <w:tc>
          <w:tcPr>
            <w:tcW w:w="400" w:type="dxa"/>
            <w:vAlign w:val="bottom"/>
            <w:tcBorders>
              <w:top w:val="single" w:sz="8" w:color="auto"/>
            </w:tcBorders>
            <w:shd w:val="clear" w:color="auto" w:fill="1928A0"/>
          </w:tcPr>
          <w:p>
            <w:pPr>
              <w:spacing w:after="0"/>
              <w:rPr>
                <w:sz w:val="20"/>
                <w:szCs w:val="20"/>
                <w:color w:val="auto"/>
              </w:rPr>
            </w:pPr>
          </w:p>
        </w:tc>
        <w:tc>
          <w:tcPr>
            <w:tcW w:w="3000" w:type="dxa"/>
            <w:vAlign w:val="bottom"/>
            <w:tcBorders>
              <w:top w:val="single" w:sz="8" w:color="auto"/>
              <w:right w:val="single" w:sz="8" w:color="auto"/>
            </w:tcBorders>
            <w:gridSpan w:val="3"/>
            <w:shd w:val="clear" w:color="auto" w:fill="1928A0"/>
          </w:tcPr>
          <w:p>
            <w:pPr>
              <w:jc w:val="right"/>
              <w:ind w:right="791"/>
              <w:spacing w:after="0"/>
              <w:rPr>
                <w:sz w:val="20"/>
                <w:szCs w:val="20"/>
                <w:color w:val="auto"/>
              </w:rPr>
            </w:pPr>
            <w:r>
              <w:rPr>
                <w:rFonts w:ascii="Calibri" w:cs="Calibri" w:eastAsia="Calibri" w:hAnsi="Calibri"/>
                <w:sz w:val="19"/>
                <w:szCs w:val="19"/>
                <w:b w:val="1"/>
                <w:bCs w:val="1"/>
                <w:color w:val="FFFFFF"/>
              </w:rPr>
              <w:t>Previous Guidance</w:t>
            </w:r>
          </w:p>
        </w:tc>
      </w:tr>
      <w:tr>
        <w:trPr>
          <w:trHeight w:val="327"/>
        </w:trPr>
        <w:tc>
          <w:tcPr>
            <w:tcW w:w="406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12"/>
                <w:szCs w:val="12"/>
                <w:b w:val="1"/>
                <w:bCs w:val="1"/>
                <w:color w:val="FFFFFF"/>
              </w:rPr>
              <w:t>(in millions, except per share data)</w:t>
            </w:r>
          </w:p>
        </w:tc>
        <w:tc>
          <w:tcPr>
            <w:tcW w:w="240" w:type="dxa"/>
            <w:vAlign w:val="bottom"/>
            <w:tcBorders>
              <w:bottom w:val="single" w:sz="8" w:color="1928A0"/>
            </w:tcBorders>
            <w:shd w:val="clear" w:color="auto" w:fill="1928A0"/>
          </w:tcPr>
          <w:p>
            <w:pPr>
              <w:spacing w:after="0"/>
              <w:rPr>
                <w:sz w:val="24"/>
                <w:szCs w:val="24"/>
                <w:color w:val="auto"/>
              </w:rPr>
            </w:pPr>
          </w:p>
        </w:tc>
        <w:tc>
          <w:tcPr>
            <w:tcW w:w="1440" w:type="dxa"/>
            <w:vAlign w:val="bottom"/>
            <w:tcBorders>
              <w:bottom w:val="single" w:sz="8" w:color="1928A0"/>
            </w:tcBorders>
            <w:shd w:val="clear" w:color="auto" w:fill="1928A0"/>
          </w:tcPr>
          <w:p>
            <w:pPr>
              <w:jc w:val="right"/>
              <w:ind w:right="493"/>
              <w:spacing w:after="0"/>
              <w:rPr>
                <w:sz w:val="20"/>
                <w:szCs w:val="20"/>
                <w:color w:val="auto"/>
              </w:rPr>
            </w:pPr>
            <w:r>
              <w:rPr>
                <w:rFonts w:ascii="Calibri" w:cs="Calibri" w:eastAsia="Calibri" w:hAnsi="Calibri"/>
                <w:sz w:val="19"/>
                <w:szCs w:val="19"/>
                <w:b w:val="1"/>
                <w:bCs w:val="1"/>
                <w:color w:val="FFFFFF"/>
              </w:rPr>
              <w:t>Low end</w:t>
            </w:r>
          </w:p>
        </w:tc>
        <w:tc>
          <w:tcPr>
            <w:tcW w:w="440" w:type="dxa"/>
            <w:vAlign w:val="bottom"/>
            <w:tcBorders>
              <w:bottom w:val="single" w:sz="8" w:color="1928A0"/>
            </w:tcBorders>
            <w:shd w:val="clear" w:color="auto" w:fill="1928A0"/>
          </w:tcPr>
          <w:p>
            <w:pPr>
              <w:spacing w:after="0"/>
              <w:rPr>
                <w:sz w:val="24"/>
                <w:szCs w:val="24"/>
                <w:color w:val="auto"/>
              </w:rPr>
            </w:pPr>
          </w:p>
        </w:tc>
        <w:tc>
          <w:tcPr>
            <w:tcW w:w="1540" w:type="dxa"/>
            <w:vAlign w:val="bottom"/>
            <w:tcBorders>
              <w:bottom w:val="single" w:sz="8" w:color="1928A0"/>
            </w:tcBorders>
            <w:shd w:val="clear" w:color="auto" w:fill="1928A0"/>
          </w:tcPr>
          <w:p>
            <w:pPr>
              <w:jc w:val="right"/>
              <w:ind w:right="552"/>
              <w:spacing w:after="0"/>
              <w:rPr>
                <w:sz w:val="20"/>
                <w:szCs w:val="20"/>
                <w:color w:val="auto"/>
              </w:rPr>
            </w:pPr>
            <w:r>
              <w:rPr>
                <w:rFonts w:ascii="Calibri" w:cs="Calibri" w:eastAsia="Calibri" w:hAnsi="Calibri"/>
                <w:sz w:val="19"/>
                <w:szCs w:val="19"/>
                <w:b w:val="1"/>
                <w:bCs w:val="1"/>
                <w:color w:val="FFFFFF"/>
              </w:rPr>
              <w:t>High end</w:t>
            </w:r>
          </w:p>
        </w:tc>
        <w:tc>
          <w:tcPr>
            <w:tcW w:w="400" w:type="dxa"/>
            <w:vAlign w:val="bottom"/>
            <w:tcBorders>
              <w:bottom w:val="single" w:sz="8" w:color="1928A0"/>
            </w:tcBorders>
            <w:shd w:val="clear" w:color="auto" w:fill="1928A0"/>
          </w:tcPr>
          <w:p>
            <w:pPr>
              <w:spacing w:after="0"/>
              <w:rPr>
                <w:sz w:val="24"/>
                <w:szCs w:val="24"/>
                <w:color w:val="auto"/>
              </w:rPr>
            </w:pPr>
          </w:p>
        </w:tc>
        <w:tc>
          <w:tcPr>
            <w:tcW w:w="1280" w:type="dxa"/>
            <w:vAlign w:val="bottom"/>
            <w:tcBorders>
              <w:bottom w:val="single" w:sz="8" w:color="1928A0"/>
            </w:tcBorders>
            <w:shd w:val="clear" w:color="auto" w:fill="1928A0"/>
          </w:tcPr>
          <w:p>
            <w:pPr>
              <w:ind w:left="140"/>
              <w:spacing w:after="0"/>
              <w:rPr>
                <w:sz w:val="20"/>
                <w:szCs w:val="20"/>
                <w:color w:val="auto"/>
              </w:rPr>
            </w:pPr>
            <w:r>
              <w:rPr>
                <w:rFonts w:ascii="Calibri" w:cs="Calibri" w:eastAsia="Calibri" w:hAnsi="Calibri"/>
                <w:sz w:val="19"/>
                <w:szCs w:val="19"/>
                <w:b w:val="1"/>
                <w:bCs w:val="1"/>
                <w:color w:val="FFFFFF"/>
              </w:rPr>
              <w:t>Low end</w:t>
            </w:r>
          </w:p>
        </w:tc>
        <w:tc>
          <w:tcPr>
            <w:tcW w:w="360" w:type="dxa"/>
            <w:vAlign w:val="bottom"/>
            <w:tcBorders>
              <w:bottom w:val="single" w:sz="8" w:color="1928A0"/>
            </w:tcBorders>
            <w:shd w:val="clear" w:color="auto" w:fill="1928A0"/>
          </w:tcPr>
          <w:p>
            <w:pPr>
              <w:spacing w:after="0"/>
              <w:rPr>
                <w:sz w:val="24"/>
                <w:szCs w:val="24"/>
                <w:color w:val="auto"/>
              </w:rPr>
            </w:pPr>
          </w:p>
        </w:tc>
        <w:tc>
          <w:tcPr>
            <w:tcW w:w="1360" w:type="dxa"/>
            <w:vAlign w:val="bottom"/>
            <w:tcBorders>
              <w:bottom w:val="single" w:sz="8" w:color="1928A0"/>
              <w:right w:val="single" w:sz="8" w:color="auto"/>
            </w:tcBorders>
            <w:shd w:val="clear" w:color="auto" w:fill="1928A0"/>
          </w:tcPr>
          <w:p>
            <w:pPr>
              <w:jc w:val="right"/>
              <w:ind w:right="371"/>
              <w:spacing w:after="0"/>
              <w:rPr>
                <w:sz w:val="20"/>
                <w:szCs w:val="20"/>
                <w:color w:val="auto"/>
              </w:rPr>
            </w:pPr>
            <w:r>
              <w:rPr>
                <w:rFonts w:ascii="Calibri" w:cs="Calibri" w:eastAsia="Calibri" w:hAnsi="Calibri"/>
                <w:sz w:val="19"/>
                <w:szCs w:val="19"/>
                <w:b w:val="1"/>
                <w:bCs w:val="1"/>
                <w:color w:val="FFFFFF"/>
              </w:rPr>
              <w:t>High end</w:t>
            </w:r>
          </w:p>
        </w:tc>
      </w:tr>
      <w:tr>
        <w:trPr>
          <w:trHeight w:val="213"/>
        </w:trPr>
        <w:tc>
          <w:tcPr>
            <w:tcW w:w="40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Net sales</w:t>
            </w:r>
          </w:p>
        </w:tc>
        <w:tc>
          <w:tcPr>
            <w:tcW w:w="240" w:type="dxa"/>
            <w:vAlign w:val="bottom"/>
          </w:tcPr>
          <w:p>
            <w:pPr>
              <w:spacing w:after="0"/>
              <w:rPr>
                <w:sz w:val="18"/>
                <w:szCs w:val="18"/>
                <w:color w:val="auto"/>
              </w:rPr>
            </w:pPr>
          </w:p>
        </w:tc>
        <w:tc>
          <w:tcPr>
            <w:tcW w:w="1440" w:type="dxa"/>
            <w:vAlign w:val="bottom"/>
          </w:tcPr>
          <w:p>
            <w:pPr>
              <w:jc w:val="right"/>
              <w:ind w:right="113"/>
              <w:spacing w:after="0" w:line="213" w:lineRule="exact"/>
              <w:rPr>
                <w:sz w:val="20"/>
                <w:szCs w:val="20"/>
                <w:color w:val="auto"/>
              </w:rPr>
            </w:pPr>
            <w:r>
              <w:rPr>
                <w:rFonts w:ascii="Calibri" w:cs="Calibri" w:eastAsia="Calibri" w:hAnsi="Calibri"/>
                <w:sz w:val="18"/>
                <w:szCs w:val="18"/>
                <w:color w:val="auto"/>
              </w:rPr>
              <w:t>no change</w:t>
            </w:r>
          </w:p>
        </w:tc>
        <w:tc>
          <w:tcPr>
            <w:tcW w:w="440" w:type="dxa"/>
            <w:vAlign w:val="bottom"/>
          </w:tcPr>
          <w:p>
            <w:pPr>
              <w:spacing w:after="0"/>
              <w:rPr>
                <w:sz w:val="18"/>
                <w:szCs w:val="18"/>
                <w:color w:val="auto"/>
              </w:rPr>
            </w:pPr>
          </w:p>
        </w:tc>
        <w:tc>
          <w:tcPr>
            <w:tcW w:w="154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no change</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ind w:right="191"/>
              <w:spacing w:after="0" w:line="213" w:lineRule="exact"/>
              <w:rPr>
                <w:sz w:val="20"/>
                <w:szCs w:val="20"/>
                <w:color w:val="auto"/>
              </w:rPr>
            </w:pPr>
            <w:r>
              <w:rPr>
                <w:rFonts w:ascii="Calibri" w:cs="Calibri" w:eastAsia="Calibri" w:hAnsi="Calibri"/>
                <w:sz w:val="18"/>
                <w:szCs w:val="18"/>
                <w:color w:val="auto"/>
              </w:rPr>
              <w:t>6,070.0</w:t>
            </w:r>
          </w:p>
        </w:tc>
        <w:tc>
          <w:tcPr>
            <w:tcW w:w="3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rPr>
              <w:t>$</w:t>
            </w:r>
          </w:p>
        </w:tc>
        <w:tc>
          <w:tcPr>
            <w:tcW w:w="1360" w:type="dxa"/>
            <w:vAlign w:val="bottom"/>
            <w:tcBorders>
              <w:right w:val="single" w:sz="8" w:color="auto"/>
            </w:tcBorders>
          </w:tcPr>
          <w:p>
            <w:pPr>
              <w:jc w:val="right"/>
              <w:ind w:right="131"/>
              <w:spacing w:after="0" w:line="213" w:lineRule="exact"/>
              <w:rPr>
                <w:sz w:val="20"/>
                <w:szCs w:val="20"/>
                <w:color w:val="auto"/>
              </w:rPr>
            </w:pPr>
            <w:r>
              <w:rPr>
                <w:rFonts w:ascii="Calibri" w:cs="Calibri" w:eastAsia="Calibri" w:hAnsi="Calibri"/>
                <w:sz w:val="18"/>
                <w:szCs w:val="18"/>
                <w:color w:val="auto"/>
              </w:rPr>
              <w:t>6,350.0</w:t>
            </w:r>
          </w:p>
        </w:tc>
      </w:tr>
      <w:tr>
        <w:trPr>
          <w:trHeight w:val="272"/>
        </w:trPr>
        <w:tc>
          <w:tcPr>
            <w:tcW w:w="4060" w:type="dxa"/>
            <w:vAlign w:val="bottom"/>
            <w:tcBorders>
              <w:left w:val="single" w:sz="8" w:color="auto"/>
            </w:tcBorders>
          </w:tcPr>
          <w:p>
            <w:pPr>
              <w:ind w:left="200"/>
              <w:spacing w:after="0"/>
              <w:rPr>
                <w:sz w:val="20"/>
                <w:szCs w:val="20"/>
                <w:color w:val="auto"/>
              </w:rPr>
            </w:pPr>
            <w:r>
              <w:rPr>
                <w:rFonts w:ascii="Calibri" w:cs="Calibri" w:eastAsia="Calibri" w:hAnsi="Calibri"/>
                <w:sz w:val="16"/>
                <w:szCs w:val="16"/>
                <w:color w:val="auto"/>
              </w:rPr>
              <w:t>Sales growth</w:t>
            </w:r>
          </w:p>
        </w:tc>
        <w:tc>
          <w:tcPr>
            <w:tcW w:w="240" w:type="dxa"/>
            <w:vAlign w:val="bottom"/>
          </w:tcPr>
          <w:p>
            <w:pPr>
              <w:spacing w:after="0"/>
              <w:rPr>
                <w:sz w:val="23"/>
                <w:szCs w:val="23"/>
                <w:color w:val="auto"/>
              </w:rPr>
            </w:pPr>
          </w:p>
        </w:tc>
        <w:tc>
          <w:tcPr>
            <w:tcW w:w="1440" w:type="dxa"/>
            <w:vAlign w:val="bottom"/>
          </w:tcPr>
          <w:p>
            <w:pPr>
              <w:jc w:val="right"/>
              <w:ind w:right="113"/>
              <w:spacing w:after="0"/>
              <w:rPr>
                <w:sz w:val="20"/>
                <w:szCs w:val="20"/>
                <w:color w:val="auto"/>
              </w:rPr>
            </w:pPr>
            <w:r>
              <w:rPr>
                <w:rFonts w:ascii="Calibri" w:cs="Calibri" w:eastAsia="Calibri" w:hAnsi="Calibri"/>
                <w:sz w:val="16"/>
                <w:szCs w:val="16"/>
                <w:color w:val="auto"/>
              </w:rPr>
              <w:t>no change</w:t>
            </w:r>
          </w:p>
        </w:tc>
        <w:tc>
          <w:tcPr>
            <w:tcW w:w="44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Calibri" w:cs="Calibri" w:eastAsia="Calibri" w:hAnsi="Calibri"/>
                <w:sz w:val="16"/>
                <w:szCs w:val="16"/>
                <w:color w:val="auto"/>
              </w:rPr>
              <w:t>no change</w:t>
            </w:r>
          </w:p>
        </w:tc>
        <w:tc>
          <w:tcPr>
            <w:tcW w:w="40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Calibri" w:cs="Calibri" w:eastAsia="Calibri" w:hAnsi="Calibri"/>
                <w:sz w:val="18"/>
                <w:szCs w:val="18"/>
                <w:color w:val="auto"/>
              </w:rPr>
              <w:t>(1.5)%</w:t>
            </w:r>
          </w:p>
        </w:tc>
        <w:tc>
          <w:tcPr>
            <w:tcW w:w="360" w:type="dxa"/>
            <w:vAlign w:val="bottom"/>
          </w:tcPr>
          <w:p>
            <w:pPr>
              <w:spacing w:after="0"/>
              <w:rPr>
                <w:sz w:val="23"/>
                <w:szCs w:val="23"/>
                <w:color w:val="auto"/>
              </w:rPr>
            </w:pPr>
          </w:p>
        </w:tc>
        <w:tc>
          <w:tcPr>
            <w:tcW w:w="136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+3.0 %</w:t>
            </w:r>
          </w:p>
        </w:tc>
      </w:tr>
      <w:tr>
        <w:trPr>
          <w:trHeight w:val="41"/>
        </w:trPr>
        <w:tc>
          <w:tcPr>
            <w:tcW w:w="40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r>
      <w:tr>
        <w:trPr>
          <w:trHeight w:val="158"/>
        </w:trPr>
        <w:tc>
          <w:tcPr>
            <w:tcW w:w="4060" w:type="dxa"/>
            <w:vAlign w:val="bottom"/>
            <w:tcBorders>
              <w:left w:val="single" w:sz="8" w:color="auto"/>
            </w:tcBorders>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5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r>
      <w:tr>
        <w:trPr>
          <w:trHeight w:val="213"/>
        </w:trPr>
        <w:tc>
          <w:tcPr>
            <w:tcW w:w="40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Comparable sales</w:t>
            </w:r>
          </w:p>
        </w:tc>
        <w:tc>
          <w:tcPr>
            <w:tcW w:w="240" w:type="dxa"/>
            <w:vAlign w:val="bottom"/>
          </w:tcPr>
          <w:p>
            <w:pPr>
              <w:spacing w:after="0"/>
              <w:rPr>
                <w:sz w:val="18"/>
                <w:szCs w:val="18"/>
                <w:color w:val="auto"/>
              </w:rPr>
            </w:pPr>
          </w:p>
        </w:tc>
        <w:tc>
          <w:tcPr>
            <w:tcW w:w="1440" w:type="dxa"/>
            <w:vAlign w:val="bottom"/>
          </w:tcPr>
          <w:p>
            <w:pPr>
              <w:jc w:val="right"/>
              <w:ind w:right="113"/>
              <w:spacing w:after="0" w:line="213" w:lineRule="exact"/>
              <w:rPr>
                <w:sz w:val="20"/>
                <w:szCs w:val="20"/>
                <w:color w:val="auto"/>
              </w:rPr>
            </w:pPr>
            <w:r>
              <w:rPr>
                <w:rFonts w:ascii="Calibri" w:cs="Calibri" w:eastAsia="Calibri" w:hAnsi="Calibri"/>
                <w:sz w:val="18"/>
                <w:szCs w:val="18"/>
                <w:color w:val="auto"/>
              </w:rPr>
              <w:t>no change</w:t>
            </w:r>
          </w:p>
        </w:tc>
        <w:tc>
          <w:tcPr>
            <w:tcW w:w="440" w:type="dxa"/>
            <w:vAlign w:val="bottom"/>
          </w:tcPr>
          <w:p>
            <w:pPr>
              <w:spacing w:after="0"/>
              <w:rPr>
                <w:sz w:val="18"/>
                <w:szCs w:val="18"/>
                <w:color w:val="auto"/>
              </w:rPr>
            </w:pPr>
          </w:p>
        </w:tc>
        <w:tc>
          <w:tcPr>
            <w:tcW w:w="154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no change</w:t>
            </w:r>
          </w:p>
        </w:tc>
        <w:tc>
          <w:tcPr>
            <w:tcW w:w="400" w:type="dxa"/>
            <w:vAlign w:val="bottom"/>
          </w:tcPr>
          <w:p>
            <w:pPr>
              <w:spacing w:after="0"/>
              <w:rPr>
                <w:sz w:val="18"/>
                <w:szCs w:val="18"/>
                <w:color w:val="auto"/>
              </w:rPr>
            </w:pPr>
          </w:p>
        </w:tc>
        <w:tc>
          <w:tcPr>
            <w:tcW w:w="1280" w:type="dxa"/>
            <w:vAlign w:val="bottom"/>
          </w:tcPr>
          <w:p>
            <w:pPr>
              <w:jc w:val="right"/>
              <w:ind w:right="31"/>
              <w:spacing w:after="0" w:line="213" w:lineRule="exact"/>
              <w:rPr>
                <w:sz w:val="20"/>
                <w:szCs w:val="20"/>
                <w:color w:val="auto"/>
              </w:rPr>
            </w:pPr>
            <w:r>
              <w:rPr>
                <w:rFonts w:ascii="Calibri" w:cs="Calibri" w:eastAsia="Calibri" w:hAnsi="Calibri"/>
                <w:sz w:val="18"/>
                <w:szCs w:val="18"/>
                <w:color w:val="auto"/>
              </w:rPr>
              <w:t>(4.0)%</w:t>
            </w:r>
          </w:p>
        </w:tc>
        <w:tc>
          <w:tcPr>
            <w:tcW w:w="360" w:type="dxa"/>
            <w:vAlign w:val="bottom"/>
          </w:tcPr>
          <w:p>
            <w:pPr>
              <w:spacing w:after="0"/>
              <w:rPr>
                <w:sz w:val="18"/>
                <w:szCs w:val="18"/>
                <w:color w:val="auto"/>
              </w:rPr>
            </w:pPr>
          </w:p>
        </w:tc>
        <w:tc>
          <w:tcPr>
            <w:tcW w:w="1360" w:type="dxa"/>
            <w:vAlign w:val="bottom"/>
            <w:tcBorders>
              <w:right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1.0 %</w:t>
            </w:r>
          </w:p>
        </w:tc>
      </w:tr>
      <w:tr>
        <w:trPr>
          <w:trHeight w:val="50"/>
        </w:trPr>
        <w:tc>
          <w:tcPr>
            <w:tcW w:w="40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r>
      <w:tr>
        <w:trPr>
          <w:trHeight w:val="158"/>
        </w:trPr>
        <w:tc>
          <w:tcPr>
            <w:tcW w:w="4060" w:type="dxa"/>
            <w:vAlign w:val="bottom"/>
            <w:tcBorders>
              <w:left w:val="single" w:sz="8" w:color="auto"/>
            </w:tcBorders>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5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r>
      <w:tr>
        <w:trPr>
          <w:trHeight w:val="213"/>
        </w:trPr>
        <w:tc>
          <w:tcPr>
            <w:tcW w:w="40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Gross margin rate</w:t>
            </w:r>
          </w:p>
        </w:tc>
        <w:tc>
          <w:tcPr>
            <w:tcW w:w="240" w:type="dxa"/>
            <w:vAlign w:val="bottom"/>
          </w:tcPr>
          <w:p>
            <w:pPr>
              <w:spacing w:after="0"/>
              <w:rPr>
                <w:sz w:val="18"/>
                <w:szCs w:val="18"/>
                <w:color w:val="auto"/>
              </w:rPr>
            </w:pPr>
          </w:p>
        </w:tc>
        <w:tc>
          <w:tcPr>
            <w:tcW w:w="1440" w:type="dxa"/>
            <w:vAlign w:val="bottom"/>
          </w:tcPr>
          <w:p>
            <w:pPr>
              <w:jc w:val="right"/>
              <w:ind w:right="113"/>
              <w:spacing w:after="0" w:line="213" w:lineRule="exact"/>
              <w:rPr>
                <w:sz w:val="20"/>
                <w:szCs w:val="20"/>
                <w:color w:val="auto"/>
              </w:rPr>
            </w:pPr>
            <w:r>
              <w:rPr>
                <w:rFonts w:ascii="Calibri" w:cs="Calibri" w:eastAsia="Calibri" w:hAnsi="Calibri"/>
                <w:sz w:val="18"/>
                <w:szCs w:val="18"/>
                <w:color w:val="auto"/>
              </w:rPr>
              <w:t>no change</w:t>
            </w:r>
          </w:p>
        </w:tc>
        <w:tc>
          <w:tcPr>
            <w:tcW w:w="440" w:type="dxa"/>
            <w:vAlign w:val="bottom"/>
          </w:tcPr>
          <w:p>
            <w:pPr>
              <w:spacing w:after="0"/>
              <w:rPr>
                <w:sz w:val="18"/>
                <w:szCs w:val="18"/>
                <w:color w:val="auto"/>
              </w:rPr>
            </w:pPr>
          </w:p>
        </w:tc>
        <w:tc>
          <w:tcPr>
            <w:tcW w:w="154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no change</w:t>
            </w:r>
          </w:p>
        </w:tc>
        <w:tc>
          <w:tcPr>
            <w:tcW w:w="400" w:type="dxa"/>
            <w:vAlign w:val="bottom"/>
          </w:tcPr>
          <w:p>
            <w:pPr>
              <w:spacing w:after="0"/>
              <w:rPr>
                <w:sz w:val="18"/>
                <w:szCs w:val="18"/>
                <w:color w:val="auto"/>
              </w:rPr>
            </w:pPr>
          </w:p>
        </w:tc>
        <w:tc>
          <w:tcPr>
            <w:tcW w:w="1280" w:type="dxa"/>
            <w:vAlign w:val="bottom"/>
          </w:tcPr>
          <w:p>
            <w:pPr>
              <w:ind w:left="700"/>
              <w:spacing w:after="0" w:line="213" w:lineRule="exact"/>
              <w:rPr>
                <w:sz w:val="20"/>
                <w:szCs w:val="20"/>
                <w:color w:val="auto"/>
              </w:rPr>
            </w:pPr>
            <w:r>
              <w:rPr>
                <w:rFonts w:ascii="Calibri" w:cs="Calibri" w:eastAsia="Calibri" w:hAnsi="Calibri"/>
                <w:sz w:val="18"/>
                <w:szCs w:val="18"/>
                <w:color w:val="auto"/>
              </w:rPr>
              <w:t>34.3 %</w:t>
            </w:r>
          </w:p>
        </w:tc>
        <w:tc>
          <w:tcPr>
            <w:tcW w:w="360" w:type="dxa"/>
            <w:vAlign w:val="bottom"/>
          </w:tcPr>
          <w:p>
            <w:pPr>
              <w:spacing w:after="0"/>
              <w:rPr>
                <w:sz w:val="18"/>
                <w:szCs w:val="18"/>
                <w:color w:val="auto"/>
              </w:rPr>
            </w:pPr>
          </w:p>
        </w:tc>
        <w:tc>
          <w:tcPr>
            <w:tcW w:w="1360" w:type="dxa"/>
            <w:vAlign w:val="bottom"/>
            <w:tcBorders>
              <w:right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34.7 %</w:t>
            </w:r>
          </w:p>
        </w:tc>
      </w:tr>
      <w:tr>
        <w:trPr>
          <w:trHeight w:val="50"/>
        </w:trPr>
        <w:tc>
          <w:tcPr>
            <w:tcW w:w="40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r>
      <w:tr>
        <w:trPr>
          <w:trHeight w:val="158"/>
        </w:trPr>
        <w:tc>
          <w:tcPr>
            <w:tcW w:w="4060" w:type="dxa"/>
            <w:vAlign w:val="bottom"/>
            <w:tcBorders>
              <w:left w:val="single" w:sz="8" w:color="auto"/>
            </w:tcBorders>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5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r>
      <w:tr>
        <w:trPr>
          <w:trHeight w:val="213"/>
        </w:trPr>
        <w:tc>
          <w:tcPr>
            <w:tcW w:w="40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GAAP net income</w:t>
            </w:r>
          </w:p>
        </w:tc>
        <w:tc>
          <w:tcPr>
            <w:tcW w:w="240" w:type="dxa"/>
            <w:vAlign w:val="bottom"/>
          </w:tcPr>
          <w:p>
            <w:pPr>
              <w:spacing w:after="0"/>
              <w:rPr>
                <w:sz w:val="18"/>
                <w:szCs w:val="18"/>
                <w:color w:val="auto"/>
              </w:rPr>
            </w:pPr>
          </w:p>
        </w:tc>
        <w:tc>
          <w:tcPr>
            <w:tcW w:w="1440" w:type="dxa"/>
            <w:vAlign w:val="bottom"/>
          </w:tcPr>
          <w:p>
            <w:pPr>
              <w:jc w:val="right"/>
              <w:ind w:right="113"/>
              <w:spacing w:after="0" w:line="213" w:lineRule="exact"/>
              <w:rPr>
                <w:sz w:val="20"/>
                <w:szCs w:val="20"/>
                <w:color w:val="auto"/>
              </w:rPr>
            </w:pPr>
            <w:r>
              <w:rPr>
                <w:rFonts w:ascii="Calibri" w:cs="Calibri" w:eastAsia="Calibri" w:hAnsi="Calibri"/>
                <w:sz w:val="18"/>
                <w:szCs w:val="18"/>
                <w:color w:val="auto"/>
              </w:rPr>
              <w:t>no change</w:t>
            </w:r>
          </w:p>
        </w:tc>
        <w:tc>
          <w:tcPr>
            <w:tcW w:w="440" w:type="dxa"/>
            <w:vAlign w:val="bottom"/>
          </w:tcPr>
          <w:p>
            <w:pPr>
              <w:spacing w:after="0"/>
              <w:rPr>
                <w:sz w:val="18"/>
                <w:szCs w:val="18"/>
                <w:color w:val="auto"/>
              </w:rPr>
            </w:pPr>
          </w:p>
        </w:tc>
        <w:tc>
          <w:tcPr>
            <w:tcW w:w="154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no change</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ind w:right="191"/>
              <w:spacing w:after="0" w:line="213" w:lineRule="exact"/>
              <w:rPr>
                <w:sz w:val="20"/>
                <w:szCs w:val="20"/>
                <w:color w:val="auto"/>
              </w:rPr>
            </w:pPr>
            <w:r>
              <w:rPr>
                <w:rFonts w:ascii="Calibri" w:cs="Calibri" w:eastAsia="Calibri" w:hAnsi="Calibri"/>
                <w:sz w:val="18"/>
                <w:szCs w:val="18"/>
                <w:color w:val="auto"/>
              </w:rPr>
              <w:t>455</w:t>
            </w:r>
          </w:p>
        </w:tc>
        <w:tc>
          <w:tcPr>
            <w:tcW w:w="3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rPr>
              <w:t>$</w:t>
            </w:r>
          </w:p>
        </w:tc>
        <w:tc>
          <w:tcPr>
            <w:tcW w:w="1360" w:type="dxa"/>
            <w:vAlign w:val="bottom"/>
            <w:tcBorders>
              <w:right w:val="single" w:sz="8" w:color="auto"/>
            </w:tcBorders>
          </w:tcPr>
          <w:p>
            <w:pPr>
              <w:jc w:val="right"/>
              <w:ind w:right="131"/>
              <w:spacing w:after="0" w:line="213" w:lineRule="exact"/>
              <w:rPr>
                <w:sz w:val="20"/>
                <w:szCs w:val="20"/>
                <w:color w:val="auto"/>
              </w:rPr>
            </w:pPr>
            <w:r>
              <w:rPr>
                <w:rFonts w:ascii="Calibri" w:cs="Calibri" w:eastAsia="Calibri" w:hAnsi="Calibri"/>
                <w:sz w:val="18"/>
                <w:szCs w:val="18"/>
                <w:color w:val="auto"/>
              </w:rPr>
              <w:t>530</w:t>
            </w:r>
          </w:p>
        </w:tc>
      </w:tr>
      <w:tr>
        <w:trPr>
          <w:trHeight w:val="50"/>
        </w:trPr>
        <w:tc>
          <w:tcPr>
            <w:tcW w:w="40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r>
      <w:tr>
        <w:trPr>
          <w:trHeight w:val="158"/>
        </w:trPr>
        <w:tc>
          <w:tcPr>
            <w:tcW w:w="4060" w:type="dxa"/>
            <w:vAlign w:val="bottom"/>
            <w:tcBorders>
              <w:left w:val="single" w:sz="8" w:color="auto"/>
            </w:tcBorders>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5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r>
      <w:tr>
        <w:trPr>
          <w:trHeight w:val="213"/>
        </w:trPr>
        <w:tc>
          <w:tcPr>
            <w:tcW w:w="40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GAAP earnings per common share, diluted</w:t>
            </w:r>
          </w:p>
        </w:tc>
        <w:tc>
          <w:tcPr>
            <w:tcW w:w="240" w:type="dxa"/>
            <w:vAlign w:val="bottom"/>
          </w:tcPr>
          <w:p>
            <w:pPr>
              <w:jc w:val="right"/>
              <w:ind w:right="52"/>
              <w:spacing w:after="0" w:line="213" w:lineRule="exact"/>
              <w:rPr>
                <w:sz w:val="20"/>
                <w:szCs w:val="20"/>
                <w:color w:val="auto"/>
              </w:rPr>
            </w:pPr>
            <w:r>
              <w:rPr>
                <w:rFonts w:ascii="Calibri" w:cs="Calibri" w:eastAsia="Calibri" w:hAnsi="Calibri"/>
                <w:sz w:val="18"/>
                <w:szCs w:val="18"/>
                <w:b w:val="1"/>
                <w:bCs w:val="1"/>
                <w:color w:val="auto"/>
                <w:w w:val="87"/>
              </w:rPr>
              <w:t>$</w:t>
            </w:r>
          </w:p>
        </w:tc>
        <w:tc>
          <w:tcPr>
            <w:tcW w:w="1440" w:type="dxa"/>
            <w:vAlign w:val="bottom"/>
          </w:tcPr>
          <w:p>
            <w:pPr>
              <w:jc w:val="right"/>
              <w:ind w:right="213"/>
              <w:spacing w:after="0" w:line="213" w:lineRule="exact"/>
              <w:rPr>
                <w:sz w:val="20"/>
                <w:szCs w:val="20"/>
                <w:color w:val="auto"/>
              </w:rPr>
            </w:pPr>
            <w:r>
              <w:rPr>
                <w:rFonts w:ascii="Calibri" w:cs="Calibri" w:eastAsia="Calibri" w:hAnsi="Calibri"/>
                <w:sz w:val="18"/>
                <w:szCs w:val="18"/>
                <w:b w:val="1"/>
                <w:bCs w:val="1"/>
                <w:color w:val="auto"/>
              </w:rPr>
              <w:t>6.05</w:t>
            </w:r>
          </w:p>
        </w:tc>
        <w:tc>
          <w:tcPr>
            <w:tcW w:w="440" w:type="dxa"/>
            <w:vAlign w:val="bottom"/>
          </w:tcPr>
          <w:p>
            <w:pPr>
              <w:jc w:val="right"/>
              <w:ind w:right="72"/>
              <w:spacing w:after="0" w:line="213" w:lineRule="exact"/>
              <w:rPr>
                <w:sz w:val="20"/>
                <w:szCs w:val="20"/>
                <w:color w:val="auto"/>
              </w:rPr>
            </w:pPr>
            <w:r>
              <w:rPr>
                <w:rFonts w:ascii="Calibri" w:cs="Calibri" w:eastAsia="Calibri" w:hAnsi="Calibri"/>
                <w:sz w:val="18"/>
                <w:szCs w:val="18"/>
                <w:b w:val="1"/>
                <w:bCs w:val="1"/>
                <w:color w:val="auto"/>
              </w:rPr>
              <w:t>$</w:t>
            </w:r>
          </w:p>
        </w:tc>
        <w:tc>
          <w:tcPr>
            <w:tcW w:w="1540" w:type="dxa"/>
            <w:vAlign w:val="bottom"/>
          </w:tcPr>
          <w:p>
            <w:pPr>
              <w:jc w:val="right"/>
              <w:ind w:right="212"/>
              <w:spacing w:after="0" w:line="213" w:lineRule="exact"/>
              <w:rPr>
                <w:sz w:val="20"/>
                <w:szCs w:val="20"/>
                <w:color w:val="auto"/>
              </w:rPr>
            </w:pPr>
            <w:r>
              <w:rPr>
                <w:rFonts w:ascii="Calibri" w:cs="Calibri" w:eastAsia="Calibri" w:hAnsi="Calibri"/>
                <w:sz w:val="18"/>
                <w:szCs w:val="18"/>
                <w:b w:val="1"/>
                <w:bCs w:val="1"/>
                <w:color w:val="auto"/>
              </w:rPr>
              <w:t>7.05</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80" w:type="dxa"/>
            <w:vAlign w:val="bottom"/>
          </w:tcPr>
          <w:p>
            <w:pPr>
              <w:ind w:left="700"/>
              <w:spacing w:after="0" w:line="213" w:lineRule="exact"/>
              <w:rPr>
                <w:sz w:val="20"/>
                <w:szCs w:val="20"/>
                <w:color w:val="auto"/>
              </w:rPr>
            </w:pPr>
            <w:r>
              <w:rPr>
                <w:rFonts w:ascii="Calibri" w:cs="Calibri" w:eastAsia="Calibri" w:hAnsi="Calibri"/>
                <w:sz w:val="18"/>
                <w:szCs w:val="18"/>
                <w:color w:val="auto"/>
              </w:rPr>
              <w:t>5.90</w:t>
            </w:r>
          </w:p>
        </w:tc>
        <w:tc>
          <w:tcPr>
            <w:tcW w:w="3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rPr>
              <w:t>$</w:t>
            </w:r>
          </w:p>
        </w:tc>
        <w:tc>
          <w:tcPr>
            <w:tcW w:w="1360" w:type="dxa"/>
            <w:vAlign w:val="bottom"/>
            <w:tcBorders>
              <w:right w:val="single" w:sz="8" w:color="auto"/>
            </w:tcBorders>
          </w:tcPr>
          <w:p>
            <w:pPr>
              <w:jc w:val="right"/>
              <w:ind w:right="131"/>
              <w:spacing w:after="0" w:line="213" w:lineRule="exact"/>
              <w:rPr>
                <w:sz w:val="20"/>
                <w:szCs w:val="20"/>
                <w:color w:val="auto"/>
              </w:rPr>
            </w:pPr>
            <w:r>
              <w:rPr>
                <w:rFonts w:ascii="Calibri" w:cs="Calibri" w:eastAsia="Calibri" w:hAnsi="Calibri"/>
                <w:sz w:val="18"/>
                <w:szCs w:val="18"/>
                <w:color w:val="auto"/>
              </w:rPr>
              <w:t>6.90</w:t>
            </w:r>
          </w:p>
        </w:tc>
      </w:tr>
      <w:tr>
        <w:trPr>
          <w:trHeight w:val="50"/>
        </w:trPr>
        <w:tc>
          <w:tcPr>
            <w:tcW w:w="40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r>
      <w:tr>
        <w:trPr>
          <w:trHeight w:val="158"/>
        </w:trPr>
        <w:tc>
          <w:tcPr>
            <w:tcW w:w="4060" w:type="dxa"/>
            <w:vAlign w:val="bottom"/>
            <w:tcBorders>
              <w:left w:val="single" w:sz="8" w:color="auto"/>
            </w:tcBorders>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5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r>
      <w:tr>
        <w:trPr>
          <w:trHeight w:val="213"/>
        </w:trPr>
        <w:tc>
          <w:tcPr>
            <w:tcW w:w="40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Diluted weighted average common shares outstanding</w:t>
            </w:r>
          </w:p>
        </w:tc>
        <w:tc>
          <w:tcPr>
            <w:tcW w:w="240" w:type="dxa"/>
            <w:vAlign w:val="bottom"/>
          </w:tcPr>
          <w:p>
            <w:pPr>
              <w:spacing w:after="0"/>
              <w:rPr>
                <w:sz w:val="18"/>
                <w:szCs w:val="18"/>
                <w:color w:val="auto"/>
              </w:rPr>
            </w:pPr>
          </w:p>
        </w:tc>
        <w:tc>
          <w:tcPr>
            <w:tcW w:w="1440" w:type="dxa"/>
            <w:vAlign w:val="bottom"/>
          </w:tcPr>
          <w:p>
            <w:pPr>
              <w:jc w:val="right"/>
              <w:ind w:right="213"/>
              <w:spacing w:after="0" w:line="213" w:lineRule="exact"/>
              <w:rPr>
                <w:sz w:val="20"/>
                <w:szCs w:val="20"/>
                <w:color w:val="auto"/>
              </w:rPr>
            </w:pPr>
            <w:r>
              <w:rPr>
                <w:rFonts w:ascii="Calibri" w:cs="Calibri" w:eastAsia="Calibri" w:hAnsi="Calibri"/>
                <w:sz w:val="18"/>
                <w:szCs w:val="18"/>
                <w:b w:val="1"/>
                <w:bCs w:val="1"/>
                <w:color w:val="auto"/>
              </w:rPr>
              <w:t>~75</w:t>
            </w:r>
          </w:p>
        </w:tc>
        <w:tc>
          <w:tcPr>
            <w:tcW w:w="440" w:type="dxa"/>
            <w:vAlign w:val="bottom"/>
          </w:tcPr>
          <w:p>
            <w:pPr>
              <w:spacing w:after="0"/>
              <w:rPr>
                <w:sz w:val="18"/>
                <w:szCs w:val="18"/>
                <w:color w:val="auto"/>
              </w:rPr>
            </w:pPr>
          </w:p>
        </w:tc>
        <w:tc>
          <w:tcPr>
            <w:tcW w:w="1540" w:type="dxa"/>
            <w:vAlign w:val="bottom"/>
          </w:tcPr>
          <w:p>
            <w:pPr>
              <w:jc w:val="right"/>
              <w:ind w:right="212"/>
              <w:spacing w:after="0" w:line="213" w:lineRule="exact"/>
              <w:rPr>
                <w:sz w:val="20"/>
                <w:szCs w:val="20"/>
                <w:color w:val="auto"/>
              </w:rPr>
            </w:pPr>
            <w:r>
              <w:rPr>
                <w:rFonts w:ascii="Calibri" w:cs="Calibri" w:eastAsia="Calibri" w:hAnsi="Calibri"/>
                <w:sz w:val="18"/>
                <w:szCs w:val="18"/>
                <w:b w:val="1"/>
                <w:bCs w:val="1"/>
                <w:color w:val="auto"/>
              </w:rPr>
              <w:t>~75</w:t>
            </w:r>
          </w:p>
        </w:tc>
        <w:tc>
          <w:tcPr>
            <w:tcW w:w="400" w:type="dxa"/>
            <w:vAlign w:val="bottom"/>
          </w:tcPr>
          <w:p>
            <w:pPr>
              <w:spacing w:after="0"/>
              <w:rPr>
                <w:sz w:val="18"/>
                <w:szCs w:val="18"/>
                <w:color w:val="auto"/>
              </w:rPr>
            </w:pPr>
          </w:p>
        </w:tc>
        <w:tc>
          <w:tcPr>
            <w:tcW w:w="1280" w:type="dxa"/>
            <w:vAlign w:val="bottom"/>
          </w:tcPr>
          <w:p>
            <w:pPr>
              <w:ind w:left="700"/>
              <w:spacing w:after="0" w:line="213" w:lineRule="exact"/>
              <w:rPr>
                <w:sz w:val="20"/>
                <w:szCs w:val="20"/>
                <w:color w:val="auto"/>
              </w:rPr>
            </w:pPr>
            <w:r>
              <w:rPr>
                <w:rFonts w:ascii="Calibri" w:cs="Calibri" w:eastAsia="Calibri" w:hAnsi="Calibri"/>
                <w:sz w:val="18"/>
                <w:szCs w:val="18"/>
                <w:color w:val="auto"/>
              </w:rPr>
              <w:t>~77</w:t>
            </w:r>
          </w:p>
        </w:tc>
        <w:tc>
          <w:tcPr>
            <w:tcW w:w="360" w:type="dxa"/>
            <w:vAlign w:val="bottom"/>
          </w:tcPr>
          <w:p>
            <w:pPr>
              <w:spacing w:after="0"/>
              <w:rPr>
                <w:sz w:val="18"/>
                <w:szCs w:val="18"/>
                <w:color w:val="auto"/>
              </w:rPr>
            </w:pPr>
          </w:p>
        </w:tc>
        <w:tc>
          <w:tcPr>
            <w:tcW w:w="1360" w:type="dxa"/>
            <w:vAlign w:val="bottom"/>
            <w:tcBorders>
              <w:right w:val="single" w:sz="8" w:color="auto"/>
            </w:tcBorders>
          </w:tcPr>
          <w:p>
            <w:pPr>
              <w:jc w:val="right"/>
              <w:ind w:right="171"/>
              <w:spacing w:after="0" w:line="213" w:lineRule="exact"/>
              <w:rPr>
                <w:sz w:val="20"/>
                <w:szCs w:val="20"/>
                <w:color w:val="auto"/>
              </w:rPr>
            </w:pPr>
            <w:r>
              <w:rPr>
                <w:rFonts w:ascii="Calibri" w:cs="Calibri" w:eastAsia="Calibri" w:hAnsi="Calibri"/>
                <w:sz w:val="18"/>
                <w:szCs w:val="18"/>
                <w:color w:val="auto"/>
              </w:rPr>
              <w:t>~77</w:t>
            </w:r>
          </w:p>
        </w:tc>
      </w:tr>
      <w:tr>
        <w:trPr>
          <w:trHeight w:val="50"/>
        </w:trPr>
        <w:tc>
          <w:tcPr>
            <w:tcW w:w="40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r>
      <w:tr>
        <w:trPr>
          <w:trHeight w:val="158"/>
        </w:trPr>
        <w:tc>
          <w:tcPr>
            <w:tcW w:w="4060" w:type="dxa"/>
            <w:vAlign w:val="bottom"/>
            <w:tcBorders>
              <w:left w:val="single" w:sz="8" w:color="auto"/>
            </w:tcBorders>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5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r>
      <w:tr>
        <w:trPr>
          <w:trHeight w:val="222"/>
        </w:trPr>
        <w:tc>
          <w:tcPr>
            <w:tcW w:w="40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Capital expenditures</w:t>
            </w:r>
          </w:p>
        </w:tc>
        <w:tc>
          <w:tcPr>
            <w:tcW w:w="240" w:type="dxa"/>
            <w:vAlign w:val="bottom"/>
          </w:tcPr>
          <w:p>
            <w:pPr>
              <w:spacing w:after="0"/>
              <w:rPr>
                <w:sz w:val="19"/>
                <w:szCs w:val="19"/>
                <w:color w:val="auto"/>
              </w:rPr>
            </w:pPr>
          </w:p>
        </w:tc>
        <w:tc>
          <w:tcPr>
            <w:tcW w:w="1440" w:type="dxa"/>
            <w:vAlign w:val="bottom"/>
          </w:tcPr>
          <w:p>
            <w:pPr>
              <w:jc w:val="right"/>
              <w:ind w:right="113"/>
              <w:spacing w:after="0"/>
              <w:rPr>
                <w:sz w:val="20"/>
                <w:szCs w:val="20"/>
                <w:color w:val="auto"/>
              </w:rPr>
            </w:pPr>
            <w:r>
              <w:rPr>
                <w:rFonts w:ascii="Calibri" w:cs="Calibri" w:eastAsia="Calibri" w:hAnsi="Calibri"/>
                <w:sz w:val="16"/>
                <w:szCs w:val="16"/>
                <w:color w:val="auto"/>
              </w:rPr>
              <w:t>no change</w:t>
            </w:r>
          </w:p>
        </w:tc>
        <w:tc>
          <w:tcPr>
            <w:tcW w:w="440" w:type="dxa"/>
            <w:vAlign w:val="bottom"/>
          </w:tcPr>
          <w:p>
            <w:pPr>
              <w:spacing w:after="0"/>
              <w:rPr>
                <w:sz w:val="19"/>
                <w:szCs w:val="19"/>
                <w:color w:val="auto"/>
              </w:rPr>
            </w:pPr>
          </w:p>
        </w:tc>
        <w:tc>
          <w:tcPr>
            <w:tcW w:w="154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no change</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80" w:type="dxa"/>
            <w:vAlign w:val="bottom"/>
          </w:tcPr>
          <w:p>
            <w:pPr>
              <w:ind w:left="700"/>
              <w:spacing w:after="0" w:line="213" w:lineRule="exact"/>
              <w:rPr>
                <w:sz w:val="20"/>
                <w:szCs w:val="20"/>
                <w:color w:val="auto"/>
              </w:rPr>
            </w:pPr>
            <w:r>
              <w:rPr>
                <w:rFonts w:ascii="Calibri" w:cs="Calibri" w:eastAsia="Calibri" w:hAnsi="Calibri"/>
                <w:sz w:val="18"/>
                <w:szCs w:val="18"/>
                <w:color w:val="auto"/>
              </w:rPr>
              <w:t>225</w:t>
            </w:r>
          </w:p>
        </w:tc>
        <w:tc>
          <w:tcPr>
            <w:tcW w:w="3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rPr>
              <w:t>$</w:t>
            </w:r>
          </w:p>
        </w:tc>
        <w:tc>
          <w:tcPr>
            <w:tcW w:w="1360" w:type="dxa"/>
            <w:vAlign w:val="bottom"/>
            <w:tcBorders>
              <w:right w:val="single" w:sz="8" w:color="auto"/>
            </w:tcBorders>
          </w:tcPr>
          <w:p>
            <w:pPr>
              <w:jc w:val="right"/>
              <w:ind w:right="171"/>
              <w:spacing w:after="0" w:line="213" w:lineRule="exact"/>
              <w:rPr>
                <w:sz w:val="20"/>
                <w:szCs w:val="20"/>
                <w:color w:val="auto"/>
              </w:rPr>
            </w:pPr>
            <w:r>
              <w:rPr>
                <w:rFonts w:ascii="Calibri" w:cs="Calibri" w:eastAsia="Calibri" w:hAnsi="Calibri"/>
                <w:sz w:val="18"/>
                <w:szCs w:val="18"/>
                <w:color w:val="auto"/>
              </w:rPr>
              <w:t>275</w:t>
            </w:r>
          </w:p>
        </w:tc>
      </w:tr>
      <w:tr>
        <w:trPr>
          <w:trHeight w:val="41"/>
        </w:trPr>
        <w:tc>
          <w:tcPr>
            <w:tcW w:w="40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r>
      <w:tr>
        <w:trPr>
          <w:trHeight w:val="145"/>
        </w:trPr>
        <w:tc>
          <w:tcPr>
            <w:tcW w:w="4060" w:type="dxa"/>
            <w:vAlign w:val="bottom"/>
            <w:tcBorders>
              <w:left w:val="single" w:sz="8" w:color="auto"/>
            </w:tcBorders>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54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12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360" w:type="dxa"/>
            <w:vAlign w:val="bottom"/>
            <w:tcBorders>
              <w:right w:val="single" w:sz="8" w:color="auto"/>
            </w:tcBorders>
            <w:shd w:val="clear" w:color="auto" w:fill="DBDBDB"/>
          </w:tcPr>
          <w:p>
            <w:pPr>
              <w:spacing w:after="0"/>
              <w:rPr>
                <w:sz w:val="12"/>
                <w:szCs w:val="12"/>
                <w:color w:val="auto"/>
              </w:rPr>
            </w:pPr>
          </w:p>
        </w:tc>
      </w:tr>
      <w:tr>
        <w:trPr>
          <w:trHeight w:val="2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8"/>
                <w:szCs w:val="18"/>
                <w:color w:val="auto"/>
              </w:rPr>
              <w:t xml:space="preserve">Adjusted free cash fow </w:t>
            </w:r>
            <w:r>
              <w:rPr>
                <w:rFonts w:ascii="Calibri" w:cs="Calibri" w:eastAsia="Calibri" w:hAnsi="Calibri"/>
                <w:sz w:val="22"/>
                <w:szCs w:val="22"/>
                <w:color w:val="auto"/>
                <w:vertAlign w:val="superscript"/>
              </w:rPr>
              <w:t>(1)</w:t>
            </w:r>
          </w:p>
        </w:tc>
        <w:tc>
          <w:tcPr>
            <w:tcW w:w="240" w:type="dxa"/>
            <w:vAlign w:val="bottom"/>
          </w:tcPr>
          <w:p>
            <w:pPr>
              <w:spacing w:after="0"/>
              <w:rPr>
                <w:sz w:val="23"/>
                <w:szCs w:val="23"/>
                <w:color w:val="auto"/>
              </w:rPr>
            </w:pPr>
          </w:p>
        </w:tc>
        <w:tc>
          <w:tcPr>
            <w:tcW w:w="1440" w:type="dxa"/>
            <w:vAlign w:val="bottom"/>
          </w:tcPr>
          <w:p>
            <w:pPr>
              <w:jc w:val="right"/>
              <w:ind w:right="113"/>
              <w:spacing w:after="0"/>
              <w:rPr>
                <w:sz w:val="20"/>
                <w:szCs w:val="20"/>
                <w:color w:val="auto"/>
              </w:rPr>
            </w:pPr>
            <w:r>
              <w:rPr>
                <w:rFonts w:ascii="Calibri" w:cs="Calibri" w:eastAsia="Calibri" w:hAnsi="Calibri"/>
                <w:sz w:val="16"/>
                <w:szCs w:val="16"/>
                <w:color w:val="auto"/>
              </w:rPr>
              <w:t>no change</w:t>
            </w:r>
          </w:p>
        </w:tc>
        <w:tc>
          <w:tcPr>
            <w:tcW w:w="440" w:type="dxa"/>
            <w:vAlign w:val="bottom"/>
          </w:tcPr>
          <w:p>
            <w:pPr>
              <w:spacing w:after="0"/>
              <w:rPr>
                <w:sz w:val="23"/>
                <w:szCs w:val="23"/>
                <w:color w:val="auto"/>
              </w:rPr>
            </w:pPr>
          </w:p>
        </w:tc>
        <w:tc>
          <w:tcPr>
            <w:tcW w:w="154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no change</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80" w:type="dxa"/>
            <w:vAlign w:val="bottom"/>
          </w:tcPr>
          <w:p>
            <w:pPr>
              <w:ind w:left="700"/>
              <w:spacing w:after="0" w:line="213" w:lineRule="exact"/>
              <w:rPr>
                <w:sz w:val="20"/>
                <w:szCs w:val="20"/>
                <w:color w:val="auto"/>
              </w:rPr>
            </w:pPr>
            <w:r>
              <w:rPr>
                <w:rFonts w:ascii="Calibri" w:cs="Calibri" w:eastAsia="Calibri" w:hAnsi="Calibri"/>
                <w:sz w:val="18"/>
                <w:szCs w:val="18"/>
                <w:color w:val="auto"/>
              </w:rPr>
              <w:t>290</w:t>
            </w:r>
          </w:p>
        </w:tc>
        <w:tc>
          <w:tcPr>
            <w:tcW w:w="3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rPr>
              <w:t>$</w:t>
            </w:r>
          </w:p>
        </w:tc>
        <w:tc>
          <w:tcPr>
            <w:tcW w:w="1360" w:type="dxa"/>
            <w:vAlign w:val="bottom"/>
            <w:tcBorders>
              <w:right w:val="single" w:sz="8" w:color="auto"/>
            </w:tcBorders>
          </w:tcPr>
          <w:p>
            <w:pPr>
              <w:jc w:val="right"/>
              <w:ind w:right="171"/>
              <w:spacing w:after="0" w:line="213" w:lineRule="exact"/>
              <w:rPr>
                <w:sz w:val="20"/>
                <w:szCs w:val="20"/>
                <w:color w:val="auto"/>
              </w:rPr>
            </w:pPr>
            <w:r>
              <w:rPr>
                <w:rFonts w:ascii="Calibri" w:cs="Calibri" w:eastAsia="Calibri" w:hAnsi="Calibri"/>
                <w:sz w:val="18"/>
                <w:szCs w:val="18"/>
                <w:color w:val="auto"/>
              </w:rPr>
              <w:t>375</w:t>
            </w:r>
          </w:p>
        </w:tc>
      </w:tr>
      <w:tr>
        <w:trPr>
          <w:trHeight w:val="81"/>
        </w:trPr>
        <w:tc>
          <w:tcPr>
            <w:tcW w:w="4060" w:type="dxa"/>
            <w:vAlign w:val="bottom"/>
            <w:tcBorders>
              <w:left w:val="single" w:sz="8" w:color="auto"/>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r>
    </w:tbl>
    <w:p>
      <w:pPr>
        <w:spacing w:after="0" w:line="8" w:lineRule="exact"/>
        <w:rPr>
          <w:sz w:val="20"/>
          <w:szCs w:val="20"/>
          <w:color w:val="auto"/>
        </w:rPr>
      </w:pPr>
    </w:p>
    <w:p>
      <w:pPr>
        <w:ind w:left="100" w:right="200" w:hanging="5"/>
        <w:spacing w:after="0" w:line="268" w:lineRule="auto"/>
        <w:tabs>
          <w:tab w:leader="none" w:pos="284" w:val="left"/>
        </w:tabs>
        <w:numPr>
          <w:ilvl w:val="0"/>
          <w:numId w:val="3"/>
        </w:numPr>
        <w:rPr>
          <w:rFonts w:ascii="Arial" w:cs="Arial" w:eastAsia="Arial" w:hAnsi="Arial"/>
          <w:sz w:val="12"/>
          <w:szCs w:val="12"/>
          <w:color w:val="auto"/>
        </w:rPr>
      </w:pPr>
      <w:r>
        <w:rPr>
          <w:rFonts w:ascii="Arial" w:cs="Arial" w:eastAsia="Arial" w:hAnsi="Arial"/>
          <w:sz w:val="12"/>
          <w:szCs w:val="12"/>
          <w:color w:val="auto"/>
        </w:rPr>
        <w:t>Adjusted free cash flow is a non-GAAP measure. We have not reconciled it to the most comparable GAAP measure because it is not possible to do so without unreasonable efforts given the uncertainty and potential variability of reconciling items , which are dependent on future events and often outside of management's control and could be significant. Because such items cannot be predicted with the level of precision required, we are unable to provide an estimate of the most closely comparable GAAP measure at this time. Note: Fiscal year 2023 included 53 weeks compared to 52 weeks in fiscal 2024.</w:t>
      </w: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earnings per common share guidance reflects a tax rate of approximately 22.0% and does not include any potential future share repurchases.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Academy will host a conference call today at 10:00 a.m. Eastern Time to discuss its financial results. The call will be webcast at </w:t>
      </w:r>
      <w:r>
        <w:rPr>
          <w:rFonts w:ascii="Arial" w:cs="Arial" w:eastAsia="Arial" w:hAnsi="Arial"/>
          <w:sz w:val="18"/>
          <w:szCs w:val="18"/>
          <w:u w:val="single" w:color="auto"/>
          <w:color w:val="0E32E1"/>
        </w:rPr>
        <w:t>investors.academy.com.</w:t>
      </w:r>
      <w:r>
        <w:rPr>
          <w:rFonts w:ascii="Arial" w:cs="Arial" w:eastAsia="Arial" w:hAnsi="Arial"/>
          <w:sz w:val="18"/>
          <w:szCs w:val="18"/>
          <w:color w:val="0E32E1"/>
        </w:rPr>
        <w:t xml:space="preserve"> </w:t>
      </w:r>
      <w:r>
        <w:rPr>
          <w:rFonts w:ascii="Arial" w:cs="Arial" w:eastAsia="Arial" w:hAnsi="Arial"/>
          <w:sz w:val="18"/>
          <w:szCs w:val="18"/>
          <w:color w:val="000000"/>
        </w:rPr>
        <w:t>The following information is provided for those who would like to participate in the conference call:</w:t>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U.S. callers</w:t>
            </w:r>
          </w:p>
        </w:tc>
        <w:tc>
          <w:tcPr>
            <w:tcW w:w="2020" w:type="dxa"/>
            <w:vAlign w:val="bottom"/>
            <w:gridSpan w:val="2"/>
          </w:tcPr>
          <w:p>
            <w:pPr>
              <w:jc w:val="right"/>
              <w:ind w:right="352"/>
              <w:spacing w:after="0"/>
              <w:rPr>
                <w:sz w:val="20"/>
                <w:szCs w:val="20"/>
                <w:color w:val="auto"/>
              </w:rPr>
            </w:pPr>
            <w:r>
              <w:rPr>
                <w:rFonts w:ascii="Arial" w:cs="Arial" w:eastAsia="Arial" w:hAnsi="Arial"/>
                <w:sz w:val="18"/>
                <w:szCs w:val="18"/>
                <w:color w:val="auto"/>
              </w:rPr>
              <w:t>1-877-407-3982</w:t>
            </w:r>
          </w:p>
        </w:tc>
      </w:tr>
      <w:tr>
        <w:trPr>
          <w:trHeight w:val="197"/>
        </w:trPr>
        <w:tc>
          <w:tcPr>
            <w:tcW w:w="1720" w:type="dxa"/>
            <w:vAlign w:val="bottom"/>
            <w:gridSpan w:val="2"/>
          </w:tcPr>
          <w:p>
            <w:pPr>
              <w:spacing w:after="0" w:line="197" w:lineRule="exact"/>
              <w:rPr>
                <w:sz w:val="20"/>
                <w:szCs w:val="20"/>
                <w:color w:val="auto"/>
              </w:rPr>
            </w:pPr>
            <w:r>
              <w:rPr>
                <w:rFonts w:ascii="Arial" w:cs="Arial" w:eastAsia="Arial" w:hAnsi="Arial"/>
                <w:sz w:val="18"/>
                <w:szCs w:val="18"/>
                <w:color w:val="auto"/>
              </w:rPr>
              <w:t>International callers</w:t>
            </w:r>
          </w:p>
        </w:tc>
        <w:tc>
          <w:tcPr>
            <w:tcW w:w="1440" w:type="dxa"/>
            <w:vAlign w:val="bottom"/>
          </w:tcPr>
          <w:p>
            <w:pPr>
              <w:jc w:val="right"/>
              <w:spacing w:after="0" w:line="197" w:lineRule="exact"/>
              <w:rPr>
                <w:sz w:val="20"/>
                <w:szCs w:val="20"/>
                <w:color w:val="auto"/>
              </w:rPr>
            </w:pPr>
            <w:r>
              <w:rPr>
                <w:rFonts w:ascii="Arial" w:cs="Arial" w:eastAsia="Arial" w:hAnsi="Arial"/>
                <w:sz w:val="18"/>
                <w:szCs w:val="18"/>
                <w:color w:val="auto"/>
              </w:rPr>
              <w:t>1-201-493-6780</w:t>
            </w:r>
          </w:p>
        </w:tc>
      </w:tr>
      <w:tr>
        <w:trPr>
          <w:trHeight w:val="231"/>
        </w:trPr>
        <w:tc>
          <w:tcPr>
            <w:tcW w:w="1140" w:type="dxa"/>
            <w:vAlign w:val="bottom"/>
          </w:tcPr>
          <w:p>
            <w:pPr>
              <w:spacing w:after="0"/>
              <w:rPr>
                <w:sz w:val="20"/>
                <w:szCs w:val="20"/>
                <w:color w:val="auto"/>
              </w:rPr>
            </w:pPr>
            <w:r>
              <w:rPr>
                <w:rFonts w:ascii="Arial" w:cs="Arial" w:eastAsia="Arial" w:hAnsi="Arial"/>
                <w:sz w:val="18"/>
                <w:szCs w:val="18"/>
                <w:color w:val="auto"/>
              </w:rPr>
              <w:t>Passcode</w:t>
            </w:r>
          </w:p>
        </w:tc>
        <w:tc>
          <w:tcPr>
            <w:tcW w:w="2020" w:type="dxa"/>
            <w:vAlign w:val="bottom"/>
            <w:gridSpan w:val="2"/>
          </w:tcPr>
          <w:p>
            <w:pPr>
              <w:jc w:val="right"/>
              <w:ind w:right="892"/>
              <w:spacing w:after="0"/>
              <w:rPr>
                <w:sz w:val="20"/>
                <w:szCs w:val="20"/>
                <w:color w:val="auto"/>
              </w:rPr>
            </w:pPr>
            <w:r>
              <w:rPr>
                <w:rFonts w:ascii="Arial" w:cs="Arial" w:eastAsia="Arial" w:hAnsi="Arial"/>
                <w:sz w:val="18"/>
                <w:szCs w:val="18"/>
                <w:color w:val="auto"/>
              </w:rPr>
              <w:t>13746678</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conference call will be available for approximately 30 days on the Company's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284 stores across 18 states as of the end of the quarter.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4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Non-GAAP Measures</w:t>
      </w:r>
    </w:p>
    <w:p>
      <w:pPr>
        <w:jc w:val="both"/>
        <w:spacing w:after="0" w:line="228" w:lineRule="auto"/>
        <w:rPr>
          <w:sz w:val="20"/>
          <w:szCs w:val="20"/>
          <w:color w:val="auto"/>
        </w:rPr>
      </w:pPr>
      <w:r>
        <w:rPr>
          <w:rFonts w:ascii="Arial" w:cs="Arial" w:eastAsia="Arial" w:hAnsi="Arial"/>
          <w:sz w:val="18"/>
          <w:szCs w:val="18"/>
          <w:color w:val="auto"/>
        </w:rPr>
        <w:t>Adjusted EBITDA, 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 Company believes that the presentation of these non-GAAP measures is useful to investors as it provides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 alternative for, the Company’s reported results prepared in accordance with GAAP. The calculation of these non-GAAP financial measures may differ from similar measures reported by other companies and may not be comparable to other similarly titled measures. For additional information on these non-GAAP</w:t>
      </w:r>
    </w:p>
    <w:p>
      <w:pPr>
        <w:spacing w:after="0" w:line="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financial measures, please see our Annual Report for the fiscal year ended February 3, 2024 (the "Annual Report"), and our Quarterly Report for the thirteen weeks ended May 4, 2024 (the "Quarterly Report"), which may be updated from time to time in our periodic filings with the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Exchange Commission (the "SEC"), 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See “Reconciliations of GAAP to Non-GAAP Financial Measures” below for reconciliations of non-GAAP financial measures used in this press release to their most directly comparable GAAP financial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jc w:val="both"/>
        <w:spacing w:after="0" w:line="259"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“forward,” “ahead,” “opportunities,” “plans,” “priorities,” “goals,” “future,” “short/long term,” “will,” “should,” or the negative version of these words or other comparable words. The forward-looking statements include, among other things, statements regarding the Company’s fiscal 2024 outlook, the Company’s strategic plans and financial objectives, growth of the Company’s business and operations, the Company’s payment of dividends and declaration of future dividends, including the timing and amount thereof, share repurchases by the Company, the Company's expectations regarding its future performance, and future financial condition, and other such matters,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that could affect</w:t>
      </w:r>
    </w:p>
    <w:p>
      <w:pPr>
        <w:spacing w:after="0" w:line="18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overall consumer spending or our industry, including the possible effects of ongoing macroeconomic challenges, inflation and increases in interest rates, or changes to the financial health of our customers, many of which are beyond Academy's control. These and other important</w:t>
      </w:r>
    </w:p>
    <w:p>
      <w:pPr>
        <w:jc w:val="both"/>
        <w:spacing w:after="0" w:line="232" w:lineRule="auto"/>
        <w:rPr>
          <w:sz w:val="20"/>
          <w:szCs w:val="20"/>
          <w:color w:val="auto"/>
        </w:rPr>
      </w:pPr>
      <w:r>
        <w:rPr>
          <w:rFonts w:ascii="Arial" w:cs="Arial" w:eastAsia="Arial" w:hAnsi="Arial"/>
          <w:sz w:val="18"/>
          <w:szCs w:val="18"/>
          <w:color w:val="auto"/>
        </w:rPr>
        <w:t>factors that could cause actual results to differ materially from those in the forward-looking statements are set forth in Academy's filings with the SEC, including the Annual Report and the Quarterly Report,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080" w:type="dxa"/>
            <w:vAlign w:val="bottom"/>
            <w:gridSpan w:val="3"/>
          </w:tcPr>
          <w:p>
            <w:pPr>
              <w:ind w:left="1020"/>
              <w:spacing w:after="0"/>
              <w:rPr>
                <w:sz w:val="20"/>
                <w:szCs w:val="20"/>
                <w:color w:val="auto"/>
              </w:rPr>
            </w:pPr>
            <w:r>
              <w:rPr>
                <w:rFonts w:ascii="Arial" w:cs="Arial" w:eastAsia="Arial" w:hAnsi="Arial"/>
                <w:sz w:val="18"/>
                <w:szCs w:val="18"/>
                <w:b w:val="1"/>
                <w:bCs w:val="1"/>
                <w:color w:val="auto"/>
              </w:rPr>
              <w:t>Media Contact</w:t>
            </w:r>
          </w:p>
        </w:tc>
      </w:tr>
      <w:tr>
        <w:trPr>
          <w:trHeight w:val="26"/>
        </w:trPr>
        <w:tc>
          <w:tcPr>
            <w:tcW w:w="138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r>
      <w:tr>
        <w:trPr>
          <w:trHeight w:val="280"/>
        </w:trPr>
        <w:tc>
          <w:tcPr>
            <w:tcW w:w="1380" w:type="dxa"/>
            <w:vAlign w:val="bottom"/>
          </w:tcPr>
          <w:p>
            <w:pPr>
              <w:spacing w:after="0"/>
              <w:rPr>
                <w:sz w:val="20"/>
                <w:szCs w:val="20"/>
                <w:color w:val="auto"/>
              </w:rPr>
            </w:pPr>
            <w:r>
              <w:rPr>
                <w:rFonts w:ascii="Arial" w:cs="Arial" w:eastAsia="Arial" w:hAnsi="Arial"/>
                <w:sz w:val="18"/>
                <w:szCs w:val="18"/>
                <w:color w:val="auto"/>
              </w:rPr>
              <w:t>Matt Hodges</w:t>
            </w:r>
          </w:p>
        </w:tc>
        <w:tc>
          <w:tcPr>
            <w:tcW w:w="1880" w:type="dxa"/>
            <w:vAlign w:val="bottom"/>
          </w:tcPr>
          <w:p>
            <w:pPr>
              <w:spacing w:after="0"/>
              <w:rPr>
                <w:sz w:val="24"/>
                <w:szCs w:val="24"/>
                <w:color w:val="auto"/>
              </w:rPr>
            </w:pPr>
          </w:p>
        </w:tc>
        <w:tc>
          <w:tcPr>
            <w:tcW w:w="3080" w:type="dxa"/>
            <w:vAlign w:val="bottom"/>
            <w:gridSpan w:val="3"/>
          </w:tcPr>
          <w:p>
            <w:pPr>
              <w:ind w:left="1020"/>
              <w:spacing w:after="0"/>
              <w:rPr>
                <w:sz w:val="20"/>
                <w:szCs w:val="20"/>
                <w:color w:val="auto"/>
              </w:rPr>
            </w:pPr>
            <w:r>
              <w:rPr>
                <w:rFonts w:ascii="Arial" w:cs="Arial" w:eastAsia="Arial" w:hAnsi="Arial"/>
                <w:sz w:val="18"/>
                <w:szCs w:val="18"/>
                <w:color w:val="auto"/>
              </w:rPr>
              <w:t>Allan Rojas</w:t>
            </w:r>
          </w:p>
        </w:tc>
      </w:tr>
      <w:tr>
        <w:trPr>
          <w:trHeight w:val="263"/>
        </w:trPr>
        <w:tc>
          <w:tcPr>
            <w:tcW w:w="326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080" w:type="dxa"/>
            <w:vAlign w:val="bottom"/>
            <w:gridSpan w:val="3"/>
          </w:tcPr>
          <w:p>
            <w:pPr>
              <w:ind w:left="1020"/>
              <w:spacing w:after="0"/>
              <w:rPr>
                <w:sz w:val="20"/>
                <w:szCs w:val="20"/>
                <w:color w:val="auto"/>
              </w:rPr>
            </w:pPr>
            <w:r>
              <w:rPr>
                <w:rFonts w:ascii="Arial" w:cs="Arial" w:eastAsia="Arial" w:hAnsi="Arial"/>
                <w:sz w:val="18"/>
                <w:szCs w:val="18"/>
                <w:color w:val="auto"/>
                <w:w w:val="98"/>
              </w:rPr>
              <w:t>Director, Communications</w:t>
            </w:r>
          </w:p>
        </w:tc>
      </w:tr>
      <w:tr>
        <w:trPr>
          <w:trHeight w:val="263"/>
        </w:trPr>
        <w:tc>
          <w:tcPr>
            <w:tcW w:w="1380" w:type="dxa"/>
            <w:vAlign w:val="bottom"/>
          </w:tcPr>
          <w:p>
            <w:pPr>
              <w:spacing w:after="0"/>
              <w:rPr>
                <w:sz w:val="20"/>
                <w:szCs w:val="20"/>
                <w:color w:val="auto"/>
              </w:rPr>
            </w:pPr>
            <w:r>
              <w:rPr>
                <w:rFonts w:ascii="Arial" w:cs="Arial" w:eastAsia="Arial" w:hAnsi="Arial"/>
                <w:sz w:val="18"/>
                <w:szCs w:val="18"/>
                <w:color w:val="auto"/>
              </w:rPr>
              <w:t>281-646-5362</w:t>
            </w:r>
          </w:p>
        </w:tc>
        <w:tc>
          <w:tcPr>
            <w:tcW w:w="1880" w:type="dxa"/>
            <w:vAlign w:val="bottom"/>
          </w:tcPr>
          <w:p>
            <w:pPr>
              <w:spacing w:after="0"/>
              <w:rPr>
                <w:sz w:val="22"/>
                <w:szCs w:val="22"/>
                <w:color w:val="auto"/>
              </w:rPr>
            </w:pPr>
          </w:p>
        </w:tc>
        <w:tc>
          <w:tcPr>
            <w:tcW w:w="2220" w:type="dxa"/>
            <w:vAlign w:val="bottom"/>
            <w:gridSpan w:val="2"/>
          </w:tcPr>
          <w:p>
            <w:pPr>
              <w:ind w:left="1020"/>
              <w:spacing w:after="0"/>
              <w:rPr>
                <w:sz w:val="20"/>
                <w:szCs w:val="20"/>
                <w:color w:val="auto"/>
              </w:rPr>
            </w:pPr>
            <w:r>
              <w:rPr>
                <w:rFonts w:ascii="Arial" w:cs="Arial" w:eastAsia="Arial" w:hAnsi="Arial"/>
                <w:sz w:val="18"/>
                <w:szCs w:val="18"/>
                <w:color w:val="auto"/>
              </w:rPr>
              <w:t>281-944-6048</w:t>
            </w:r>
          </w:p>
        </w:tc>
        <w:tc>
          <w:tcPr>
            <w:tcW w:w="860" w:type="dxa"/>
            <w:vAlign w:val="bottom"/>
          </w:tcPr>
          <w:p>
            <w:pPr>
              <w:spacing w:after="0"/>
              <w:rPr>
                <w:sz w:val="22"/>
                <w:szCs w:val="22"/>
                <w:color w:val="auto"/>
              </w:rPr>
            </w:pPr>
          </w:p>
        </w:tc>
      </w:tr>
      <w:tr>
        <w:trPr>
          <w:trHeight w:val="263"/>
        </w:trPr>
        <w:tc>
          <w:tcPr>
            <w:tcW w:w="326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080" w:type="dxa"/>
            <w:vAlign w:val="bottom"/>
            <w:gridSpan w:val="3"/>
          </w:tcPr>
          <w:p>
            <w:pPr>
              <w:ind w:left="1020"/>
              <w:spacing w:after="0"/>
              <w:rPr>
                <w:sz w:val="20"/>
                <w:szCs w:val="20"/>
                <w:color w:val="auto"/>
              </w:rPr>
            </w:pPr>
            <w:r>
              <w:rPr>
                <w:rFonts w:ascii="Arial" w:cs="Arial" w:eastAsia="Arial" w:hAnsi="Arial"/>
                <w:sz w:val="18"/>
                <w:szCs w:val="18"/>
                <w:color w:val="auto"/>
                <w:w w:val="96"/>
              </w:rPr>
              <w:t>allan.rojas@academy.com</w:t>
            </w:r>
          </w:p>
        </w:tc>
      </w:tr>
      <w:tr>
        <w:trPr>
          <w:trHeight w:val="514"/>
        </w:trPr>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80" w:type="dxa"/>
            <w:vAlign w:val="bottom"/>
            <w:gridSpan w:val="3"/>
          </w:tcPr>
          <w:p>
            <w:pPr>
              <w:ind w:left="230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240"/>
          </w:cols>
          <w:pgMar w:left="320" w:top="43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jc w:val="center"/>
        <w:spacing w:after="0" w:line="238"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line="229"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040" w:type="dxa"/>
            <w:vAlign w:val="bottom"/>
          </w:tcPr>
          <w:p>
            <w:pPr>
              <w:spacing w:after="0"/>
              <w:rPr>
                <w:sz w:val="23"/>
                <w:szCs w:val="23"/>
                <w:color w:val="auto"/>
              </w:rPr>
            </w:pPr>
          </w:p>
        </w:tc>
        <w:tc>
          <w:tcPr>
            <w:tcW w:w="240" w:type="dxa"/>
            <w:vAlign w:val="bottom"/>
            <w:tcBorders>
              <w:bottom w:val="single" w:sz="8" w:color="1928A0"/>
            </w:tcBorders>
            <w:shd w:val="clear" w:color="auto" w:fill="1928A0"/>
          </w:tcPr>
          <w:p>
            <w:pPr>
              <w:spacing w:after="0"/>
              <w:rPr>
                <w:sz w:val="23"/>
                <w:szCs w:val="23"/>
                <w:color w:val="auto"/>
              </w:rPr>
            </w:pPr>
          </w:p>
        </w:tc>
        <w:tc>
          <w:tcPr>
            <w:tcW w:w="1500" w:type="dxa"/>
            <w:vAlign w:val="bottom"/>
            <w:tcBorders>
              <w:bottom w:val="single" w:sz="8" w:color="1928A0"/>
            </w:tcBorders>
            <w:shd w:val="clear" w:color="auto" w:fill="1928A0"/>
          </w:tcPr>
          <w:p>
            <w:pPr>
              <w:spacing w:after="0"/>
              <w:rPr>
                <w:sz w:val="23"/>
                <w:szCs w:val="23"/>
                <w:color w:val="auto"/>
              </w:rPr>
            </w:pPr>
          </w:p>
        </w:tc>
        <w:tc>
          <w:tcPr>
            <w:tcW w:w="3680" w:type="dxa"/>
            <w:vAlign w:val="bottom"/>
            <w:tcBorders>
              <w:bottom w:val="single" w:sz="8" w:color="1928A0"/>
            </w:tcBorders>
            <w:gridSpan w:val="3"/>
            <w:shd w:val="clear" w:color="auto" w:fill="1928A0"/>
          </w:tcPr>
          <w:p>
            <w:pPr>
              <w:jc w:val="right"/>
              <w:ind w:right="812"/>
              <w:spacing w:after="0"/>
              <w:rPr>
                <w:sz w:val="20"/>
                <w:szCs w:val="20"/>
                <w:color w:val="auto"/>
              </w:rPr>
            </w:pPr>
            <w:r>
              <w:rPr>
                <w:rFonts w:ascii="Calibri" w:cs="Calibri" w:eastAsia="Calibri" w:hAnsi="Calibri"/>
                <w:sz w:val="19"/>
                <w:szCs w:val="19"/>
                <w:b w:val="1"/>
                <w:bCs w:val="1"/>
                <w:color w:val="FFFFFF"/>
              </w:rPr>
              <w:t>Thirteen Weeks Ended</w:t>
            </w:r>
          </w:p>
        </w:tc>
        <w:tc>
          <w:tcPr>
            <w:tcW w:w="1780" w:type="dxa"/>
            <w:vAlign w:val="bottom"/>
            <w:tcBorders>
              <w:bottom w:val="single" w:sz="8" w:color="1928A0"/>
            </w:tcBorders>
            <w:shd w:val="clear" w:color="auto" w:fill="1928A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19"/>
                <w:szCs w:val="19"/>
                <w:color w:val="auto"/>
              </w:rPr>
            </w:pPr>
          </w:p>
        </w:tc>
        <w:tc>
          <w:tcPr>
            <w:tcW w:w="240" w:type="dxa"/>
            <w:vAlign w:val="bottom"/>
            <w:shd w:val="clear" w:color="auto" w:fill="0A2299"/>
          </w:tcPr>
          <w:p>
            <w:pPr>
              <w:spacing w:after="0"/>
              <w:rPr>
                <w:sz w:val="19"/>
                <w:szCs w:val="19"/>
                <w:color w:val="auto"/>
              </w:rPr>
            </w:pPr>
          </w:p>
        </w:tc>
        <w:tc>
          <w:tcPr>
            <w:tcW w:w="1500" w:type="dxa"/>
            <w:vAlign w:val="bottom"/>
            <w:shd w:val="clear" w:color="auto" w:fill="0A2299"/>
          </w:tcPr>
          <w:p>
            <w:pPr>
              <w:spacing w:after="0"/>
              <w:rPr>
                <w:sz w:val="19"/>
                <w:szCs w:val="19"/>
                <w:color w:val="auto"/>
              </w:rPr>
            </w:pPr>
          </w:p>
        </w:tc>
        <w:tc>
          <w:tcPr>
            <w:tcW w:w="1900" w:type="dxa"/>
            <w:vAlign w:val="bottom"/>
            <w:vMerge w:val="restart"/>
            <w:shd w:val="clear" w:color="auto" w:fill="0A2299"/>
          </w:tcPr>
          <w:p>
            <w:pPr>
              <w:jc w:val="right"/>
              <w:ind w:right="34"/>
              <w:spacing w:after="0"/>
              <w:rPr>
                <w:sz w:val="20"/>
                <w:szCs w:val="20"/>
                <w:color w:val="auto"/>
              </w:rPr>
            </w:pPr>
            <w:r>
              <w:rPr>
                <w:rFonts w:ascii="Arial" w:cs="Arial" w:eastAsia="Arial" w:hAnsi="Arial"/>
                <w:sz w:val="18"/>
                <w:szCs w:val="18"/>
                <w:b w:val="1"/>
                <w:bCs w:val="1"/>
                <w:color w:val="FFFFFF"/>
              </w:rPr>
              <w:t>Percentage of Sales</w:t>
            </w:r>
          </w:p>
        </w:tc>
        <w:tc>
          <w:tcPr>
            <w:tcW w:w="220" w:type="dxa"/>
            <w:vAlign w:val="bottom"/>
            <w:shd w:val="clear" w:color="auto" w:fill="0A2299"/>
          </w:tcPr>
          <w:p>
            <w:pPr>
              <w:spacing w:after="0"/>
              <w:rPr>
                <w:sz w:val="19"/>
                <w:szCs w:val="19"/>
                <w:color w:val="auto"/>
              </w:rPr>
            </w:pPr>
          </w:p>
        </w:tc>
        <w:tc>
          <w:tcPr>
            <w:tcW w:w="1560" w:type="dxa"/>
            <w:vAlign w:val="bottom"/>
            <w:shd w:val="clear" w:color="auto" w:fill="0A2299"/>
          </w:tcPr>
          <w:p>
            <w:pPr>
              <w:spacing w:after="0"/>
              <w:rPr>
                <w:sz w:val="19"/>
                <w:szCs w:val="19"/>
                <w:color w:val="auto"/>
              </w:rPr>
            </w:pPr>
          </w:p>
        </w:tc>
        <w:tc>
          <w:tcPr>
            <w:tcW w:w="1780" w:type="dxa"/>
            <w:vAlign w:val="bottom"/>
            <w:shd w:val="clear" w:color="auto" w:fill="0A2299"/>
          </w:tcPr>
          <w:p>
            <w:pPr>
              <w:jc w:val="right"/>
              <w:ind w:right="172"/>
              <w:spacing w:after="0"/>
              <w:rPr>
                <w:sz w:val="20"/>
                <w:szCs w:val="20"/>
                <w:color w:val="auto"/>
              </w:rPr>
            </w:pPr>
            <w:r>
              <w:rPr>
                <w:rFonts w:ascii="Arial" w:cs="Arial" w:eastAsia="Arial" w:hAnsi="Arial"/>
                <w:sz w:val="18"/>
                <w:szCs w:val="18"/>
                <w:b w:val="1"/>
                <w:bCs w:val="1"/>
                <w:color w:val="FFFFFF"/>
              </w:rPr>
              <w:t>Percentage of</w:t>
            </w: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240" w:type="dxa"/>
            <w:vAlign w:val="bottom"/>
            <w:shd w:val="clear" w:color="auto" w:fill="0A2299"/>
          </w:tcPr>
          <w:p>
            <w:pPr>
              <w:spacing w:after="0"/>
              <w:rPr>
                <w:sz w:val="4"/>
                <w:szCs w:val="4"/>
                <w:color w:val="auto"/>
              </w:rPr>
            </w:pPr>
          </w:p>
        </w:tc>
        <w:tc>
          <w:tcPr>
            <w:tcW w:w="1500" w:type="dxa"/>
            <w:vAlign w:val="bottom"/>
            <w:vMerge w:val="restart"/>
            <w:shd w:val="clear" w:color="auto" w:fill="0A2299"/>
          </w:tcPr>
          <w:p>
            <w:pPr>
              <w:jc w:val="right"/>
              <w:ind w:right="292"/>
              <w:spacing w:after="0"/>
              <w:rPr>
                <w:sz w:val="20"/>
                <w:szCs w:val="20"/>
                <w:color w:val="auto"/>
              </w:rPr>
            </w:pPr>
            <w:r>
              <w:rPr>
                <w:rFonts w:ascii="Arial" w:cs="Arial" w:eastAsia="Arial" w:hAnsi="Arial"/>
                <w:sz w:val="18"/>
                <w:szCs w:val="18"/>
                <w:b w:val="1"/>
                <w:bCs w:val="1"/>
                <w:color w:val="FFFFFF"/>
              </w:rPr>
              <w:t>May 4, 2024</w:t>
            </w:r>
          </w:p>
        </w:tc>
        <w:tc>
          <w:tcPr>
            <w:tcW w:w="1900" w:type="dxa"/>
            <w:vAlign w:val="bottom"/>
            <w:vMerge w:val="continue"/>
            <w:shd w:val="clear" w:color="auto" w:fill="0A2299"/>
          </w:tcPr>
          <w:p>
            <w:pPr>
              <w:spacing w:after="0"/>
              <w:rPr>
                <w:sz w:val="4"/>
                <w:szCs w:val="4"/>
                <w:color w:val="auto"/>
              </w:rPr>
            </w:pPr>
          </w:p>
        </w:tc>
        <w:tc>
          <w:tcPr>
            <w:tcW w:w="220" w:type="dxa"/>
            <w:vAlign w:val="bottom"/>
            <w:shd w:val="clear" w:color="auto" w:fill="0A2299"/>
          </w:tcPr>
          <w:p>
            <w:pPr>
              <w:spacing w:after="0"/>
              <w:rPr>
                <w:sz w:val="4"/>
                <w:szCs w:val="4"/>
                <w:color w:val="auto"/>
              </w:rPr>
            </w:pPr>
          </w:p>
        </w:tc>
        <w:tc>
          <w:tcPr>
            <w:tcW w:w="1560" w:type="dxa"/>
            <w:vAlign w:val="bottom"/>
            <w:vMerge w:val="restart"/>
            <w:shd w:val="clear" w:color="auto" w:fill="0A2299"/>
          </w:tcPr>
          <w:p>
            <w:pPr>
              <w:jc w:val="right"/>
              <w:ind w:right="232"/>
              <w:spacing w:after="0"/>
              <w:rPr>
                <w:sz w:val="20"/>
                <w:szCs w:val="20"/>
                <w:color w:val="auto"/>
              </w:rPr>
            </w:pPr>
            <w:r>
              <w:rPr>
                <w:rFonts w:ascii="Arial" w:cs="Arial" w:eastAsia="Arial" w:hAnsi="Arial"/>
                <w:sz w:val="18"/>
                <w:szCs w:val="18"/>
                <w:b w:val="1"/>
                <w:bCs w:val="1"/>
                <w:color w:val="FFFFFF"/>
              </w:rPr>
              <w:t>April 29, 2023</w:t>
            </w:r>
          </w:p>
        </w:tc>
        <w:tc>
          <w:tcPr>
            <w:tcW w:w="1780" w:type="dxa"/>
            <w:vAlign w:val="bottom"/>
            <w:vMerge w:val="restart"/>
            <w:shd w:val="clear" w:color="auto" w:fill="0A2299"/>
          </w:tcPr>
          <w:p>
            <w:pPr>
              <w:jc w:val="right"/>
              <w:ind w:right="432"/>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2"/>
                <w:szCs w:val="22"/>
                <w:b w:val="1"/>
                <w:bCs w:val="1"/>
                <w:color w:val="FFFFFF"/>
                <w:vertAlign w:val="superscript"/>
              </w:rPr>
              <w:t>(1)</w:t>
            </w:r>
          </w:p>
        </w:tc>
        <w:tc>
          <w:tcPr>
            <w:tcW w:w="0" w:type="dxa"/>
            <w:vAlign w:val="bottom"/>
          </w:tcPr>
          <w:p>
            <w:pPr>
              <w:spacing w:after="0"/>
              <w:rPr>
                <w:sz w:val="1"/>
                <w:szCs w:val="1"/>
                <w:color w:val="auto"/>
              </w:rPr>
            </w:pPr>
          </w:p>
        </w:tc>
      </w:tr>
      <w:tr>
        <w:trPr>
          <w:trHeight w:val="211"/>
        </w:trPr>
        <w:tc>
          <w:tcPr>
            <w:tcW w:w="4040" w:type="dxa"/>
            <w:vAlign w:val="bottom"/>
          </w:tcPr>
          <w:p>
            <w:pPr>
              <w:spacing w:after="0"/>
              <w:rPr>
                <w:sz w:val="18"/>
                <w:szCs w:val="18"/>
                <w:color w:val="auto"/>
              </w:rPr>
            </w:pPr>
          </w:p>
        </w:tc>
        <w:tc>
          <w:tcPr>
            <w:tcW w:w="240" w:type="dxa"/>
            <w:vAlign w:val="bottom"/>
            <w:shd w:val="clear" w:color="auto" w:fill="0A2299"/>
          </w:tcPr>
          <w:p>
            <w:pPr>
              <w:spacing w:after="0"/>
              <w:rPr>
                <w:sz w:val="18"/>
                <w:szCs w:val="18"/>
                <w:color w:val="auto"/>
              </w:rPr>
            </w:pPr>
          </w:p>
        </w:tc>
        <w:tc>
          <w:tcPr>
            <w:tcW w:w="1500" w:type="dxa"/>
            <w:vAlign w:val="bottom"/>
            <w:vMerge w:val="continue"/>
            <w:shd w:val="clear" w:color="auto" w:fill="0A2299"/>
          </w:tcPr>
          <w:p>
            <w:pPr>
              <w:spacing w:after="0"/>
              <w:rPr>
                <w:sz w:val="18"/>
                <w:szCs w:val="18"/>
                <w:color w:val="auto"/>
              </w:rPr>
            </w:pPr>
          </w:p>
        </w:tc>
        <w:tc>
          <w:tcPr>
            <w:tcW w:w="1900" w:type="dxa"/>
            <w:vAlign w:val="bottom"/>
            <w:shd w:val="clear" w:color="auto" w:fill="0A2299"/>
          </w:tcPr>
          <w:p>
            <w:pPr>
              <w:jc w:val="right"/>
              <w:ind w:right="794"/>
              <w:spacing w:after="0"/>
              <w:rPr>
                <w:sz w:val="20"/>
                <w:szCs w:val="20"/>
                <w:color w:val="auto"/>
              </w:rPr>
            </w:pPr>
            <w:r>
              <w:rPr>
                <w:rFonts w:ascii="Arial" w:cs="Arial" w:eastAsia="Arial" w:hAnsi="Arial"/>
                <w:sz w:val="11"/>
                <w:szCs w:val="11"/>
                <w:b w:val="1"/>
                <w:bCs w:val="1"/>
                <w:color w:val="FFFFFF"/>
              </w:rPr>
              <w:t>(1)</w:t>
            </w:r>
          </w:p>
        </w:tc>
        <w:tc>
          <w:tcPr>
            <w:tcW w:w="220" w:type="dxa"/>
            <w:vAlign w:val="bottom"/>
            <w:shd w:val="clear" w:color="auto" w:fill="0A2299"/>
          </w:tcPr>
          <w:p>
            <w:pPr>
              <w:spacing w:after="0"/>
              <w:rPr>
                <w:sz w:val="18"/>
                <w:szCs w:val="18"/>
                <w:color w:val="auto"/>
              </w:rPr>
            </w:pPr>
          </w:p>
        </w:tc>
        <w:tc>
          <w:tcPr>
            <w:tcW w:w="1560" w:type="dxa"/>
            <w:vAlign w:val="bottom"/>
            <w:vMerge w:val="continue"/>
            <w:shd w:val="clear" w:color="auto" w:fill="0A2299"/>
          </w:tcPr>
          <w:p>
            <w:pPr>
              <w:spacing w:after="0"/>
              <w:rPr>
                <w:sz w:val="18"/>
                <w:szCs w:val="18"/>
                <w:color w:val="auto"/>
              </w:rPr>
            </w:pPr>
          </w:p>
        </w:tc>
        <w:tc>
          <w:tcPr>
            <w:tcW w:w="1780" w:type="dxa"/>
            <w:vAlign w:val="bottom"/>
            <w:vMerge w:val="continue"/>
            <w:shd w:val="clear" w:color="auto" w:fill="0A2299"/>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DBDBDB"/>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1,364,220</w:t>
            </w:r>
          </w:p>
        </w:tc>
        <w:tc>
          <w:tcPr>
            <w:tcW w:w="1900" w:type="dxa"/>
            <w:vAlign w:val="bottom"/>
            <w:shd w:val="clear" w:color="auto" w:fill="DBDBDB"/>
          </w:tcPr>
          <w:p>
            <w:pPr>
              <w:jc w:val="right"/>
              <w:ind w:right="14"/>
              <w:spacing w:after="0"/>
              <w:rPr>
                <w:sz w:val="20"/>
                <w:szCs w:val="20"/>
                <w:color w:val="auto"/>
              </w:rPr>
            </w:pPr>
            <w:r>
              <w:rPr>
                <w:rFonts w:ascii="Arial" w:cs="Arial" w:eastAsia="Arial" w:hAnsi="Arial"/>
                <w:sz w:val="18"/>
                <w:szCs w:val="18"/>
                <w:b w:val="1"/>
                <w:bCs w:val="1"/>
                <w:color w:val="auto"/>
              </w:rPr>
              <w:t>100.0 %</w:t>
            </w:r>
          </w:p>
        </w:tc>
        <w:tc>
          <w:tcPr>
            <w:tcW w:w="2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1,383,609</w:t>
            </w:r>
          </w:p>
        </w:tc>
        <w:tc>
          <w:tcPr>
            <w:tcW w:w="1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56"/>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908,427</w:t>
            </w:r>
          </w:p>
        </w:tc>
        <w:tc>
          <w:tcPr>
            <w:tcW w:w="1900" w:type="dxa"/>
            <w:vAlign w:val="bottom"/>
            <w:tcBorders>
              <w:bottom w:val="single" w:sz="8" w:color="DBDBDB"/>
            </w:tcBorders>
          </w:tcPr>
          <w:p>
            <w:pPr>
              <w:jc w:val="right"/>
              <w:ind w:right="14"/>
              <w:spacing w:after="0"/>
              <w:rPr>
                <w:sz w:val="20"/>
                <w:szCs w:val="20"/>
                <w:color w:val="auto"/>
              </w:rPr>
            </w:pPr>
            <w:r>
              <w:rPr>
                <w:rFonts w:ascii="Arial" w:cs="Arial" w:eastAsia="Arial" w:hAnsi="Arial"/>
                <w:sz w:val="18"/>
                <w:szCs w:val="18"/>
                <w:b w:val="1"/>
                <w:bCs w:val="1"/>
                <w:color w:val="auto"/>
              </w:rPr>
              <w:t>66.6 %</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916,494</w:t>
            </w:r>
          </w:p>
        </w:tc>
        <w:tc>
          <w:tcPr>
            <w:tcW w:w="17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66.2 %</w:t>
            </w:r>
          </w:p>
        </w:tc>
        <w:tc>
          <w:tcPr>
            <w:tcW w:w="0" w:type="dxa"/>
            <w:vAlign w:val="bottom"/>
          </w:tcPr>
          <w:p>
            <w:pPr>
              <w:spacing w:after="0"/>
              <w:rPr>
                <w:sz w:val="1"/>
                <w:szCs w:val="1"/>
                <w:color w:val="auto"/>
              </w:rPr>
            </w:pPr>
          </w:p>
        </w:tc>
      </w:tr>
      <w:tr>
        <w:trPr>
          <w:trHeight w:val="263"/>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BDBDB"/>
          </w:tcPr>
          <w:p>
            <w:pPr>
              <w:spacing w:after="0"/>
              <w:rPr>
                <w:sz w:val="22"/>
                <w:szCs w:val="22"/>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455,793</w:t>
            </w:r>
          </w:p>
        </w:tc>
        <w:tc>
          <w:tcPr>
            <w:tcW w:w="1900" w:type="dxa"/>
            <w:vAlign w:val="bottom"/>
            <w:shd w:val="clear" w:color="auto" w:fill="DBDBDB"/>
          </w:tcPr>
          <w:p>
            <w:pPr>
              <w:jc w:val="right"/>
              <w:ind w:right="14"/>
              <w:spacing w:after="0"/>
              <w:rPr>
                <w:sz w:val="20"/>
                <w:szCs w:val="20"/>
                <w:color w:val="auto"/>
              </w:rPr>
            </w:pPr>
            <w:r>
              <w:rPr>
                <w:rFonts w:ascii="Arial" w:cs="Arial" w:eastAsia="Arial" w:hAnsi="Arial"/>
                <w:sz w:val="18"/>
                <w:szCs w:val="18"/>
                <w:b w:val="1"/>
                <w:bCs w:val="1"/>
                <w:color w:val="auto"/>
              </w:rPr>
              <w:t>33.4 %</w:t>
            </w:r>
          </w:p>
        </w:tc>
        <w:tc>
          <w:tcPr>
            <w:tcW w:w="220" w:type="dxa"/>
            <w:vAlign w:val="bottom"/>
            <w:shd w:val="clear" w:color="auto" w:fill="DBDBDB"/>
          </w:tcPr>
          <w:p>
            <w:pPr>
              <w:spacing w:after="0"/>
              <w:rPr>
                <w:sz w:val="22"/>
                <w:szCs w:val="22"/>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467,115</w:t>
            </w:r>
          </w:p>
        </w:tc>
        <w:tc>
          <w:tcPr>
            <w:tcW w:w="1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56"/>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353,410</w:t>
            </w:r>
          </w:p>
        </w:tc>
        <w:tc>
          <w:tcPr>
            <w:tcW w:w="1900" w:type="dxa"/>
            <w:vAlign w:val="bottom"/>
            <w:tcBorders>
              <w:bottom w:val="single" w:sz="8" w:color="DBDBDB"/>
            </w:tcBorders>
          </w:tcPr>
          <w:p>
            <w:pPr>
              <w:jc w:val="right"/>
              <w:ind w:right="14"/>
              <w:spacing w:after="0"/>
              <w:rPr>
                <w:sz w:val="20"/>
                <w:szCs w:val="20"/>
                <w:color w:val="auto"/>
              </w:rPr>
            </w:pPr>
            <w:r>
              <w:rPr>
                <w:rFonts w:ascii="Arial" w:cs="Arial" w:eastAsia="Arial" w:hAnsi="Arial"/>
                <w:sz w:val="18"/>
                <w:szCs w:val="18"/>
                <w:b w:val="1"/>
                <w:bCs w:val="1"/>
                <w:color w:val="auto"/>
              </w:rPr>
              <w:t>25.9 %</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340,919</w:t>
            </w:r>
          </w:p>
        </w:tc>
        <w:tc>
          <w:tcPr>
            <w:tcW w:w="17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63"/>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DBDBDB"/>
          </w:tcPr>
          <w:p>
            <w:pPr>
              <w:spacing w:after="0"/>
              <w:rPr>
                <w:sz w:val="22"/>
                <w:szCs w:val="22"/>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102,383</w:t>
            </w:r>
          </w:p>
        </w:tc>
        <w:tc>
          <w:tcPr>
            <w:tcW w:w="1900" w:type="dxa"/>
            <w:vAlign w:val="bottom"/>
            <w:shd w:val="clear" w:color="auto" w:fill="DBDBDB"/>
          </w:tcPr>
          <w:p>
            <w:pPr>
              <w:jc w:val="right"/>
              <w:ind w:right="14"/>
              <w:spacing w:after="0"/>
              <w:rPr>
                <w:sz w:val="20"/>
                <w:szCs w:val="20"/>
                <w:color w:val="auto"/>
              </w:rPr>
            </w:pPr>
            <w:r>
              <w:rPr>
                <w:rFonts w:ascii="Arial" w:cs="Arial" w:eastAsia="Arial" w:hAnsi="Arial"/>
                <w:sz w:val="18"/>
                <w:szCs w:val="18"/>
                <w:b w:val="1"/>
                <w:bCs w:val="1"/>
                <w:color w:val="auto"/>
              </w:rPr>
              <w:t>7.5 %</w:t>
            </w:r>
          </w:p>
        </w:tc>
        <w:tc>
          <w:tcPr>
            <w:tcW w:w="220" w:type="dxa"/>
            <w:vAlign w:val="bottom"/>
            <w:shd w:val="clear" w:color="auto" w:fill="DBDBDB"/>
          </w:tcPr>
          <w:p>
            <w:pPr>
              <w:spacing w:after="0"/>
              <w:rPr>
                <w:sz w:val="22"/>
                <w:szCs w:val="22"/>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126,196</w:t>
            </w:r>
          </w:p>
        </w:tc>
        <w:tc>
          <w:tcPr>
            <w:tcW w:w="1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9,486</w:t>
            </w:r>
          </w:p>
        </w:tc>
        <w:tc>
          <w:tcPr>
            <w:tcW w:w="1900" w:type="dxa"/>
            <w:vAlign w:val="bottom"/>
          </w:tcPr>
          <w:p>
            <w:pPr>
              <w:jc w:val="right"/>
              <w:ind w:right="14"/>
              <w:spacing w:after="0"/>
              <w:rPr>
                <w:sz w:val="20"/>
                <w:szCs w:val="20"/>
                <w:color w:val="auto"/>
              </w:rPr>
            </w:pPr>
            <w:r>
              <w:rPr>
                <w:rFonts w:ascii="Arial" w:cs="Arial" w:eastAsia="Arial" w:hAnsi="Arial"/>
                <w:sz w:val="18"/>
                <w:szCs w:val="18"/>
                <w:b w:val="1"/>
                <w:bCs w:val="1"/>
                <w:color w:val="auto"/>
              </w:rPr>
              <w:t>0.7 %</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11,230</w:t>
            </w:r>
          </w:p>
        </w:tc>
        <w:tc>
          <w:tcPr>
            <w:tcW w:w="17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1"/>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Write off of deferred loan costs</w:t>
            </w:r>
          </w:p>
        </w:tc>
        <w:tc>
          <w:tcPr>
            <w:tcW w:w="24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449</w:t>
            </w:r>
          </w:p>
        </w:tc>
        <w:tc>
          <w:tcPr>
            <w:tcW w:w="1900" w:type="dxa"/>
            <w:vAlign w:val="bottom"/>
            <w:shd w:val="clear" w:color="auto" w:fill="DBDBDB"/>
          </w:tcPr>
          <w:p>
            <w:pPr>
              <w:jc w:val="right"/>
              <w:ind w:right="14"/>
              <w:spacing w:after="0"/>
              <w:rPr>
                <w:sz w:val="20"/>
                <w:szCs w:val="20"/>
                <w:color w:val="auto"/>
              </w:rPr>
            </w:pPr>
            <w:r>
              <w:rPr>
                <w:rFonts w:ascii="Arial" w:cs="Arial" w:eastAsia="Arial" w:hAnsi="Arial"/>
                <w:sz w:val="18"/>
                <w:szCs w:val="18"/>
                <w:b w:val="1"/>
                <w:bCs w:val="1"/>
                <w:color w:val="auto"/>
              </w:rPr>
              <w:t>0.0 %</w:t>
            </w: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56"/>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(5,204)</w:t>
            </w:r>
          </w:p>
        </w:tc>
        <w:tc>
          <w:tcPr>
            <w:tcW w:w="1900" w:type="dxa"/>
            <w:vAlign w:val="bottom"/>
            <w:tcBorders>
              <w:bottom w:val="single" w:sz="8" w:color="DBDBDB"/>
            </w:tcBorders>
          </w:tcPr>
          <w:p>
            <w:pPr>
              <w:jc w:val="right"/>
              <w:ind w:right="14"/>
              <w:spacing w:after="0"/>
              <w:rPr>
                <w:sz w:val="20"/>
                <w:szCs w:val="20"/>
                <w:color w:val="auto"/>
              </w:rPr>
            </w:pPr>
            <w:r>
              <w:rPr>
                <w:rFonts w:ascii="Arial" w:cs="Arial" w:eastAsia="Arial" w:hAnsi="Arial"/>
                <w:sz w:val="18"/>
                <w:szCs w:val="18"/>
                <w:b w:val="1"/>
                <w:bCs w:val="1"/>
                <w:color w:val="auto"/>
              </w:rPr>
              <w:t>(0.4)%</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(3,713)</w:t>
            </w:r>
          </w:p>
        </w:tc>
        <w:tc>
          <w:tcPr>
            <w:tcW w:w="17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3"/>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DBDBDB"/>
          </w:tcPr>
          <w:p>
            <w:pPr>
              <w:spacing w:after="0"/>
              <w:rPr>
                <w:sz w:val="22"/>
                <w:szCs w:val="22"/>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97,652</w:t>
            </w:r>
          </w:p>
        </w:tc>
        <w:tc>
          <w:tcPr>
            <w:tcW w:w="1900" w:type="dxa"/>
            <w:vAlign w:val="bottom"/>
            <w:shd w:val="clear" w:color="auto" w:fill="DBDBDB"/>
          </w:tcPr>
          <w:p>
            <w:pPr>
              <w:jc w:val="right"/>
              <w:ind w:right="14"/>
              <w:spacing w:after="0"/>
              <w:rPr>
                <w:sz w:val="20"/>
                <w:szCs w:val="20"/>
                <w:color w:val="auto"/>
              </w:rPr>
            </w:pPr>
            <w:r>
              <w:rPr>
                <w:rFonts w:ascii="Arial" w:cs="Arial" w:eastAsia="Arial" w:hAnsi="Arial"/>
                <w:sz w:val="18"/>
                <w:szCs w:val="18"/>
                <w:b w:val="1"/>
                <w:bCs w:val="1"/>
                <w:color w:val="auto"/>
              </w:rPr>
              <w:t>7.2 %</w:t>
            </w:r>
          </w:p>
        </w:tc>
        <w:tc>
          <w:tcPr>
            <w:tcW w:w="220" w:type="dxa"/>
            <w:vAlign w:val="bottom"/>
            <w:shd w:val="clear" w:color="auto" w:fill="DBDBDB"/>
          </w:tcPr>
          <w:p>
            <w:pPr>
              <w:spacing w:after="0"/>
              <w:rPr>
                <w:sz w:val="22"/>
                <w:szCs w:val="22"/>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118,679</w:t>
            </w:r>
          </w:p>
        </w:tc>
        <w:tc>
          <w:tcPr>
            <w:tcW w:w="1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56"/>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21,187</w:t>
            </w:r>
          </w:p>
        </w:tc>
        <w:tc>
          <w:tcPr>
            <w:tcW w:w="1900" w:type="dxa"/>
            <w:vAlign w:val="bottom"/>
            <w:tcBorders>
              <w:bottom w:val="single" w:sz="8" w:color="DBDBDB"/>
            </w:tcBorders>
          </w:tcPr>
          <w:p>
            <w:pPr>
              <w:jc w:val="right"/>
              <w:ind w:right="14"/>
              <w:spacing w:after="0"/>
              <w:rPr>
                <w:sz w:val="20"/>
                <w:szCs w:val="20"/>
                <w:color w:val="auto"/>
              </w:rPr>
            </w:pPr>
            <w:r>
              <w:rPr>
                <w:rFonts w:ascii="Arial" w:cs="Arial" w:eastAsia="Arial" w:hAnsi="Arial"/>
                <w:sz w:val="18"/>
                <w:szCs w:val="18"/>
                <w:b w:val="1"/>
                <w:bCs w:val="1"/>
                <w:color w:val="auto"/>
              </w:rPr>
              <w:t>1.6 %</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24,709</w:t>
            </w:r>
          </w:p>
        </w:tc>
        <w:tc>
          <w:tcPr>
            <w:tcW w:w="17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88"/>
        </w:trPr>
        <w:tc>
          <w:tcPr>
            <w:tcW w:w="40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76,465</w:t>
            </w:r>
          </w:p>
        </w:tc>
        <w:tc>
          <w:tcPr>
            <w:tcW w:w="1900" w:type="dxa"/>
            <w:vAlign w:val="bottom"/>
            <w:tcBorders>
              <w:bottom w:val="single" w:sz="8" w:color="DBDBDB"/>
            </w:tcBorders>
            <w:shd w:val="clear" w:color="auto" w:fill="DBDBDB"/>
          </w:tcPr>
          <w:p>
            <w:pPr>
              <w:jc w:val="right"/>
              <w:ind w:right="14"/>
              <w:spacing w:after="0"/>
              <w:rPr>
                <w:sz w:val="20"/>
                <w:szCs w:val="20"/>
                <w:color w:val="auto"/>
              </w:rPr>
            </w:pPr>
            <w:r>
              <w:rPr>
                <w:rFonts w:ascii="Arial" w:cs="Arial" w:eastAsia="Arial" w:hAnsi="Arial"/>
                <w:sz w:val="18"/>
                <w:szCs w:val="18"/>
                <w:b w:val="1"/>
                <w:bCs w:val="1"/>
                <w:color w:val="auto"/>
              </w:rPr>
              <w:t>5.6 %</w:t>
            </w:r>
          </w:p>
        </w:tc>
        <w:tc>
          <w:tcPr>
            <w:tcW w:w="2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93,970</w:t>
            </w:r>
          </w:p>
        </w:tc>
        <w:tc>
          <w:tcPr>
            <w:tcW w:w="1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0"/>
        </w:trPr>
        <w:tc>
          <w:tcPr>
            <w:tcW w:w="40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9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78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Earnings Per Common Share:</w:t>
            </w:r>
          </w:p>
        </w:tc>
        <w:tc>
          <w:tcPr>
            <w:tcW w:w="24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spacing w:after="0"/>
              <w:rPr>
                <w:sz w:val="21"/>
                <w:szCs w:val="21"/>
                <w:color w:val="auto"/>
              </w:rPr>
            </w:pPr>
          </w:p>
        </w:tc>
        <w:tc>
          <w:tcPr>
            <w:tcW w:w="178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4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900" w:type="dxa"/>
            <w:vAlign w:val="bottom"/>
          </w:tcPr>
          <w:p>
            <w:pPr>
              <w:spacing w:after="0"/>
              <w:rPr>
                <w:sz w:val="22"/>
                <w:szCs w:val="22"/>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1.22</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BDBDB"/>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1.01</w:t>
            </w:r>
          </w:p>
        </w:tc>
        <w:tc>
          <w:tcPr>
            <w:tcW w:w="1900" w:type="dxa"/>
            <w:vAlign w:val="bottom"/>
            <w:shd w:val="clear" w:color="auto" w:fill="DBDBDB"/>
          </w:tcPr>
          <w:p>
            <w:pPr>
              <w:spacing w:after="0"/>
              <w:rPr>
                <w:sz w:val="23"/>
                <w:szCs w:val="23"/>
                <w:color w:val="auto"/>
              </w:rPr>
            </w:pPr>
          </w:p>
        </w:tc>
        <w:tc>
          <w:tcPr>
            <w:tcW w:w="2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w:t>
            </w:r>
          </w:p>
        </w:tc>
        <w:tc>
          <w:tcPr>
            <w:tcW w:w="17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spacing w:after="0"/>
              <w:rPr>
                <w:sz w:val="21"/>
                <w:szCs w:val="21"/>
                <w:color w:val="auto"/>
              </w:rPr>
            </w:pPr>
          </w:p>
        </w:tc>
        <w:tc>
          <w:tcPr>
            <w:tcW w:w="178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4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73,993</w:t>
            </w:r>
          </w:p>
        </w:tc>
        <w:tc>
          <w:tcPr>
            <w:tcW w:w="1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76,862</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75,798</w:t>
            </w:r>
          </w:p>
        </w:tc>
        <w:tc>
          <w:tcPr>
            <w:tcW w:w="19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79,288</w:t>
            </w:r>
          </w:p>
        </w:tc>
        <w:tc>
          <w:tcPr>
            <w:tcW w:w="17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-3216275</wp:posOffset>
            </wp:positionV>
            <wp:extent cx="45789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78985"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-3525520</wp:posOffset>
            </wp:positionV>
            <wp:extent cx="45789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78985" cy="8255"/>
                    </a:xfrm>
                    <a:prstGeom prst="rect">
                      <a:avLst/>
                    </a:prstGeom>
                    <a:noFill/>
                  </pic:spPr>
                </pic:pic>
              </a:graphicData>
            </a:graphic>
          </wp:anchor>
        </w:drawing>
      </w:r>
    </w:p>
    <w:p>
      <w:pPr>
        <w:ind w:left="160" w:hanging="155"/>
        <w:spacing w:after="0"/>
        <w:tabs>
          <w:tab w:leader="none" w:pos="160" w:val="left"/>
        </w:tabs>
        <w:numPr>
          <w:ilvl w:val="0"/>
          <w:numId w:val="4"/>
        </w:numPr>
        <w:rPr>
          <w:rFonts w:ascii="Arial" w:cs="Arial" w:eastAsia="Arial" w:hAnsi="Arial"/>
          <w:sz w:val="19"/>
          <w:szCs w:val="19"/>
          <w:color w:val="auto"/>
          <w:vertAlign w:val="superscript"/>
        </w:rPr>
      </w:pPr>
      <w:r>
        <w:rPr>
          <w:rFonts w:ascii="Arial" w:cs="Arial" w:eastAsia="Arial" w:hAnsi="Arial"/>
          <w:sz w:val="12"/>
          <w:szCs w:val="12"/>
          <w:color w:val="auto"/>
        </w:rPr>
        <w:t>Column may not add due to rounding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976"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ACADEMY SPORTS AND OUTDOORS, INC.</w:t>
      </w:r>
    </w:p>
    <w:p>
      <w:pPr>
        <w:jc w:val="center"/>
        <w:ind w:right="20"/>
        <w:spacing w:after="0" w:line="238" w:lineRule="auto"/>
        <w:rPr>
          <w:sz w:val="20"/>
          <w:szCs w:val="20"/>
          <w:color w:val="auto"/>
        </w:rPr>
      </w:pPr>
      <w:r>
        <w:rPr>
          <w:rFonts w:ascii="Arial" w:cs="Arial" w:eastAsia="Arial" w:hAnsi="Arial"/>
          <w:sz w:val="18"/>
          <w:szCs w:val="18"/>
          <w:b w:val="1"/>
          <w:bCs w:val="1"/>
          <w:color w:val="auto"/>
        </w:rPr>
        <w:t>CONSOLIDATED BALANCE SHEETS</w:t>
      </w:r>
    </w:p>
    <w:p>
      <w:pPr>
        <w:jc w:val="center"/>
        <w:ind w:right="20"/>
        <w:spacing w:after="0" w:line="229" w:lineRule="auto"/>
        <w:rPr>
          <w:sz w:val="20"/>
          <w:szCs w:val="20"/>
          <w:color w:val="auto"/>
        </w:rPr>
      </w:pPr>
      <w:r>
        <w:rPr>
          <w:rFonts w:ascii="Arial" w:cs="Arial" w:eastAsia="Arial" w:hAnsi="Arial"/>
          <w:sz w:val="18"/>
          <w:szCs w:val="18"/>
          <w:b w:val="1"/>
          <w:bCs w:val="1"/>
          <w:color w:val="auto"/>
        </w:rPr>
        <w:t>(Unaudited)</w:t>
      </w: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580" w:type="dxa"/>
            <w:vAlign w:val="bottom"/>
          </w:tcPr>
          <w:p>
            <w:pPr>
              <w:spacing w:after="0"/>
              <w:rPr>
                <w:sz w:val="22"/>
                <w:szCs w:val="22"/>
                <w:color w:val="auto"/>
              </w:rPr>
            </w:pPr>
          </w:p>
        </w:tc>
        <w:tc>
          <w:tcPr>
            <w:tcW w:w="260" w:type="dxa"/>
            <w:vAlign w:val="bottom"/>
            <w:shd w:val="clear" w:color="auto" w:fill="0A2299"/>
          </w:tcPr>
          <w:p>
            <w:pPr>
              <w:spacing w:after="0"/>
              <w:rPr>
                <w:sz w:val="22"/>
                <w:szCs w:val="22"/>
                <w:color w:val="auto"/>
              </w:rPr>
            </w:pPr>
          </w:p>
        </w:tc>
        <w:tc>
          <w:tcPr>
            <w:tcW w:w="1620" w:type="dxa"/>
            <w:vAlign w:val="bottom"/>
            <w:gridSpan w:val="2"/>
            <w:shd w:val="clear" w:color="auto" w:fill="0A2299"/>
          </w:tcPr>
          <w:p>
            <w:pPr>
              <w:ind w:left="140"/>
              <w:spacing w:after="0"/>
              <w:rPr>
                <w:sz w:val="20"/>
                <w:szCs w:val="20"/>
                <w:color w:val="auto"/>
              </w:rPr>
            </w:pPr>
            <w:r>
              <w:rPr>
                <w:rFonts w:ascii="Arial" w:cs="Arial" w:eastAsia="Arial" w:hAnsi="Arial"/>
                <w:sz w:val="18"/>
                <w:szCs w:val="18"/>
                <w:b w:val="1"/>
                <w:bCs w:val="1"/>
                <w:color w:val="FFFFFF"/>
              </w:rPr>
              <w:t>May 4, 2024</w:t>
            </w:r>
          </w:p>
        </w:tc>
        <w:tc>
          <w:tcPr>
            <w:tcW w:w="160" w:type="dxa"/>
            <w:vAlign w:val="bottom"/>
            <w:shd w:val="clear" w:color="auto" w:fill="0A2299"/>
          </w:tcPr>
          <w:p>
            <w:pPr>
              <w:spacing w:after="0"/>
              <w:rPr>
                <w:sz w:val="22"/>
                <w:szCs w:val="22"/>
                <w:color w:val="auto"/>
              </w:rPr>
            </w:pPr>
          </w:p>
        </w:tc>
        <w:tc>
          <w:tcPr>
            <w:tcW w:w="1720" w:type="dxa"/>
            <w:vAlign w:val="bottom"/>
            <w:gridSpan w:val="2"/>
            <w:shd w:val="clear" w:color="auto" w:fill="0A2299"/>
          </w:tcPr>
          <w:p>
            <w:pPr>
              <w:ind w:left="40"/>
              <w:spacing w:after="0"/>
              <w:rPr>
                <w:sz w:val="20"/>
                <w:szCs w:val="20"/>
                <w:color w:val="auto"/>
              </w:rPr>
            </w:pPr>
            <w:r>
              <w:rPr>
                <w:rFonts w:ascii="Arial" w:cs="Arial" w:eastAsia="Arial" w:hAnsi="Arial"/>
                <w:sz w:val="18"/>
                <w:szCs w:val="18"/>
                <w:b w:val="1"/>
                <w:bCs w:val="1"/>
                <w:color w:val="FFFFFF"/>
              </w:rPr>
              <w:t>February 3, 2024</w:t>
            </w:r>
          </w:p>
        </w:tc>
        <w:tc>
          <w:tcPr>
            <w:tcW w:w="220" w:type="dxa"/>
            <w:vAlign w:val="bottom"/>
            <w:shd w:val="clear" w:color="auto" w:fill="0A2299"/>
          </w:tcPr>
          <w:p>
            <w:pPr>
              <w:spacing w:after="0"/>
              <w:rPr>
                <w:sz w:val="22"/>
                <w:szCs w:val="22"/>
                <w:color w:val="auto"/>
              </w:rPr>
            </w:pPr>
          </w:p>
        </w:tc>
        <w:tc>
          <w:tcPr>
            <w:tcW w:w="1580" w:type="dxa"/>
            <w:vAlign w:val="bottom"/>
            <w:shd w:val="clear" w:color="auto" w:fill="0A2299"/>
          </w:tcPr>
          <w:p>
            <w:pPr>
              <w:jc w:val="right"/>
              <w:ind w:right="252"/>
              <w:spacing w:after="0"/>
              <w:rPr>
                <w:sz w:val="20"/>
                <w:szCs w:val="20"/>
                <w:color w:val="auto"/>
              </w:rPr>
            </w:pPr>
            <w:r>
              <w:rPr>
                <w:rFonts w:ascii="Arial" w:cs="Arial" w:eastAsia="Arial" w:hAnsi="Arial"/>
                <w:sz w:val="18"/>
                <w:szCs w:val="18"/>
                <w:b w:val="1"/>
                <w:bCs w:val="1"/>
                <w:color w:val="FFFFFF"/>
              </w:rPr>
              <w:t>April 29, 2023</w:t>
            </w:r>
          </w:p>
        </w:tc>
        <w:tc>
          <w:tcPr>
            <w:tcW w:w="0" w:type="dxa"/>
            <w:vAlign w:val="bottom"/>
          </w:tcPr>
          <w:p>
            <w:pPr>
              <w:spacing w:after="0"/>
              <w:rPr>
                <w:sz w:val="1"/>
                <w:szCs w:val="1"/>
                <w:color w:val="auto"/>
              </w:rPr>
            </w:pPr>
          </w:p>
        </w:tc>
      </w:tr>
      <w:tr>
        <w:trPr>
          <w:trHeight w:val="263"/>
        </w:trPr>
        <w:tc>
          <w:tcPr>
            <w:tcW w:w="5580" w:type="dxa"/>
            <w:vAlign w:val="bottom"/>
            <w:shd w:val="clear" w:color="auto" w:fill="DBDBDB"/>
          </w:tcPr>
          <w:p>
            <w:pPr>
              <w:ind w:left="240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DBDBDB"/>
          </w:tcPr>
          <w:p>
            <w:pPr>
              <w:spacing w:after="0"/>
              <w:rPr>
                <w:sz w:val="22"/>
                <w:szCs w:val="22"/>
                <w:color w:val="auto"/>
              </w:rPr>
            </w:pPr>
          </w:p>
        </w:tc>
        <w:tc>
          <w:tcPr>
            <w:tcW w:w="15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6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DBDBDB"/>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378,145</w:t>
            </w: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347,920</w:t>
            </w: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295,536</w:t>
            </w:r>
          </w:p>
        </w:tc>
        <w:tc>
          <w:tcPr>
            <w:tcW w:w="0" w:type="dxa"/>
            <w:vAlign w:val="bottom"/>
          </w:tcPr>
          <w:p>
            <w:pPr>
              <w:spacing w:after="0"/>
              <w:rPr>
                <w:sz w:val="1"/>
                <w:szCs w:val="1"/>
                <w:color w:val="auto"/>
              </w:rPr>
            </w:pPr>
          </w:p>
        </w:tc>
      </w:tr>
      <w:tr>
        <w:trPr>
          <w:trHeight w:val="220"/>
        </w:trPr>
        <w:tc>
          <w:tcPr>
            <w:tcW w:w="5580" w:type="dxa"/>
            <w:vAlign w:val="bottom"/>
          </w:tcPr>
          <w:p>
            <w:pPr>
              <w:ind w:left="220"/>
              <w:spacing w:after="0"/>
              <w:rPr>
                <w:sz w:val="20"/>
                <w:szCs w:val="20"/>
                <w:color w:val="auto"/>
              </w:rPr>
            </w:pPr>
            <w:r>
              <w:rPr>
                <w:rFonts w:ascii="Arial" w:cs="Arial" w:eastAsia="Arial" w:hAnsi="Arial"/>
                <w:sz w:val="18"/>
                <w:szCs w:val="18"/>
                <w:color w:val="auto"/>
              </w:rPr>
              <w:t>Accounts receivable - less allowance for doubtful accounts of</w:t>
            </w:r>
          </w:p>
        </w:tc>
        <w:tc>
          <w:tcPr>
            <w:tcW w:w="260" w:type="dxa"/>
            <w:vAlign w:val="bottom"/>
          </w:tcPr>
          <w:p>
            <w:pPr>
              <w:spacing w:after="0"/>
              <w:rPr>
                <w:sz w:val="19"/>
                <w:szCs w:val="19"/>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580" w:type="dxa"/>
            <w:vAlign w:val="bottom"/>
          </w:tcPr>
          <w:p>
            <w:pPr>
              <w:ind w:left="220"/>
              <w:spacing w:after="0"/>
              <w:rPr>
                <w:sz w:val="20"/>
                <w:szCs w:val="20"/>
                <w:color w:val="auto"/>
              </w:rPr>
            </w:pPr>
            <w:r>
              <w:rPr>
                <w:rFonts w:ascii="Arial" w:cs="Arial" w:eastAsia="Arial" w:hAnsi="Arial"/>
                <w:sz w:val="18"/>
                <w:szCs w:val="18"/>
                <w:color w:val="auto"/>
              </w:rPr>
              <w:t>$1,817, $2,217 and $2,286, respectively</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19,371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Merchandise inventories, net</w:t>
            </w:r>
          </w:p>
        </w:tc>
        <w:tc>
          <w:tcPr>
            <w:tcW w:w="2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1,356,811</w:t>
            </w: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1,194,159</w:t>
            </w: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1,386,457</w:t>
            </w:r>
          </w:p>
        </w:tc>
        <w:tc>
          <w:tcPr>
            <w:tcW w:w="0" w:type="dxa"/>
            <w:vAlign w:val="bottom"/>
          </w:tcPr>
          <w:p>
            <w:pPr>
              <w:spacing w:after="0"/>
              <w:rPr>
                <w:sz w:val="1"/>
                <w:szCs w:val="1"/>
                <w:color w:val="auto"/>
              </w:rPr>
            </w:pPr>
          </w:p>
        </w:tc>
      </w:tr>
      <w:tr>
        <w:trPr>
          <w:trHeight w:val="256"/>
        </w:trPr>
        <w:tc>
          <w:tcPr>
            <w:tcW w:w="55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68,320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83,450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34,622</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Assets held for sale</w:t>
            </w:r>
          </w:p>
        </w:tc>
        <w:tc>
          <w:tcPr>
            <w:tcW w:w="260" w:type="dxa"/>
            <w:vAlign w:val="bottom"/>
            <w:shd w:val="clear" w:color="auto" w:fill="DBDBDB"/>
          </w:tcPr>
          <w:p>
            <w:pPr>
              <w:spacing w:after="0"/>
              <w:rPr>
                <w:sz w:val="23"/>
                <w:szCs w:val="23"/>
                <w:color w:val="auto"/>
              </w:rPr>
            </w:pPr>
          </w:p>
        </w:tc>
        <w:tc>
          <w:tcPr>
            <w:tcW w:w="16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23"/>
                <w:szCs w:val="23"/>
                <w:color w:val="auto"/>
              </w:rPr>
            </w:pPr>
          </w:p>
        </w:tc>
        <w:tc>
          <w:tcPr>
            <w:tcW w:w="17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49"/>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1,816,976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1,644,900</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1,728,790</w:t>
            </w:r>
          </w:p>
        </w:tc>
        <w:tc>
          <w:tcPr>
            <w:tcW w:w="0" w:type="dxa"/>
            <w:vAlign w:val="bottom"/>
          </w:tcPr>
          <w:p>
            <w:pPr>
              <w:spacing w:after="0"/>
              <w:rPr>
                <w:sz w:val="1"/>
                <w:szCs w:val="1"/>
                <w:color w:val="auto"/>
              </w:rPr>
            </w:pPr>
          </w:p>
        </w:tc>
      </w:tr>
      <w:tr>
        <w:trPr>
          <w:trHeight w:val="218"/>
        </w:trPr>
        <w:tc>
          <w:tcPr>
            <w:tcW w:w="55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456,594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445,209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365,024</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RIGHT-OF-USE ASSETS</w:t>
            </w:r>
          </w:p>
        </w:tc>
        <w:tc>
          <w:tcPr>
            <w:tcW w:w="2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1,116,222</w:t>
            </w: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1,111,237</w:t>
            </w: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1,087,854</w:t>
            </w: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TRADE NAME</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578,364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578,236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577,799</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GOODWILL</w:t>
            </w:r>
          </w:p>
        </w:tc>
        <w:tc>
          <w:tcPr>
            <w:tcW w:w="2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861,920</w:t>
            </w: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861,920</w:t>
            </w: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861,920</w:t>
            </w: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tcPr>
          <w:p>
            <w:pPr>
              <w:spacing w:after="0"/>
              <w:rPr>
                <w:sz w:val="22"/>
                <w:szCs w:val="22"/>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260" w:type="dxa"/>
            <w:vAlign w:val="bottom"/>
            <w:tcBorders>
              <w:bottom w:val="single" w:sz="8" w:color="auto"/>
            </w:tcBorders>
            <w:shd w:val="clear" w:color="auto" w:fill="DBDBDB"/>
          </w:tcPr>
          <w:p>
            <w:pPr>
              <w:spacing w:after="0"/>
              <w:rPr>
                <w:sz w:val="22"/>
                <w:szCs w:val="22"/>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43,803</w:t>
            </w:r>
          </w:p>
        </w:tc>
        <w:tc>
          <w:tcPr>
            <w:tcW w:w="100" w:type="dxa"/>
            <w:vAlign w:val="bottom"/>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spacing w:after="0"/>
              <w:rPr>
                <w:sz w:val="22"/>
                <w:szCs w:val="22"/>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20,547</w:t>
            </w:r>
          </w:p>
        </w:tc>
        <w:tc>
          <w:tcPr>
            <w:tcW w:w="0" w:type="dxa"/>
            <w:vAlign w:val="bottom"/>
          </w:tcPr>
          <w:p>
            <w:pPr>
              <w:spacing w:after="0"/>
              <w:rPr>
                <w:sz w:val="1"/>
                <w:szCs w:val="1"/>
                <w:color w:val="auto"/>
              </w:rPr>
            </w:pPr>
          </w:p>
        </w:tc>
      </w:tr>
      <w:tr>
        <w:trPr>
          <w:trHeight w:val="263"/>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4,873,879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4,676,713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4,641,934</w:t>
            </w:r>
          </w:p>
        </w:tc>
        <w:tc>
          <w:tcPr>
            <w:tcW w:w="0" w:type="dxa"/>
            <w:vAlign w:val="bottom"/>
          </w:tcPr>
          <w:p>
            <w:pPr>
              <w:spacing w:after="0"/>
              <w:rPr>
                <w:sz w:val="1"/>
                <w:szCs w:val="1"/>
                <w:color w:val="auto"/>
              </w:rPr>
            </w:pPr>
          </w:p>
        </w:tc>
      </w:tr>
      <w:tr>
        <w:trPr>
          <w:trHeight w:val="20"/>
        </w:trPr>
        <w:tc>
          <w:tcPr>
            <w:tcW w:w="558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6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5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90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DBDBDB"/>
          </w:tcPr>
          <w:p>
            <w:pPr>
              <w:spacing w:after="0"/>
              <w:rPr>
                <w:sz w:val="23"/>
                <w:szCs w:val="23"/>
                <w:color w:val="auto"/>
              </w:rPr>
            </w:pPr>
          </w:p>
        </w:tc>
        <w:tc>
          <w:tcPr>
            <w:tcW w:w="15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735,563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541,077</w:t>
            </w:r>
          </w:p>
        </w:tc>
        <w:tc>
          <w:tcPr>
            <w:tcW w:w="100" w:type="dxa"/>
            <w:vAlign w:val="bottom"/>
          </w:tcPr>
          <w:p>
            <w:pPr>
              <w:spacing w:after="0"/>
              <w:rPr>
                <w:sz w:val="22"/>
                <w:szCs w:val="22"/>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712,643</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262,048</w:t>
            </w: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217,932</w:t>
            </w: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221,388</w:t>
            </w:r>
          </w:p>
        </w:tc>
        <w:tc>
          <w:tcPr>
            <w:tcW w:w="0" w:type="dxa"/>
            <w:vAlign w:val="bottom"/>
          </w:tcPr>
          <w:p>
            <w:pPr>
              <w:spacing w:after="0"/>
              <w:rPr>
                <w:sz w:val="1"/>
                <w:szCs w:val="1"/>
                <w:color w:val="auto"/>
              </w:rPr>
            </w:pPr>
          </w:p>
        </w:tc>
      </w:tr>
      <w:tr>
        <w:trPr>
          <w:trHeight w:val="256"/>
        </w:trPr>
        <w:tc>
          <w:tcPr>
            <w:tcW w:w="5580" w:type="dxa"/>
            <w:vAlign w:val="bottom"/>
          </w:tcPr>
          <w:p>
            <w:pPr>
              <w:ind w:left="220"/>
              <w:spacing w:after="0"/>
              <w:rPr>
                <w:sz w:val="20"/>
                <w:szCs w:val="20"/>
                <w:color w:val="auto"/>
              </w:rPr>
            </w:pPr>
            <w:r>
              <w:rPr>
                <w:rFonts w:ascii="Arial" w:cs="Arial" w:eastAsia="Arial" w:hAnsi="Arial"/>
                <w:sz w:val="18"/>
                <w:szCs w:val="18"/>
                <w:color w:val="auto"/>
              </w:rPr>
              <w:t>Current lease liabilities</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121,465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117,849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112,333</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auto"/>
            </w:tcBorders>
            <w:shd w:val="clear" w:color="auto" w:fill="DBDBDB"/>
          </w:tcPr>
          <w:p>
            <w:pPr>
              <w:spacing w:after="0"/>
              <w:rPr>
                <w:sz w:val="23"/>
                <w:szCs w:val="23"/>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3,000</w:t>
            </w:r>
          </w:p>
        </w:tc>
        <w:tc>
          <w:tcPr>
            <w:tcW w:w="100" w:type="dxa"/>
            <w:vAlign w:val="bottom"/>
            <w:shd w:val="clear" w:color="auto" w:fill="DBDBDB"/>
          </w:tcPr>
          <w:p>
            <w:pPr>
              <w:spacing w:after="0"/>
              <w:rPr>
                <w:sz w:val="23"/>
                <w:szCs w:val="23"/>
                <w:color w:val="auto"/>
              </w:rPr>
            </w:pPr>
          </w:p>
        </w:tc>
        <w:tc>
          <w:tcPr>
            <w:tcW w:w="160" w:type="dxa"/>
            <w:vAlign w:val="bottom"/>
            <w:tcBorders>
              <w:bottom w:val="single" w:sz="8" w:color="auto"/>
            </w:tcBorders>
            <w:shd w:val="clear" w:color="auto" w:fill="DBDBDB"/>
          </w:tcPr>
          <w:p>
            <w:pPr>
              <w:spacing w:after="0"/>
              <w:rPr>
                <w:sz w:val="23"/>
                <w:szCs w:val="23"/>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DBDBDB"/>
          </w:tcPr>
          <w:p>
            <w:pPr>
              <w:spacing w:after="0"/>
              <w:rPr>
                <w:sz w:val="23"/>
                <w:szCs w:val="23"/>
                <w:color w:val="auto"/>
              </w:rPr>
            </w:pPr>
          </w:p>
        </w:tc>
        <w:tc>
          <w:tcPr>
            <w:tcW w:w="22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9"/>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1,122,076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879,858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1,049,364</w:t>
            </w:r>
          </w:p>
        </w:tc>
        <w:tc>
          <w:tcPr>
            <w:tcW w:w="0" w:type="dxa"/>
            <w:vAlign w:val="bottom"/>
          </w:tcPr>
          <w:p>
            <w:pPr>
              <w:spacing w:after="0"/>
              <w:rPr>
                <w:sz w:val="1"/>
                <w:szCs w:val="1"/>
                <w:color w:val="auto"/>
              </w:rPr>
            </w:pPr>
          </w:p>
        </w:tc>
      </w:tr>
      <w:tr>
        <w:trPr>
          <w:trHeight w:val="165"/>
        </w:trPr>
        <w:tc>
          <w:tcPr>
            <w:tcW w:w="55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6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LONG-TERM DEBT, NET</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484,084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484,551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584,093</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LONG-TERM LEASE LIABILITIES</w:t>
            </w:r>
          </w:p>
        </w:tc>
        <w:tc>
          <w:tcPr>
            <w:tcW w:w="2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1,098,799</w:t>
            </w: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1,091,294</w:t>
            </w: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1,058,869</w:t>
            </w: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 NET</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253,069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254,796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257,120</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260" w:type="dxa"/>
            <w:vAlign w:val="bottom"/>
            <w:tcBorders>
              <w:bottom w:val="single" w:sz="8" w:color="auto"/>
            </w:tcBorders>
            <w:shd w:val="clear" w:color="auto" w:fill="DBDBDB"/>
          </w:tcPr>
          <w:p>
            <w:pPr>
              <w:spacing w:after="0"/>
              <w:rPr>
                <w:sz w:val="23"/>
                <w:szCs w:val="23"/>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10,330</w:t>
            </w:r>
          </w:p>
        </w:tc>
        <w:tc>
          <w:tcPr>
            <w:tcW w:w="100" w:type="dxa"/>
            <w:vAlign w:val="bottom"/>
            <w:shd w:val="clear" w:color="auto" w:fill="DBDBDB"/>
          </w:tcPr>
          <w:p>
            <w:pPr>
              <w:spacing w:after="0"/>
              <w:rPr>
                <w:sz w:val="23"/>
                <w:szCs w:val="23"/>
                <w:color w:val="auto"/>
              </w:rPr>
            </w:pPr>
          </w:p>
        </w:tc>
        <w:tc>
          <w:tcPr>
            <w:tcW w:w="160" w:type="dxa"/>
            <w:vAlign w:val="bottom"/>
            <w:tcBorders>
              <w:bottom w:val="single" w:sz="8" w:color="auto"/>
            </w:tcBorders>
            <w:shd w:val="clear" w:color="auto" w:fill="DBDBDB"/>
          </w:tcPr>
          <w:p>
            <w:pPr>
              <w:spacing w:after="0"/>
              <w:rPr>
                <w:sz w:val="23"/>
                <w:szCs w:val="23"/>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11,564</w:t>
            </w:r>
          </w:p>
        </w:tc>
        <w:tc>
          <w:tcPr>
            <w:tcW w:w="100" w:type="dxa"/>
            <w:vAlign w:val="bottom"/>
            <w:shd w:val="clear" w:color="auto" w:fill="DBDBDB"/>
          </w:tcPr>
          <w:p>
            <w:pPr>
              <w:spacing w:after="0"/>
              <w:rPr>
                <w:sz w:val="23"/>
                <w:szCs w:val="23"/>
                <w:color w:val="auto"/>
              </w:rPr>
            </w:pPr>
          </w:p>
        </w:tc>
        <w:tc>
          <w:tcPr>
            <w:tcW w:w="22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DBDBDB"/>
            </w:tcBorders>
          </w:tcPr>
          <w:p>
            <w:pPr>
              <w:ind w:left="4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2,968,358</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2,722,063</w:t>
            </w:r>
          </w:p>
        </w:tc>
        <w:tc>
          <w:tcPr>
            <w:tcW w:w="100" w:type="dxa"/>
            <w:vAlign w:val="bottom"/>
            <w:tcBorders>
              <w:bottom w:val="single" w:sz="8" w:color="DBDBDB"/>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2,960,972</w:t>
            </w:r>
          </w:p>
        </w:tc>
        <w:tc>
          <w:tcPr>
            <w:tcW w:w="0" w:type="dxa"/>
            <w:vAlign w:val="bottom"/>
          </w:tcPr>
          <w:p>
            <w:pPr>
              <w:spacing w:after="0"/>
              <w:rPr>
                <w:sz w:val="1"/>
                <w:szCs w:val="1"/>
                <w:color w:val="auto"/>
              </w:rPr>
            </w:pPr>
          </w:p>
        </w:tc>
      </w:tr>
      <w:tr>
        <w:trPr>
          <w:trHeight w:val="184"/>
        </w:trPr>
        <w:tc>
          <w:tcPr>
            <w:tcW w:w="55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5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5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55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6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 :</w:t>
            </w: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Preferred stock, $0.01 par value, authorized 50,000,000 shares;</w:t>
            </w:r>
          </w:p>
        </w:tc>
        <w:tc>
          <w:tcPr>
            <w:tcW w:w="260" w:type="dxa"/>
            <w:vAlign w:val="bottom"/>
            <w:shd w:val="clear" w:color="auto" w:fill="DBDBDB"/>
          </w:tcPr>
          <w:p>
            <w:pPr>
              <w:spacing w:after="0"/>
              <w:rPr>
                <w:sz w:val="19"/>
                <w:szCs w:val="19"/>
                <w:color w:val="auto"/>
              </w:rPr>
            </w:pPr>
          </w:p>
        </w:tc>
        <w:tc>
          <w:tcPr>
            <w:tcW w:w="16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6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none issued and outstanding</w:t>
            </w:r>
          </w:p>
        </w:tc>
        <w:tc>
          <w:tcPr>
            <w:tcW w:w="260" w:type="dxa"/>
            <w:vAlign w:val="bottom"/>
            <w:shd w:val="clear" w:color="auto" w:fill="DBDBDB"/>
          </w:tcPr>
          <w:p>
            <w:pPr>
              <w:spacing w:after="0"/>
              <w:rPr>
                <w:sz w:val="22"/>
                <w:szCs w:val="22"/>
                <w:color w:val="auto"/>
              </w:rPr>
            </w:pPr>
          </w:p>
        </w:tc>
        <w:tc>
          <w:tcPr>
            <w:tcW w:w="1620" w:type="dxa"/>
            <w:vAlign w:val="bottom"/>
            <w:gridSpan w:val="2"/>
            <w:vMerge w:val="continue"/>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7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580" w:type="dxa"/>
            <w:vAlign w:val="bottom"/>
          </w:tcPr>
          <w:p>
            <w:pPr>
              <w:ind w:left="220"/>
              <w:spacing w:after="0"/>
              <w:rPr>
                <w:sz w:val="20"/>
                <w:szCs w:val="20"/>
                <w:color w:val="auto"/>
              </w:rPr>
            </w:pPr>
            <w:r>
              <w:rPr>
                <w:rFonts w:ascii="Arial" w:cs="Arial" w:eastAsia="Arial" w:hAnsi="Arial"/>
                <w:sz w:val="18"/>
                <w:szCs w:val="18"/>
                <w:color w:val="auto"/>
              </w:rPr>
              <w:t>Common stock, $0.01 par value, authorized 300,000,000 shares;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80" w:type="dxa"/>
            <w:vAlign w:val="bottom"/>
          </w:tcPr>
          <w:p>
            <w:pPr>
              <w:ind w:left="220"/>
              <w:spacing w:after="0"/>
              <w:rPr>
                <w:sz w:val="20"/>
                <w:szCs w:val="20"/>
                <w:color w:val="auto"/>
              </w:rPr>
            </w:pPr>
            <w:r>
              <w:rPr>
                <w:rFonts w:ascii="Arial" w:cs="Arial" w:eastAsia="Arial" w:hAnsi="Arial"/>
                <w:sz w:val="18"/>
                <w:szCs w:val="18"/>
                <w:color w:val="auto"/>
                <w:w w:val="99"/>
              </w:rPr>
              <w:t>72,590,530; 74,349,927 and 76,439,594 issued and outstanding as</w:t>
            </w:r>
          </w:p>
        </w:tc>
        <w:tc>
          <w:tcPr>
            <w:tcW w:w="2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580" w:type="dxa"/>
            <w:vAlign w:val="bottom"/>
          </w:tcPr>
          <w:p>
            <w:pPr>
              <w:ind w:left="220"/>
              <w:spacing w:after="0"/>
              <w:rPr>
                <w:sz w:val="20"/>
                <w:szCs w:val="20"/>
                <w:color w:val="auto"/>
              </w:rPr>
            </w:pPr>
            <w:r>
              <w:rPr>
                <w:rFonts w:ascii="Arial" w:cs="Arial" w:eastAsia="Arial" w:hAnsi="Arial"/>
                <w:sz w:val="18"/>
                <w:szCs w:val="18"/>
                <w:color w:val="auto"/>
              </w:rPr>
              <w:t>of May 4, 2024, February 3, 2024, and April 29, 2023, respectively.</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240,559</w:t>
            </w: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242,098</w:t>
            </w: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229,633</w:t>
            </w:r>
          </w:p>
        </w:tc>
        <w:tc>
          <w:tcPr>
            <w:tcW w:w="0" w:type="dxa"/>
            <w:vAlign w:val="bottom"/>
          </w:tcPr>
          <w:p>
            <w:pPr>
              <w:spacing w:after="0"/>
              <w:rPr>
                <w:sz w:val="1"/>
                <w:szCs w:val="1"/>
                <w:color w:val="auto"/>
              </w:rPr>
            </w:pPr>
          </w:p>
        </w:tc>
      </w:tr>
      <w:tr>
        <w:trPr>
          <w:trHeight w:val="256"/>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1,664,236</w:t>
            </w:r>
          </w:p>
        </w:tc>
        <w:tc>
          <w:tcPr>
            <w:tcW w:w="100" w:type="dxa"/>
            <w:vAlign w:val="bottom"/>
            <w:tcBorders>
              <w:bottom w:val="single" w:sz="8" w:color="DBDBDB"/>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1,711,809</w:t>
            </w:r>
          </w:p>
        </w:tc>
        <w:tc>
          <w:tcPr>
            <w:tcW w:w="10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1,450,565</w:t>
            </w:r>
          </w:p>
        </w:tc>
        <w:tc>
          <w:tcPr>
            <w:tcW w:w="0" w:type="dxa"/>
            <w:vAlign w:val="bottom"/>
          </w:tcPr>
          <w:p>
            <w:pPr>
              <w:spacing w:after="0"/>
              <w:rPr>
                <w:sz w:val="1"/>
                <w:szCs w:val="1"/>
                <w:color w:val="auto"/>
              </w:rPr>
            </w:pPr>
          </w:p>
        </w:tc>
      </w:tr>
      <w:tr>
        <w:trPr>
          <w:trHeight w:val="256"/>
        </w:trPr>
        <w:tc>
          <w:tcPr>
            <w:tcW w:w="5580" w:type="dxa"/>
            <w:vAlign w:val="bottom"/>
            <w:shd w:val="clear" w:color="auto" w:fill="DBDBDB"/>
          </w:tcPr>
          <w:p>
            <w:pPr>
              <w:ind w:left="44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Borders>
              <w:bottom w:val="single" w:sz="8" w:color="auto"/>
            </w:tcBorders>
            <w:shd w:val="clear" w:color="auto" w:fill="DBDBDB"/>
          </w:tcPr>
          <w:p>
            <w:pPr>
              <w:spacing w:after="0"/>
              <w:rPr>
                <w:sz w:val="22"/>
                <w:szCs w:val="22"/>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1,905,521</w:t>
            </w:r>
          </w:p>
        </w:tc>
        <w:tc>
          <w:tcPr>
            <w:tcW w:w="100" w:type="dxa"/>
            <w:vAlign w:val="bottom"/>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spacing w:after="0"/>
              <w:rPr>
                <w:sz w:val="22"/>
                <w:szCs w:val="22"/>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1,954,650</w:t>
            </w:r>
          </w:p>
        </w:tc>
        <w:tc>
          <w:tcPr>
            <w:tcW w:w="100" w:type="dxa"/>
            <w:vAlign w:val="bottom"/>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1,680,962</w:t>
            </w:r>
          </w:p>
        </w:tc>
        <w:tc>
          <w:tcPr>
            <w:tcW w:w="0" w:type="dxa"/>
            <w:vAlign w:val="bottom"/>
          </w:tcPr>
          <w:p>
            <w:pPr>
              <w:spacing w:after="0"/>
              <w:rPr>
                <w:sz w:val="1"/>
                <w:szCs w:val="1"/>
                <w:color w:val="auto"/>
              </w:rPr>
            </w:pPr>
          </w:p>
        </w:tc>
      </w:tr>
      <w:tr>
        <w:trPr>
          <w:trHeight w:val="263"/>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4,873,879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4,676,713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4,641,934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-7076440</wp:posOffset>
            </wp:positionV>
            <wp:extent cx="35261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26155" cy="8255"/>
                    </a:xfrm>
                    <a:prstGeom prst="rect">
                      <a:avLst/>
                    </a:prstGeom>
                    <a:noFill/>
                  </pic:spPr>
                </pic:pic>
              </a:graphicData>
            </a:graphic>
          </wp:anchor>
        </w:drawing>
      </w:r>
    </w:p>
    <w:p>
      <w:pPr>
        <w:sectPr>
          <w:pgSz w:w="11900" w:h="16838" w:orient="portrait"/>
          <w:cols w:equalWidth="0" w:num="1">
            <w:col w:w="11140"/>
          </w:cols>
          <w:pgMar w:left="380" w:top="739" w:right="379" w:bottom="1440" w:gutter="0" w:footer="0" w:header="0"/>
        </w:sect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40"/>
          </w:cols>
          <w:pgMar w:left="380" w:top="739" w:right="37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ACADEMY SPORTS AND OUTDOORS, INC.</w:t>
      </w:r>
    </w:p>
    <w:p>
      <w:pPr>
        <w:jc w:val="center"/>
        <w:ind w:right="20"/>
        <w:spacing w:after="0" w:line="238" w:lineRule="auto"/>
        <w:rPr>
          <w:sz w:val="20"/>
          <w:szCs w:val="20"/>
          <w:color w:val="auto"/>
        </w:rPr>
      </w:pPr>
      <w:r>
        <w:rPr>
          <w:rFonts w:ascii="Arial" w:cs="Arial" w:eastAsia="Arial" w:hAnsi="Arial"/>
          <w:sz w:val="18"/>
          <w:szCs w:val="18"/>
          <w:b w:val="1"/>
          <w:bCs w:val="1"/>
          <w:color w:val="auto"/>
        </w:rPr>
        <w:t>CONSOLIDATED STATEMENTS OF CASH FLOWS</w:t>
      </w:r>
    </w:p>
    <w:p>
      <w:pPr>
        <w:jc w:val="center"/>
        <w:ind w:right="20"/>
        <w:spacing w:after="0" w:line="229" w:lineRule="auto"/>
        <w:rPr>
          <w:sz w:val="20"/>
          <w:szCs w:val="20"/>
          <w:color w:val="auto"/>
        </w:rPr>
      </w:pPr>
      <w:r>
        <w:rPr>
          <w:rFonts w:ascii="Arial" w:cs="Arial" w:eastAsia="Arial" w:hAnsi="Arial"/>
          <w:sz w:val="18"/>
          <w:szCs w:val="18"/>
          <w:b w:val="1"/>
          <w:bCs w:val="1"/>
          <w:color w:val="auto"/>
        </w:rPr>
        <w:t>(Unaudited)</w:t>
      </w: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00" w:type="dxa"/>
            <w:vAlign w:val="bottom"/>
          </w:tcPr>
          <w:p>
            <w:pPr>
              <w:spacing w:after="0"/>
              <w:rPr>
                <w:sz w:val="22"/>
                <w:szCs w:val="22"/>
                <w:color w:val="auto"/>
              </w:rPr>
            </w:pPr>
          </w:p>
        </w:tc>
        <w:tc>
          <w:tcPr>
            <w:tcW w:w="260" w:type="dxa"/>
            <w:vAlign w:val="bottom"/>
            <w:shd w:val="clear" w:color="auto" w:fill="0A2299"/>
          </w:tcPr>
          <w:p>
            <w:pPr>
              <w:spacing w:after="0"/>
              <w:rPr>
                <w:sz w:val="22"/>
                <w:szCs w:val="22"/>
                <w:color w:val="auto"/>
              </w:rPr>
            </w:pPr>
          </w:p>
        </w:tc>
        <w:tc>
          <w:tcPr>
            <w:tcW w:w="3420" w:type="dxa"/>
            <w:vAlign w:val="bottom"/>
            <w:gridSpan w:val="4"/>
            <w:shd w:val="clear" w:color="auto" w:fill="0A2299"/>
          </w:tcPr>
          <w:p>
            <w:pPr>
              <w:jc w:val="right"/>
              <w:ind w:right="812"/>
              <w:spacing w:after="0"/>
              <w:rPr>
                <w:sz w:val="20"/>
                <w:szCs w:val="20"/>
                <w:color w:val="auto"/>
              </w:rPr>
            </w:pPr>
            <w:r>
              <w:rPr>
                <w:rFonts w:ascii="Arial" w:cs="Arial" w:eastAsia="Arial" w:hAnsi="Arial"/>
                <w:sz w:val="18"/>
                <w:szCs w:val="18"/>
                <w:b w:val="1"/>
                <w:bCs w:val="1"/>
                <w:color w:val="FFFFFF"/>
              </w:rPr>
              <w:t>Thirteen Weeks Ended</w:t>
            </w:r>
          </w:p>
        </w:tc>
        <w:tc>
          <w:tcPr>
            <w:tcW w:w="0" w:type="dxa"/>
            <w:vAlign w:val="bottom"/>
          </w:tcPr>
          <w:p>
            <w:pPr>
              <w:spacing w:after="0"/>
              <w:rPr>
                <w:sz w:val="1"/>
                <w:szCs w:val="1"/>
                <w:color w:val="auto"/>
              </w:rPr>
            </w:pPr>
          </w:p>
        </w:tc>
      </w:tr>
      <w:tr>
        <w:trPr>
          <w:trHeight w:val="279"/>
        </w:trPr>
        <w:tc>
          <w:tcPr>
            <w:tcW w:w="7500" w:type="dxa"/>
            <w:vAlign w:val="bottom"/>
          </w:tcPr>
          <w:p>
            <w:pPr>
              <w:spacing w:after="0"/>
              <w:rPr>
                <w:sz w:val="24"/>
                <w:szCs w:val="24"/>
                <w:color w:val="auto"/>
              </w:rPr>
            </w:pPr>
          </w:p>
        </w:tc>
        <w:tc>
          <w:tcPr>
            <w:tcW w:w="260" w:type="dxa"/>
            <w:vAlign w:val="bottom"/>
            <w:shd w:val="clear" w:color="auto" w:fill="0A2299"/>
          </w:tcPr>
          <w:p>
            <w:pPr>
              <w:spacing w:after="0"/>
              <w:rPr>
                <w:sz w:val="24"/>
                <w:szCs w:val="24"/>
                <w:color w:val="auto"/>
              </w:rPr>
            </w:pPr>
          </w:p>
        </w:tc>
        <w:tc>
          <w:tcPr>
            <w:tcW w:w="1620" w:type="dxa"/>
            <w:vAlign w:val="bottom"/>
            <w:gridSpan w:val="2"/>
            <w:shd w:val="clear" w:color="auto" w:fill="0A2299"/>
          </w:tcPr>
          <w:p>
            <w:pPr>
              <w:ind w:left="140"/>
              <w:spacing w:after="0"/>
              <w:rPr>
                <w:sz w:val="20"/>
                <w:szCs w:val="20"/>
                <w:color w:val="auto"/>
              </w:rPr>
            </w:pPr>
            <w:r>
              <w:rPr>
                <w:rFonts w:ascii="Arial" w:cs="Arial" w:eastAsia="Arial" w:hAnsi="Arial"/>
                <w:sz w:val="18"/>
                <w:szCs w:val="18"/>
                <w:b w:val="1"/>
                <w:bCs w:val="1"/>
                <w:color w:val="FFFFFF"/>
              </w:rPr>
              <w:t>May 4, 2024</w:t>
            </w:r>
          </w:p>
        </w:tc>
        <w:tc>
          <w:tcPr>
            <w:tcW w:w="220" w:type="dxa"/>
            <w:vAlign w:val="bottom"/>
            <w:shd w:val="clear" w:color="auto" w:fill="0A2299"/>
          </w:tcPr>
          <w:p>
            <w:pPr>
              <w:spacing w:after="0"/>
              <w:rPr>
                <w:sz w:val="24"/>
                <w:szCs w:val="24"/>
                <w:color w:val="auto"/>
              </w:rPr>
            </w:pPr>
          </w:p>
        </w:tc>
        <w:tc>
          <w:tcPr>
            <w:tcW w:w="1580" w:type="dxa"/>
            <w:vAlign w:val="bottom"/>
            <w:shd w:val="clear" w:color="auto" w:fill="0A2299"/>
          </w:tcPr>
          <w:p>
            <w:pPr>
              <w:jc w:val="right"/>
              <w:ind w:right="252"/>
              <w:spacing w:after="0"/>
              <w:rPr>
                <w:sz w:val="20"/>
                <w:szCs w:val="20"/>
                <w:color w:val="auto"/>
              </w:rPr>
            </w:pPr>
            <w:r>
              <w:rPr>
                <w:rFonts w:ascii="Arial" w:cs="Arial" w:eastAsia="Arial" w:hAnsi="Arial"/>
                <w:sz w:val="18"/>
                <w:szCs w:val="18"/>
                <w:b w:val="1"/>
                <w:bCs w:val="1"/>
                <w:color w:val="FFFFFF"/>
              </w:rPr>
              <w:t>April 29, 2023</w:t>
            </w:r>
          </w:p>
        </w:tc>
        <w:tc>
          <w:tcPr>
            <w:tcW w:w="0" w:type="dxa"/>
            <w:vAlign w:val="bottom"/>
          </w:tcPr>
          <w:p>
            <w:pPr>
              <w:spacing w:after="0"/>
              <w:rPr>
                <w:sz w:val="1"/>
                <w:szCs w:val="1"/>
                <w:color w:val="auto"/>
              </w:rPr>
            </w:pPr>
          </w:p>
        </w:tc>
      </w:tr>
      <w:tr>
        <w:trPr>
          <w:trHeight w:val="263"/>
        </w:trPr>
        <w:tc>
          <w:tcPr>
            <w:tcW w:w="7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DBDBDB"/>
          </w:tcPr>
          <w:p>
            <w:pPr>
              <w:spacing w:after="0"/>
              <w:rPr>
                <w:sz w:val="22"/>
                <w:szCs w:val="22"/>
                <w:color w:val="auto"/>
              </w:rPr>
            </w:pPr>
          </w:p>
        </w:tc>
        <w:tc>
          <w:tcPr>
            <w:tcW w:w="15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76,465</w:t>
            </w:r>
          </w:p>
        </w:tc>
        <w:tc>
          <w:tcPr>
            <w:tcW w:w="80" w:type="dxa"/>
            <w:vAlign w:val="bottom"/>
          </w:tcPr>
          <w:p>
            <w:pPr>
              <w:spacing w:after="0"/>
              <w:rPr>
                <w:sz w:val="22"/>
                <w:szCs w:val="22"/>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93,970</w:t>
            </w:r>
          </w:p>
        </w:tc>
        <w:tc>
          <w:tcPr>
            <w:tcW w:w="0" w:type="dxa"/>
            <w:vAlign w:val="bottom"/>
          </w:tcPr>
          <w:p>
            <w:pPr>
              <w:spacing w:after="0"/>
              <w:rPr>
                <w:sz w:val="1"/>
                <w:szCs w:val="1"/>
                <w:color w:val="auto"/>
              </w:rPr>
            </w:pPr>
          </w:p>
        </w:tc>
      </w:tr>
      <w:tr>
        <w:trPr>
          <w:trHeight w:val="251"/>
        </w:trPr>
        <w:tc>
          <w:tcPr>
            <w:tcW w:w="75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DBDBDB"/>
            </w:tcBorders>
            <w:shd w:val="clear" w:color="auto" w:fill="DBDBDB"/>
          </w:tcPr>
          <w:p>
            <w:pPr>
              <w:spacing w:after="0"/>
              <w:rPr>
                <w:sz w:val="21"/>
                <w:szCs w:val="21"/>
                <w:color w:val="auto"/>
              </w:rPr>
            </w:pPr>
          </w:p>
        </w:tc>
        <w:tc>
          <w:tcPr>
            <w:tcW w:w="154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28,853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26,261</w:t>
            </w:r>
          </w:p>
        </w:tc>
        <w:tc>
          <w:tcPr>
            <w:tcW w:w="0" w:type="dxa"/>
            <w:vAlign w:val="bottom"/>
          </w:tcPr>
          <w:p>
            <w:pPr>
              <w:spacing w:after="0"/>
              <w:rPr>
                <w:sz w:val="1"/>
                <w:szCs w:val="1"/>
                <w:color w:val="auto"/>
              </w:rPr>
            </w:pPr>
          </w:p>
        </w:tc>
      </w:tr>
      <w:tr>
        <w:trPr>
          <w:trHeight w:val="271"/>
        </w:trPr>
        <w:tc>
          <w:tcPr>
            <w:tcW w:w="7500" w:type="dxa"/>
            <w:vAlign w:val="bottom"/>
            <w:shd w:val="clear" w:color="auto" w:fill="DBDBDB"/>
          </w:tcPr>
          <w:p>
            <w:pPr>
              <w:ind w:left="420"/>
              <w:spacing w:after="0"/>
              <w:rPr>
                <w:sz w:val="20"/>
                <w:szCs w:val="20"/>
                <w:color w:val="auto"/>
              </w:rPr>
            </w:pPr>
            <w:r>
              <w:rPr>
                <w:rFonts w:ascii="Arial" w:cs="Arial" w:eastAsia="Arial" w:hAnsi="Arial"/>
                <w:sz w:val="18"/>
                <w:szCs w:val="18"/>
                <w:color w:val="auto"/>
              </w:rPr>
              <w:t>Non-cash lease expense</w:t>
            </w:r>
          </w:p>
        </w:tc>
        <w:tc>
          <w:tcPr>
            <w:tcW w:w="26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6,137</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56"/>
        </w:trPr>
        <w:tc>
          <w:tcPr>
            <w:tcW w:w="7500" w:type="dxa"/>
            <w:vAlign w:val="bottom"/>
          </w:tcPr>
          <w:p>
            <w:pPr>
              <w:ind w:left="420"/>
              <w:spacing w:after="0"/>
              <w:rPr>
                <w:sz w:val="20"/>
                <w:szCs w:val="20"/>
                <w:color w:val="auto"/>
              </w:rPr>
            </w:pPr>
            <w:r>
              <w:rPr>
                <w:rFonts w:ascii="Arial" w:cs="Arial" w:eastAsia="Arial" w:hAnsi="Arial"/>
                <w:sz w:val="18"/>
                <w:szCs w:val="18"/>
                <w:color w:val="auto"/>
              </w:rPr>
              <w:t>Equity compensation</w:t>
            </w: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6,138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11,382</w:t>
            </w:r>
          </w:p>
        </w:tc>
        <w:tc>
          <w:tcPr>
            <w:tcW w:w="0" w:type="dxa"/>
            <w:vAlign w:val="bottom"/>
          </w:tcPr>
          <w:p>
            <w:pPr>
              <w:spacing w:after="0"/>
              <w:rPr>
                <w:sz w:val="1"/>
                <w:szCs w:val="1"/>
                <w:color w:val="auto"/>
              </w:rPr>
            </w:pPr>
          </w:p>
        </w:tc>
      </w:tr>
      <w:tr>
        <w:trPr>
          <w:trHeight w:val="271"/>
        </w:trPr>
        <w:tc>
          <w:tcPr>
            <w:tcW w:w="7500" w:type="dxa"/>
            <w:vAlign w:val="bottom"/>
            <w:shd w:val="clear" w:color="auto" w:fill="DBDBDB"/>
          </w:tcPr>
          <w:p>
            <w:pPr>
              <w:ind w:left="420"/>
              <w:spacing w:after="0"/>
              <w:rPr>
                <w:sz w:val="20"/>
                <w:szCs w:val="20"/>
                <w:color w:val="auto"/>
              </w:rPr>
            </w:pPr>
            <w:r>
              <w:rPr>
                <w:rFonts w:ascii="Arial" w:cs="Arial" w:eastAsia="Arial" w:hAnsi="Arial"/>
                <w:sz w:val="18"/>
                <w:szCs w:val="18"/>
                <w:color w:val="auto"/>
              </w:rPr>
              <w:t>Amortization of deferred loan and other costs</w:t>
            </w:r>
          </w:p>
        </w:tc>
        <w:tc>
          <w:tcPr>
            <w:tcW w:w="26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624</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56"/>
        </w:trPr>
        <w:tc>
          <w:tcPr>
            <w:tcW w:w="75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(1,726)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71"/>
        </w:trPr>
        <w:tc>
          <w:tcPr>
            <w:tcW w:w="7500" w:type="dxa"/>
            <w:vAlign w:val="bottom"/>
            <w:shd w:val="clear" w:color="auto" w:fill="DBDBDB"/>
          </w:tcPr>
          <w:p>
            <w:pPr>
              <w:ind w:left="420"/>
              <w:spacing w:after="0"/>
              <w:rPr>
                <w:sz w:val="20"/>
                <w:szCs w:val="20"/>
                <w:color w:val="auto"/>
              </w:rPr>
            </w:pPr>
            <w:r>
              <w:rPr>
                <w:rFonts w:ascii="Arial" w:cs="Arial" w:eastAsia="Arial" w:hAnsi="Arial"/>
                <w:sz w:val="18"/>
                <w:szCs w:val="18"/>
                <w:color w:val="auto"/>
              </w:rPr>
              <w:t>Write off of deferred loan costs</w:t>
            </w:r>
          </w:p>
        </w:tc>
        <w:tc>
          <w:tcPr>
            <w:tcW w:w="26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449</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750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7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500" w:type="dxa"/>
            <w:vAlign w:val="bottom"/>
            <w:shd w:val="clear" w:color="auto" w:fill="DBDBDB"/>
          </w:tcPr>
          <w:p>
            <w:pPr>
              <w:ind w:left="64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DBDBDB"/>
          </w:tcPr>
          <w:p>
            <w:pPr>
              <w:spacing w:after="0"/>
              <w:rPr>
                <w:sz w:val="22"/>
                <w:szCs w:val="22"/>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5,671</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6,091</w:t>
            </w:r>
          </w:p>
        </w:tc>
        <w:tc>
          <w:tcPr>
            <w:tcW w:w="0" w:type="dxa"/>
            <w:vAlign w:val="bottom"/>
          </w:tcPr>
          <w:p>
            <w:pPr>
              <w:spacing w:after="0"/>
              <w:rPr>
                <w:sz w:val="1"/>
                <w:szCs w:val="1"/>
                <w:color w:val="auto"/>
              </w:rPr>
            </w:pPr>
          </w:p>
        </w:tc>
      </w:tr>
      <w:tr>
        <w:trPr>
          <w:trHeight w:val="256"/>
        </w:trPr>
        <w:tc>
          <w:tcPr>
            <w:tcW w:w="7500" w:type="dxa"/>
            <w:vAlign w:val="bottom"/>
          </w:tcPr>
          <w:p>
            <w:pPr>
              <w:ind w:left="640"/>
              <w:spacing w:after="0"/>
              <w:rPr>
                <w:sz w:val="20"/>
                <w:szCs w:val="20"/>
                <w:color w:val="auto"/>
              </w:rPr>
            </w:pPr>
            <w:r>
              <w:rPr>
                <w:rFonts w:ascii="Arial" w:cs="Arial" w:eastAsia="Arial" w:hAnsi="Arial"/>
                <w:sz w:val="18"/>
                <w:szCs w:val="18"/>
                <w:color w:val="auto"/>
              </w:rPr>
              <w:t>Merchandise inventories, net</w:t>
            </w: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(162,652)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(102,940)</w:t>
            </w:r>
          </w:p>
        </w:tc>
        <w:tc>
          <w:tcPr>
            <w:tcW w:w="0" w:type="dxa"/>
            <w:vAlign w:val="bottom"/>
          </w:tcPr>
          <w:p>
            <w:pPr>
              <w:spacing w:after="0"/>
              <w:rPr>
                <w:sz w:val="1"/>
                <w:szCs w:val="1"/>
                <w:color w:val="auto"/>
              </w:rPr>
            </w:pPr>
          </w:p>
        </w:tc>
      </w:tr>
      <w:tr>
        <w:trPr>
          <w:trHeight w:val="271"/>
        </w:trPr>
        <w:tc>
          <w:tcPr>
            <w:tcW w:w="7500" w:type="dxa"/>
            <w:vAlign w:val="bottom"/>
            <w:shd w:val="clear" w:color="auto" w:fill="DBDBDB"/>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15,129</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13,125</w:t>
            </w:r>
          </w:p>
        </w:tc>
        <w:tc>
          <w:tcPr>
            <w:tcW w:w="0" w:type="dxa"/>
            <w:vAlign w:val="bottom"/>
          </w:tcPr>
          <w:p>
            <w:pPr>
              <w:spacing w:after="0"/>
              <w:rPr>
                <w:sz w:val="1"/>
                <w:szCs w:val="1"/>
                <w:color w:val="auto"/>
              </w:rPr>
            </w:pPr>
          </w:p>
        </w:tc>
      </w:tr>
      <w:tr>
        <w:trPr>
          <w:trHeight w:val="256"/>
        </w:trPr>
        <w:tc>
          <w:tcPr>
            <w:tcW w:w="7500" w:type="dxa"/>
            <w:vAlign w:val="bottom"/>
          </w:tcPr>
          <w:p>
            <w:pPr>
              <w:ind w:left="6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(3,392)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71"/>
        </w:trPr>
        <w:tc>
          <w:tcPr>
            <w:tcW w:w="7500" w:type="dxa"/>
            <w:vAlign w:val="bottom"/>
            <w:shd w:val="clear" w:color="auto" w:fill="DBDBDB"/>
          </w:tcPr>
          <w:p>
            <w:pPr>
              <w:ind w:left="6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186,475</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26,776</w:t>
            </w:r>
          </w:p>
        </w:tc>
        <w:tc>
          <w:tcPr>
            <w:tcW w:w="0" w:type="dxa"/>
            <w:vAlign w:val="bottom"/>
          </w:tcPr>
          <w:p>
            <w:pPr>
              <w:spacing w:after="0"/>
              <w:rPr>
                <w:sz w:val="1"/>
                <w:szCs w:val="1"/>
                <w:color w:val="auto"/>
              </w:rPr>
            </w:pPr>
          </w:p>
        </w:tc>
      </w:tr>
      <w:tr>
        <w:trPr>
          <w:trHeight w:val="256"/>
        </w:trPr>
        <w:tc>
          <w:tcPr>
            <w:tcW w:w="7500" w:type="dxa"/>
            <w:vAlign w:val="bottom"/>
          </w:tcPr>
          <w:p>
            <w:pPr>
              <w:ind w:left="6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20,819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(31,673)</w:t>
            </w:r>
          </w:p>
        </w:tc>
        <w:tc>
          <w:tcPr>
            <w:tcW w:w="0" w:type="dxa"/>
            <w:vAlign w:val="bottom"/>
          </w:tcPr>
          <w:p>
            <w:pPr>
              <w:spacing w:after="0"/>
              <w:rPr>
                <w:sz w:val="1"/>
                <w:szCs w:val="1"/>
                <w:color w:val="auto"/>
              </w:rPr>
            </w:pPr>
          </w:p>
        </w:tc>
      </w:tr>
      <w:tr>
        <w:trPr>
          <w:trHeight w:val="271"/>
        </w:trPr>
        <w:tc>
          <w:tcPr>
            <w:tcW w:w="7500" w:type="dxa"/>
            <w:vAlign w:val="bottom"/>
            <w:shd w:val="clear" w:color="auto" w:fill="DBDBDB"/>
          </w:tcPr>
          <w:p>
            <w:pPr>
              <w:ind w:left="64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21,922</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56"/>
        </w:trPr>
        <w:tc>
          <w:tcPr>
            <w:tcW w:w="7500" w:type="dxa"/>
            <w:vAlign w:val="bottom"/>
            <w:tcBorders>
              <w:bottom w:val="single" w:sz="8" w:color="DBDBDB"/>
            </w:tcBorders>
          </w:tcPr>
          <w:p>
            <w:pPr>
              <w:ind w:left="6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(1,235)</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56"/>
        </w:trPr>
        <w:tc>
          <w:tcPr>
            <w:tcW w:w="7500" w:type="dxa"/>
            <w:vAlign w:val="bottom"/>
            <w:shd w:val="clear" w:color="auto" w:fill="DBDBDB"/>
          </w:tcPr>
          <w:p>
            <w:pPr>
              <w:ind w:left="8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DBDBDB"/>
          </w:tcPr>
          <w:p>
            <w:pPr>
              <w:spacing w:after="0"/>
              <w:rPr>
                <w:sz w:val="22"/>
                <w:szCs w:val="22"/>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199,677</w:t>
            </w:r>
          </w:p>
        </w:tc>
        <w:tc>
          <w:tcPr>
            <w:tcW w:w="80" w:type="dxa"/>
            <w:vAlign w:val="bottom"/>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52,135</w:t>
            </w:r>
          </w:p>
        </w:tc>
        <w:tc>
          <w:tcPr>
            <w:tcW w:w="0" w:type="dxa"/>
            <w:vAlign w:val="bottom"/>
          </w:tcPr>
          <w:p>
            <w:pPr>
              <w:spacing w:after="0"/>
              <w:rPr>
                <w:sz w:val="1"/>
                <w:szCs w:val="1"/>
                <w:color w:val="auto"/>
              </w:rPr>
            </w:pPr>
          </w:p>
        </w:tc>
      </w:tr>
      <w:tr>
        <w:trPr>
          <w:trHeight w:val="237"/>
        </w:trPr>
        <w:tc>
          <w:tcPr>
            <w:tcW w:w="7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DBDBDB"/>
          </w:tcPr>
          <w:p>
            <w:pPr>
              <w:spacing w:after="0"/>
              <w:rPr>
                <w:sz w:val="22"/>
                <w:szCs w:val="22"/>
                <w:color w:val="auto"/>
              </w:rPr>
            </w:pPr>
          </w:p>
        </w:tc>
        <w:tc>
          <w:tcPr>
            <w:tcW w:w="15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0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(32,227)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(40,464)</w:t>
            </w:r>
          </w:p>
        </w:tc>
        <w:tc>
          <w:tcPr>
            <w:tcW w:w="0" w:type="dxa"/>
            <w:vAlign w:val="bottom"/>
          </w:tcPr>
          <w:p>
            <w:pPr>
              <w:spacing w:after="0"/>
              <w:rPr>
                <w:sz w:val="1"/>
                <w:szCs w:val="1"/>
                <w:color w:val="auto"/>
              </w:rPr>
            </w:pPr>
          </w:p>
        </w:tc>
      </w:tr>
      <w:tr>
        <w:trPr>
          <w:trHeight w:val="271"/>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Purchases of intangible assets</w:t>
            </w:r>
          </w:p>
        </w:tc>
        <w:tc>
          <w:tcPr>
            <w:tcW w:w="260" w:type="dxa"/>
            <w:vAlign w:val="bottom"/>
            <w:tcBorders>
              <w:bottom w:val="single" w:sz="8" w:color="auto"/>
            </w:tcBorders>
            <w:shd w:val="clear" w:color="auto" w:fill="DBDBDB"/>
          </w:tcPr>
          <w:p>
            <w:pPr>
              <w:spacing w:after="0"/>
              <w:rPr>
                <w:sz w:val="23"/>
                <w:szCs w:val="23"/>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(128)</w:t>
            </w:r>
          </w:p>
        </w:tc>
        <w:tc>
          <w:tcPr>
            <w:tcW w:w="80" w:type="dxa"/>
            <w:vAlign w:val="bottom"/>
            <w:shd w:val="clear" w:color="auto" w:fill="DBDBDB"/>
          </w:tcPr>
          <w:p>
            <w:pPr>
              <w:spacing w:after="0"/>
              <w:rPr>
                <w:sz w:val="23"/>
                <w:szCs w:val="23"/>
                <w:color w:val="auto"/>
              </w:rPr>
            </w:pPr>
          </w:p>
        </w:tc>
        <w:tc>
          <w:tcPr>
            <w:tcW w:w="22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9"/>
        </w:trPr>
        <w:tc>
          <w:tcPr>
            <w:tcW w:w="7500" w:type="dxa"/>
            <w:vAlign w:val="bottom"/>
            <w:tcBorders>
              <w:bottom w:val="single" w:sz="8" w:color="DBDBDB"/>
            </w:tcBorders>
          </w:tcPr>
          <w:p>
            <w:pPr>
              <w:ind w:left="8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(32,355)</w:t>
            </w: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(40,547)</w:t>
            </w:r>
          </w:p>
        </w:tc>
        <w:tc>
          <w:tcPr>
            <w:tcW w:w="0" w:type="dxa"/>
            <w:vAlign w:val="bottom"/>
          </w:tcPr>
          <w:p>
            <w:pPr>
              <w:spacing w:after="0"/>
              <w:rPr>
                <w:sz w:val="1"/>
                <w:szCs w:val="1"/>
                <w:color w:val="auto"/>
              </w:rPr>
            </w:pPr>
          </w:p>
        </w:tc>
      </w:tr>
      <w:tr>
        <w:trPr>
          <w:trHeight w:val="237"/>
        </w:trPr>
        <w:tc>
          <w:tcPr>
            <w:tcW w:w="75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15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Proceeds from Revolving Credit Facilities</w:t>
            </w:r>
          </w:p>
        </w:tc>
        <w:tc>
          <w:tcPr>
            <w:tcW w:w="26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3,900</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500" w:type="dxa"/>
            <w:vAlign w:val="bottom"/>
          </w:tcPr>
          <w:p>
            <w:pPr>
              <w:ind w:left="220"/>
              <w:spacing w:after="0"/>
              <w:rPr>
                <w:sz w:val="20"/>
                <w:szCs w:val="20"/>
                <w:color w:val="auto"/>
              </w:rPr>
            </w:pPr>
            <w:r>
              <w:rPr>
                <w:rFonts w:ascii="Arial" w:cs="Arial" w:eastAsia="Arial" w:hAnsi="Arial"/>
                <w:sz w:val="18"/>
                <w:szCs w:val="18"/>
                <w:color w:val="auto"/>
              </w:rPr>
              <w:t>Repayment of Revolving Credit Facilities</w:t>
            </w: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(3,900)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Repayment of Term Loan</w:t>
            </w:r>
          </w:p>
        </w:tc>
        <w:tc>
          <w:tcPr>
            <w:tcW w:w="26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56"/>
        </w:trPr>
        <w:tc>
          <w:tcPr>
            <w:tcW w:w="7500" w:type="dxa"/>
            <w:vAlign w:val="bottom"/>
          </w:tcPr>
          <w:p>
            <w:pPr>
              <w:ind w:left="220"/>
              <w:spacing w:after="0"/>
              <w:rPr>
                <w:sz w:val="20"/>
                <w:szCs w:val="20"/>
                <w:color w:val="auto"/>
              </w:rPr>
            </w:pPr>
            <w:r>
              <w:rPr>
                <w:rFonts w:ascii="Arial" w:cs="Arial" w:eastAsia="Arial" w:hAnsi="Arial"/>
                <w:sz w:val="18"/>
                <w:szCs w:val="18"/>
                <w:color w:val="auto"/>
              </w:rPr>
              <w:t>Debt issuance fees</w:t>
            </w: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(5,690)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Repurchase of common stock for retirement</w:t>
            </w:r>
          </w:p>
        </w:tc>
        <w:tc>
          <w:tcPr>
            <w:tcW w:w="26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(122,425)</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(50,015)</w:t>
            </w:r>
          </w:p>
        </w:tc>
        <w:tc>
          <w:tcPr>
            <w:tcW w:w="0" w:type="dxa"/>
            <w:vAlign w:val="bottom"/>
          </w:tcPr>
          <w:p>
            <w:pPr>
              <w:spacing w:after="0"/>
              <w:rPr>
                <w:sz w:val="1"/>
                <w:szCs w:val="1"/>
                <w:color w:val="auto"/>
              </w:rPr>
            </w:pPr>
          </w:p>
        </w:tc>
      </w:tr>
      <w:tr>
        <w:trPr>
          <w:trHeight w:val="256"/>
        </w:trPr>
        <w:tc>
          <w:tcPr>
            <w:tcW w:w="750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2,789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71"/>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26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(2,839)</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56"/>
        </w:trPr>
        <w:tc>
          <w:tcPr>
            <w:tcW w:w="750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(8,182)</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56"/>
        </w:trPr>
        <w:tc>
          <w:tcPr>
            <w:tcW w:w="7500" w:type="dxa"/>
            <w:vAlign w:val="bottom"/>
            <w:shd w:val="clear" w:color="auto" w:fill="DBDBDB"/>
          </w:tcPr>
          <w:p>
            <w:pPr>
              <w:ind w:left="8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DBDBDB"/>
          </w:tcPr>
          <w:p>
            <w:pPr>
              <w:spacing w:after="0"/>
              <w:rPr>
                <w:sz w:val="22"/>
                <w:szCs w:val="22"/>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(137,097)</w:t>
            </w:r>
          </w:p>
        </w:tc>
        <w:tc>
          <w:tcPr>
            <w:tcW w:w="80" w:type="dxa"/>
            <w:vAlign w:val="bottom"/>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(53,197)</w:t>
            </w:r>
          </w:p>
        </w:tc>
        <w:tc>
          <w:tcPr>
            <w:tcW w:w="0" w:type="dxa"/>
            <w:vAlign w:val="bottom"/>
          </w:tcPr>
          <w:p>
            <w:pPr>
              <w:spacing w:after="0"/>
              <w:rPr>
                <w:sz w:val="1"/>
                <w:szCs w:val="1"/>
                <w:color w:val="auto"/>
              </w:rPr>
            </w:pPr>
          </w:p>
        </w:tc>
      </w:tr>
      <w:tr>
        <w:trPr>
          <w:trHeight w:val="237"/>
        </w:trPr>
        <w:tc>
          <w:tcPr>
            <w:tcW w:w="7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60" w:type="dxa"/>
            <w:vAlign w:val="bottom"/>
            <w:shd w:val="clear" w:color="auto" w:fill="DBDBDB"/>
          </w:tcPr>
          <w:p>
            <w:pPr>
              <w:spacing w:after="0"/>
              <w:rPr>
                <w:sz w:val="22"/>
                <w:szCs w:val="22"/>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30,225</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(41,609)</w:t>
            </w:r>
          </w:p>
        </w:tc>
        <w:tc>
          <w:tcPr>
            <w:tcW w:w="0" w:type="dxa"/>
            <w:vAlign w:val="bottom"/>
          </w:tcPr>
          <w:p>
            <w:pPr>
              <w:spacing w:after="0"/>
              <w:rPr>
                <w:sz w:val="1"/>
                <w:szCs w:val="1"/>
                <w:color w:val="auto"/>
              </w:rPr>
            </w:pPr>
          </w:p>
        </w:tc>
      </w:tr>
      <w:tr>
        <w:trPr>
          <w:trHeight w:val="256"/>
        </w:trPr>
        <w:tc>
          <w:tcPr>
            <w:tcW w:w="7500" w:type="dxa"/>
            <w:vAlign w:val="bottom"/>
            <w:tcBorders>
              <w:bottom w:val="single" w:sz="8" w:color="DBDBDB"/>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347,920</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337,145</w:t>
            </w:r>
          </w:p>
        </w:tc>
        <w:tc>
          <w:tcPr>
            <w:tcW w:w="0" w:type="dxa"/>
            <w:vAlign w:val="bottom"/>
          </w:tcPr>
          <w:p>
            <w:pPr>
              <w:spacing w:after="0"/>
              <w:rPr>
                <w:sz w:val="1"/>
                <w:szCs w:val="1"/>
                <w:color w:val="auto"/>
              </w:rPr>
            </w:pPr>
          </w:p>
        </w:tc>
      </w:tr>
      <w:tr>
        <w:trPr>
          <w:trHeight w:val="288"/>
        </w:trPr>
        <w:tc>
          <w:tcPr>
            <w:tcW w:w="75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378,145</w:t>
            </w:r>
          </w:p>
        </w:tc>
        <w:tc>
          <w:tcPr>
            <w:tcW w:w="80" w:type="dxa"/>
            <w:vAlign w:val="bottom"/>
            <w:tcBorders>
              <w:bottom w:val="single" w:sz="8" w:color="DBDBDB"/>
            </w:tcBorders>
            <w:shd w:val="clear" w:color="auto" w:fill="DBDBDB"/>
          </w:tcPr>
          <w:p>
            <w:pPr>
              <w:spacing w:after="0"/>
              <w:rPr>
                <w:sz w:val="24"/>
                <w:szCs w:val="24"/>
                <w:color w:val="auto"/>
              </w:rPr>
            </w:pPr>
          </w:p>
        </w:tc>
        <w:tc>
          <w:tcPr>
            <w:tcW w:w="2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295,536</w:t>
            </w:r>
          </w:p>
        </w:tc>
        <w:tc>
          <w:tcPr>
            <w:tcW w:w="0" w:type="dxa"/>
            <w:vAlign w:val="bottom"/>
          </w:tcPr>
          <w:p>
            <w:pPr>
              <w:spacing w:after="0"/>
              <w:rPr>
                <w:sz w:val="1"/>
                <w:szCs w:val="1"/>
                <w:color w:val="auto"/>
              </w:rPr>
            </w:pPr>
          </w:p>
        </w:tc>
      </w:tr>
      <w:tr>
        <w:trPr>
          <w:trHeight w:val="20"/>
        </w:trPr>
        <w:tc>
          <w:tcPr>
            <w:tcW w:w="7500" w:type="dxa"/>
            <w:vAlign w:val="bottom"/>
            <w:tcBorders>
              <w:top w:val="single" w:sz="8" w:color="DBDBDB"/>
              <w:bottom w:val="single" w:sz="8" w:color="DBDBDB"/>
            </w:tcBorders>
            <w:vMerge w:val="restart"/>
          </w:tcPr>
          <w:p>
            <w:pPr>
              <w:ind w:left="5540"/>
              <w:spacing w:after="0"/>
              <w:rPr>
                <w:sz w:val="20"/>
                <w:szCs w:val="20"/>
                <w:color w:val="auto"/>
              </w:rPr>
            </w:pPr>
            <w:r>
              <w:rPr>
                <w:rFonts w:ascii="Arial" w:cs="Arial" w:eastAsia="Arial" w:hAnsi="Arial"/>
                <w:sz w:val="14"/>
                <w:szCs w:val="14"/>
                <w:color w:val="auto"/>
              </w:rPr>
              <w:t>6</w:t>
            </w: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8"/>
        </w:trPr>
        <w:tc>
          <w:tcPr>
            <w:tcW w:w="7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-7012940</wp:posOffset>
            </wp:positionV>
            <wp:extent cx="23393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3934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-7188200</wp:posOffset>
            </wp:positionV>
            <wp:extent cx="23393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39340" cy="8255"/>
                    </a:xfrm>
                    <a:prstGeom prst="rect">
                      <a:avLst/>
                    </a:prstGeom>
                    <a:noFill/>
                  </pic:spPr>
                </pic:pic>
              </a:graphicData>
            </a:graphic>
          </wp:anchor>
        </w:drawing>
      </w:r>
    </w:p>
    <w:p>
      <w:pPr>
        <w:sectPr>
          <w:pgSz w:w="11900" w:h="16838" w:orient="portrait"/>
          <w:cols w:equalWidth="0" w:num="1">
            <w:col w:w="11180"/>
          </w:cols>
          <w:pgMar w:left="360" w:top="739" w:right="359" w:bottom="1440" w:gutter="0" w:footer="0" w:header="0"/>
        </w:sectPr>
      </w:pPr>
    </w:p>
    <w:bookmarkStart w:id="9" w:name="page10"/>
    <w:bookmarkEnd w:id="9"/>
    <w:p>
      <w:pPr>
        <w:jc w:val="center"/>
        <w:spacing w:after="0" w:line="251" w:lineRule="auto"/>
        <w:rPr>
          <w:sz w:val="20"/>
          <w:szCs w:val="20"/>
          <w:color w:val="auto"/>
        </w:rPr>
      </w:pPr>
      <w:r>
        <w:rPr>
          <w:rFonts w:ascii="Arial" w:cs="Arial" w:eastAsia="Arial" w:hAnsi="Arial"/>
          <w:sz w:val="18"/>
          <w:szCs w:val="18"/>
          <w:b w:val="1"/>
          <w:bCs w:val="1"/>
          <w:color w:val="auto"/>
        </w:rPr>
        <w:t>ACADEMY SPORTS AND OUTDOORS, INC. RECONCILIATIONS OF GAAP TO NON-GAAP FINANCIAL MEASURES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2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and other adjustments included in the table below. We define “Adjusted EBIT” as Adjusted EBITDA less depreciation and</w:t>
      </w:r>
    </w:p>
    <w:p>
      <w:pPr>
        <w:spacing w:after="0" w:line="231" w:lineRule="auto"/>
        <w:rPr>
          <w:sz w:val="20"/>
          <w:szCs w:val="20"/>
          <w:color w:val="auto"/>
        </w:rPr>
      </w:pPr>
      <w:r>
        <w:rPr>
          <w:rFonts w:ascii="Arial" w:cs="Arial" w:eastAsia="Arial" w:hAnsi="Arial"/>
          <w:sz w:val="18"/>
          <w:szCs w:val="18"/>
          <w:color w:val="auto"/>
        </w:rPr>
        <w:t>amortization. We describe these adjustments reconciling net income (loss) to Adjusted EBITDA and Adjusted EBIT in the following table (amounts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00" w:type="dxa"/>
            <w:vAlign w:val="bottom"/>
          </w:tcPr>
          <w:p>
            <w:pPr>
              <w:spacing w:after="0"/>
              <w:rPr>
                <w:sz w:val="20"/>
                <w:szCs w:val="20"/>
                <w:color w:val="auto"/>
              </w:rPr>
            </w:pPr>
          </w:p>
        </w:tc>
        <w:tc>
          <w:tcPr>
            <w:tcW w:w="240" w:type="dxa"/>
            <w:vAlign w:val="bottom"/>
            <w:shd w:val="clear" w:color="auto" w:fill="0A2299"/>
          </w:tcPr>
          <w:p>
            <w:pPr>
              <w:spacing w:after="0"/>
              <w:rPr>
                <w:sz w:val="20"/>
                <w:szCs w:val="20"/>
                <w:color w:val="auto"/>
              </w:rPr>
            </w:pPr>
          </w:p>
        </w:tc>
        <w:tc>
          <w:tcPr>
            <w:tcW w:w="3200" w:type="dxa"/>
            <w:vAlign w:val="bottom"/>
            <w:gridSpan w:val="4"/>
            <w:shd w:val="clear" w:color="auto" w:fill="0A2299"/>
          </w:tcPr>
          <w:p>
            <w:pPr>
              <w:jc w:val="right"/>
              <w:ind w:right="801"/>
              <w:spacing w:after="0"/>
              <w:rPr>
                <w:sz w:val="20"/>
                <w:szCs w:val="20"/>
                <w:color w:val="auto"/>
              </w:rPr>
            </w:pPr>
            <w:r>
              <w:rPr>
                <w:rFonts w:ascii="Arial" w:cs="Arial" w:eastAsia="Arial" w:hAnsi="Arial"/>
                <w:sz w:val="16"/>
                <w:szCs w:val="16"/>
                <w:b w:val="1"/>
                <w:bCs w:val="1"/>
                <w:color w:val="FFFFFF"/>
              </w:rPr>
              <w:t>Thirteen Weeks Ended</w:t>
            </w:r>
          </w:p>
        </w:tc>
      </w:tr>
      <w:tr>
        <w:trPr>
          <w:trHeight w:val="250"/>
        </w:trPr>
        <w:tc>
          <w:tcPr>
            <w:tcW w:w="7800" w:type="dxa"/>
            <w:vAlign w:val="bottom"/>
          </w:tcPr>
          <w:p>
            <w:pPr>
              <w:spacing w:after="0"/>
              <w:rPr>
                <w:sz w:val="21"/>
                <w:szCs w:val="21"/>
                <w:color w:val="auto"/>
              </w:rPr>
            </w:pPr>
          </w:p>
        </w:tc>
        <w:tc>
          <w:tcPr>
            <w:tcW w:w="240" w:type="dxa"/>
            <w:vAlign w:val="bottom"/>
            <w:shd w:val="clear" w:color="auto" w:fill="0A2299"/>
          </w:tcPr>
          <w:p>
            <w:pPr>
              <w:spacing w:after="0"/>
              <w:rPr>
                <w:sz w:val="21"/>
                <w:szCs w:val="21"/>
                <w:color w:val="auto"/>
              </w:rPr>
            </w:pPr>
          </w:p>
        </w:tc>
        <w:tc>
          <w:tcPr>
            <w:tcW w:w="1540" w:type="dxa"/>
            <w:vAlign w:val="bottom"/>
            <w:gridSpan w:val="2"/>
            <w:shd w:val="clear" w:color="auto" w:fill="0A2299"/>
          </w:tcPr>
          <w:p>
            <w:pPr>
              <w:ind w:left="160"/>
              <w:spacing w:after="0"/>
              <w:rPr>
                <w:sz w:val="20"/>
                <w:szCs w:val="20"/>
                <w:color w:val="auto"/>
              </w:rPr>
            </w:pPr>
            <w:r>
              <w:rPr>
                <w:rFonts w:ascii="Arial" w:cs="Arial" w:eastAsia="Arial" w:hAnsi="Arial"/>
                <w:sz w:val="16"/>
                <w:szCs w:val="16"/>
                <w:b w:val="1"/>
                <w:bCs w:val="1"/>
                <w:color w:val="FFFFFF"/>
              </w:rPr>
              <w:t>May 4, 2024</w:t>
            </w:r>
          </w:p>
        </w:tc>
        <w:tc>
          <w:tcPr>
            <w:tcW w:w="200" w:type="dxa"/>
            <w:vAlign w:val="bottom"/>
            <w:shd w:val="clear" w:color="auto" w:fill="0A2299"/>
          </w:tcPr>
          <w:p>
            <w:pPr>
              <w:spacing w:after="0"/>
              <w:rPr>
                <w:sz w:val="21"/>
                <w:szCs w:val="21"/>
                <w:color w:val="auto"/>
              </w:rPr>
            </w:pPr>
          </w:p>
        </w:tc>
        <w:tc>
          <w:tcPr>
            <w:tcW w:w="1460" w:type="dxa"/>
            <w:vAlign w:val="bottom"/>
            <w:shd w:val="clear" w:color="auto" w:fill="0A2299"/>
          </w:tcPr>
          <w:p>
            <w:pPr>
              <w:jc w:val="right"/>
              <w:ind w:right="241"/>
              <w:spacing w:after="0"/>
              <w:rPr>
                <w:sz w:val="20"/>
                <w:szCs w:val="20"/>
                <w:color w:val="auto"/>
              </w:rPr>
            </w:pPr>
            <w:r>
              <w:rPr>
                <w:rFonts w:ascii="Arial" w:cs="Arial" w:eastAsia="Arial" w:hAnsi="Arial"/>
                <w:sz w:val="16"/>
                <w:szCs w:val="16"/>
                <w:b w:val="1"/>
                <w:bCs w:val="1"/>
                <w:color w:val="FFFFFF"/>
              </w:rPr>
              <w:t>April 29, 2023</w:t>
            </w:r>
          </w:p>
        </w:tc>
      </w:tr>
      <w:tr>
        <w:trPr>
          <w:trHeight w:val="250"/>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DBDBDB"/>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76,465</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93,970</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b w:val="1"/>
                <w:bCs w:val="1"/>
                <w:color w:val="auto"/>
              </w:rPr>
              <w:t>9,486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11,230</w:t>
            </w:r>
          </w:p>
        </w:tc>
      </w:tr>
      <w:tr>
        <w:trPr>
          <w:trHeight w:val="241"/>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shd w:val="clear" w:color="auto" w:fill="DBDBDB"/>
          </w:tcPr>
          <w:p>
            <w:pPr>
              <w:spacing w:after="0"/>
              <w:rPr>
                <w:sz w:val="20"/>
                <w:szCs w:val="20"/>
                <w:color w:val="auto"/>
              </w:rPr>
            </w:pPr>
          </w:p>
        </w:tc>
        <w:tc>
          <w:tcPr>
            <w:tcW w:w="144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21,187</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24,709</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b w:val="1"/>
                <w:bCs w:val="1"/>
                <w:color w:val="auto"/>
              </w:rPr>
              <w:t>28,853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26,261</w:t>
            </w:r>
          </w:p>
        </w:tc>
      </w:tr>
      <w:tr>
        <w:trPr>
          <w:trHeight w:val="241"/>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Equity compensation (a)</w:t>
            </w:r>
          </w:p>
        </w:tc>
        <w:tc>
          <w:tcPr>
            <w:tcW w:w="240" w:type="dxa"/>
            <w:vAlign w:val="bottom"/>
            <w:shd w:val="clear" w:color="auto" w:fill="DBDBDB"/>
          </w:tcPr>
          <w:p>
            <w:pPr>
              <w:spacing w:after="0"/>
              <w:rPr>
                <w:sz w:val="20"/>
                <w:szCs w:val="20"/>
                <w:color w:val="auto"/>
              </w:rPr>
            </w:pPr>
          </w:p>
        </w:tc>
        <w:tc>
          <w:tcPr>
            <w:tcW w:w="144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6,138</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11,382</w:t>
            </w:r>
          </w:p>
        </w:tc>
      </w:tr>
      <w:tr>
        <w:trPr>
          <w:trHeight w:val="233"/>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Write off of deferred loan costs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449</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EBITDA (b)</w:t>
            </w:r>
          </w:p>
        </w:tc>
        <w:tc>
          <w:tcPr>
            <w:tcW w:w="240" w:type="dxa"/>
            <w:vAlign w:val="bottom"/>
            <w:tcBorders>
              <w:bottom w:val="single" w:sz="8" w:color="auto"/>
            </w:tcBorders>
            <w:shd w:val="clear" w:color="auto" w:fill="DBDBDB"/>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142,578</w:t>
            </w:r>
          </w:p>
        </w:tc>
        <w:tc>
          <w:tcPr>
            <w:tcW w:w="10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167,552</w:t>
            </w:r>
          </w:p>
        </w:tc>
      </w:tr>
      <w:tr>
        <w:trPr>
          <w:trHeight w:val="230"/>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Depreciation and amortization</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(28,853)</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(26,261)</w:t>
            </w:r>
          </w:p>
        </w:tc>
      </w:tr>
      <w:tr>
        <w:trPr>
          <w:trHeight w:val="259"/>
        </w:trPr>
        <w:tc>
          <w:tcPr>
            <w:tcW w:w="78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Adjusted EBIT (b)</w:t>
            </w:r>
          </w:p>
        </w:tc>
        <w:tc>
          <w:tcPr>
            <w:tcW w:w="240" w:type="dxa"/>
            <w:vAlign w:val="bottom"/>
            <w:tcBorders>
              <w:bottom w:val="single" w:sz="8" w:color="auto"/>
            </w:tcBorders>
            <w:shd w:val="clear" w:color="auto" w:fill="DBDBDB"/>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113,725</w:t>
            </w:r>
          </w:p>
        </w:tc>
        <w:tc>
          <w:tcPr>
            <w:tcW w:w="10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141,291</w:t>
            </w:r>
          </w:p>
        </w:tc>
      </w:tr>
      <w:tr>
        <w:trPr>
          <w:trHeight w:val="20"/>
        </w:trPr>
        <w:tc>
          <w:tcPr>
            <w:tcW w:w="78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4949825</wp:posOffset>
            </wp:positionH>
            <wp:positionV relativeFrom="paragraph">
              <wp:posOffset>-1419860</wp:posOffset>
            </wp:positionV>
            <wp:extent cx="21894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89480"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-1578610</wp:posOffset>
            </wp:positionV>
            <wp:extent cx="21894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89480" cy="8255"/>
                    </a:xfrm>
                    <a:prstGeom prst="rect">
                      <a:avLst/>
                    </a:prstGeom>
                    <a:noFill/>
                  </pic:spPr>
                </pic:pic>
              </a:graphicData>
            </a:graphic>
          </wp:anchor>
        </w:drawing>
      </w:r>
    </w:p>
    <w:p>
      <w:pPr>
        <w:spacing w:after="0" w:line="107" w:lineRule="exact"/>
        <w:rPr>
          <w:sz w:val="20"/>
          <w:szCs w:val="20"/>
          <w:color w:val="auto"/>
        </w:rPr>
      </w:pPr>
    </w:p>
    <w:p>
      <w:pPr>
        <w:ind w:left="400" w:right="20" w:hanging="377"/>
        <w:spacing w:after="0" w:line="297" w:lineRule="auto"/>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non-cash charges related to equity-based compensation, which vary from period to period depending on certain factors such as timing and valuation of awards, achievement of performance targets and equity award forfeitures.</w:t>
      </w:r>
    </w:p>
    <w:p>
      <w:pPr>
        <w:ind w:left="400" w:right="20" w:hanging="377"/>
        <w:spacing w:after="0" w:line="314" w:lineRule="auto"/>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Effective January 28, 2023, we no longer exclude pre-opening expenses from our computations of Adjusted EBITDA and Adjusted EBIT. Adjusted EBITDA and Adjusted EBIT for the thirteen weeks ended April 29, 2023 have been revised to the current period computation methodology.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97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Adjusted Net Income and Adjusted Earnings Per Common Share</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define “Adjusted Net Income” as net income (loss) plus other adjustments included in the table below,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 (amounts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80" w:type="dxa"/>
            <w:vAlign w:val="bottom"/>
          </w:tcPr>
          <w:p>
            <w:pPr>
              <w:spacing w:after="0"/>
              <w:rPr>
                <w:sz w:val="20"/>
                <w:szCs w:val="20"/>
                <w:color w:val="auto"/>
              </w:rPr>
            </w:pPr>
          </w:p>
        </w:tc>
        <w:tc>
          <w:tcPr>
            <w:tcW w:w="240" w:type="dxa"/>
            <w:vAlign w:val="bottom"/>
            <w:shd w:val="clear" w:color="auto" w:fill="0A2299"/>
          </w:tcPr>
          <w:p>
            <w:pPr>
              <w:spacing w:after="0"/>
              <w:rPr>
                <w:sz w:val="20"/>
                <w:szCs w:val="20"/>
                <w:color w:val="auto"/>
              </w:rPr>
            </w:pPr>
          </w:p>
        </w:tc>
        <w:tc>
          <w:tcPr>
            <w:tcW w:w="3420" w:type="dxa"/>
            <w:vAlign w:val="bottom"/>
            <w:gridSpan w:val="4"/>
            <w:shd w:val="clear" w:color="auto" w:fill="0A2299"/>
          </w:tcPr>
          <w:p>
            <w:pPr>
              <w:jc w:val="right"/>
              <w:ind w:right="901"/>
              <w:spacing w:after="0"/>
              <w:rPr>
                <w:sz w:val="20"/>
                <w:szCs w:val="20"/>
                <w:color w:val="auto"/>
              </w:rPr>
            </w:pPr>
            <w:r>
              <w:rPr>
                <w:rFonts w:ascii="Arial" w:cs="Arial" w:eastAsia="Arial" w:hAnsi="Arial"/>
                <w:sz w:val="16"/>
                <w:szCs w:val="16"/>
                <w:b w:val="1"/>
                <w:bCs w:val="1"/>
                <w:color w:val="FFFFFF"/>
              </w:rPr>
              <w:t>Thirteen Weeks Ended</w:t>
            </w:r>
          </w:p>
        </w:tc>
      </w:tr>
      <w:tr>
        <w:trPr>
          <w:trHeight w:val="250"/>
        </w:trPr>
        <w:tc>
          <w:tcPr>
            <w:tcW w:w="7580" w:type="dxa"/>
            <w:vAlign w:val="bottom"/>
          </w:tcPr>
          <w:p>
            <w:pPr>
              <w:spacing w:after="0"/>
              <w:rPr>
                <w:sz w:val="21"/>
                <w:szCs w:val="21"/>
                <w:color w:val="auto"/>
              </w:rPr>
            </w:pPr>
          </w:p>
        </w:tc>
        <w:tc>
          <w:tcPr>
            <w:tcW w:w="240" w:type="dxa"/>
            <w:vAlign w:val="bottom"/>
            <w:shd w:val="clear" w:color="auto" w:fill="0A2299"/>
          </w:tcPr>
          <w:p>
            <w:pPr>
              <w:spacing w:after="0"/>
              <w:rPr>
                <w:sz w:val="21"/>
                <w:szCs w:val="21"/>
                <w:color w:val="auto"/>
              </w:rPr>
            </w:pPr>
          </w:p>
        </w:tc>
        <w:tc>
          <w:tcPr>
            <w:tcW w:w="1400" w:type="dxa"/>
            <w:vAlign w:val="bottom"/>
            <w:shd w:val="clear" w:color="auto" w:fill="0A2299"/>
          </w:tcPr>
          <w:p>
            <w:pPr>
              <w:jc w:val="right"/>
              <w:ind w:right="301"/>
              <w:spacing w:after="0"/>
              <w:rPr>
                <w:sz w:val="20"/>
                <w:szCs w:val="20"/>
                <w:color w:val="auto"/>
              </w:rPr>
            </w:pPr>
            <w:r>
              <w:rPr>
                <w:rFonts w:ascii="Arial" w:cs="Arial" w:eastAsia="Arial" w:hAnsi="Arial"/>
                <w:sz w:val="16"/>
                <w:szCs w:val="16"/>
                <w:b w:val="1"/>
                <w:bCs w:val="1"/>
                <w:color w:val="FFFFFF"/>
              </w:rPr>
              <w:t>May 4, 2024</w:t>
            </w:r>
          </w:p>
        </w:tc>
        <w:tc>
          <w:tcPr>
            <w:tcW w:w="360" w:type="dxa"/>
            <w:vAlign w:val="bottom"/>
            <w:shd w:val="clear" w:color="auto" w:fill="0A2299"/>
          </w:tcPr>
          <w:p>
            <w:pPr>
              <w:spacing w:after="0"/>
              <w:rPr>
                <w:sz w:val="21"/>
                <w:szCs w:val="21"/>
                <w:color w:val="auto"/>
              </w:rPr>
            </w:pPr>
          </w:p>
        </w:tc>
        <w:tc>
          <w:tcPr>
            <w:tcW w:w="220" w:type="dxa"/>
            <w:vAlign w:val="bottom"/>
            <w:shd w:val="clear" w:color="auto" w:fill="0A2299"/>
          </w:tcPr>
          <w:p>
            <w:pPr>
              <w:spacing w:after="0"/>
              <w:rPr>
                <w:sz w:val="21"/>
                <w:szCs w:val="21"/>
                <w:color w:val="auto"/>
              </w:rPr>
            </w:pPr>
          </w:p>
        </w:tc>
        <w:tc>
          <w:tcPr>
            <w:tcW w:w="1440" w:type="dxa"/>
            <w:vAlign w:val="bottom"/>
            <w:shd w:val="clear" w:color="auto" w:fill="0A2299"/>
          </w:tcPr>
          <w:p>
            <w:pPr>
              <w:jc w:val="right"/>
              <w:ind w:right="241"/>
              <w:spacing w:after="0"/>
              <w:rPr>
                <w:sz w:val="20"/>
                <w:szCs w:val="20"/>
                <w:color w:val="auto"/>
              </w:rPr>
            </w:pPr>
            <w:r>
              <w:rPr>
                <w:rFonts w:ascii="Arial" w:cs="Arial" w:eastAsia="Arial" w:hAnsi="Arial"/>
                <w:sz w:val="16"/>
                <w:szCs w:val="16"/>
                <w:b w:val="1"/>
                <w:bCs w:val="1"/>
                <w:color w:val="FFFFFF"/>
              </w:rPr>
              <w:t>April 29, 2023</w:t>
            </w:r>
          </w:p>
        </w:tc>
      </w:tr>
      <w:tr>
        <w:trPr>
          <w:trHeight w:val="250"/>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DBDBDB"/>
          </w:tcPr>
          <w:p>
            <w:pPr>
              <w:jc w:val="right"/>
              <w:ind w:right="41"/>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76,465</w:t>
            </w:r>
          </w:p>
        </w:tc>
        <w:tc>
          <w:tcPr>
            <w:tcW w:w="58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93,970</w:t>
            </w:r>
          </w:p>
        </w:tc>
      </w:tr>
      <w:tr>
        <w:trPr>
          <w:trHeight w:val="233"/>
        </w:trPr>
        <w:tc>
          <w:tcPr>
            <w:tcW w:w="7580" w:type="dxa"/>
            <w:vAlign w:val="bottom"/>
          </w:tcPr>
          <w:p>
            <w:pPr>
              <w:ind w:left="20"/>
              <w:spacing w:after="0"/>
              <w:rPr>
                <w:sz w:val="20"/>
                <w:szCs w:val="20"/>
                <w:color w:val="auto"/>
              </w:rPr>
            </w:pPr>
            <w:r>
              <w:rPr>
                <w:rFonts w:ascii="Arial" w:cs="Arial" w:eastAsia="Arial" w:hAnsi="Arial"/>
                <w:sz w:val="16"/>
                <w:szCs w:val="16"/>
                <w:color w:val="auto"/>
              </w:rPr>
              <w:t>Equity compensation (a)</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6,138</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11,382</w:t>
            </w:r>
          </w:p>
        </w:tc>
      </w:tr>
      <w:tr>
        <w:trPr>
          <w:trHeight w:val="241"/>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Write off of deferred loan costs</w:t>
            </w:r>
          </w:p>
        </w:tc>
        <w:tc>
          <w:tcPr>
            <w:tcW w:w="240" w:type="dxa"/>
            <w:vAlign w:val="bottom"/>
            <w:shd w:val="clear" w:color="auto" w:fill="DBDBDB"/>
          </w:tcPr>
          <w:p>
            <w:pPr>
              <w:spacing w:after="0"/>
              <w:rPr>
                <w:sz w:val="20"/>
                <w:szCs w:val="20"/>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449</w:t>
            </w:r>
          </w:p>
        </w:tc>
        <w:tc>
          <w:tcPr>
            <w:tcW w:w="3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Tax effects of these adjustments (b)</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(1,432)</w:t>
            </w:r>
          </w:p>
        </w:tc>
        <w:tc>
          <w:tcPr>
            <w:tcW w:w="36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w:t>
            </w:r>
          </w:p>
        </w:tc>
      </w:tr>
      <w:tr>
        <w:trPr>
          <w:trHeight w:val="234"/>
        </w:trPr>
        <w:tc>
          <w:tcPr>
            <w:tcW w:w="7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Net Income (c)</w:t>
            </w:r>
          </w:p>
        </w:tc>
        <w:tc>
          <w:tcPr>
            <w:tcW w:w="240" w:type="dxa"/>
            <w:vAlign w:val="bottom"/>
            <w:shd w:val="clear" w:color="auto" w:fill="DBDBDB"/>
          </w:tcPr>
          <w:p>
            <w:pPr>
              <w:jc w:val="right"/>
              <w:ind w:right="41"/>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81,620</w:t>
            </w:r>
          </w:p>
        </w:tc>
        <w:tc>
          <w:tcPr>
            <w:tcW w:w="58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 — $</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102,982</w:t>
            </w:r>
          </w:p>
        </w:tc>
      </w:tr>
      <w:tr>
        <w:trPr>
          <w:trHeight w:val="145"/>
        </w:trPr>
        <w:tc>
          <w:tcPr>
            <w:tcW w:w="7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3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Earnings per common share:</w:t>
            </w:r>
          </w:p>
        </w:tc>
        <w:tc>
          <w:tcPr>
            <w:tcW w:w="240" w:type="dxa"/>
            <w:vAlign w:val="bottom"/>
            <w:shd w:val="clear" w:color="auto" w:fill="DBDBDB"/>
          </w:tcPr>
          <w:p>
            <w:pPr>
              <w:spacing w:after="0"/>
              <w:rPr>
                <w:sz w:val="20"/>
                <w:szCs w:val="20"/>
                <w:color w:val="auto"/>
              </w:rPr>
            </w:pPr>
          </w:p>
        </w:tc>
        <w:tc>
          <w:tcPr>
            <w:tcW w:w="14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r>
      <w:tr>
        <w:trPr>
          <w:trHeight w:val="233"/>
        </w:trPr>
        <w:tc>
          <w:tcPr>
            <w:tcW w:w="7580" w:type="dxa"/>
            <w:vAlign w:val="bottom"/>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41"/>
        </w:trPr>
        <w:tc>
          <w:tcPr>
            <w:tcW w:w="7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DBDBDB"/>
          </w:tcPr>
          <w:p>
            <w:pPr>
              <w:jc w:val="right"/>
              <w:ind w:right="41"/>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1.01</w:t>
            </w:r>
          </w:p>
        </w:tc>
        <w:tc>
          <w:tcPr>
            <w:tcW w:w="58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w:t>
            </w:r>
          </w:p>
        </w:tc>
      </w:tr>
      <w:tr>
        <w:trPr>
          <w:trHeight w:val="229"/>
        </w:trPr>
        <w:tc>
          <w:tcPr>
            <w:tcW w:w="7580" w:type="dxa"/>
            <w:vAlign w:val="bottom"/>
          </w:tcPr>
          <w:p>
            <w:pPr>
              <w:ind w:left="20"/>
              <w:spacing w:after="0"/>
              <w:rPr>
                <w:sz w:val="20"/>
                <w:szCs w:val="20"/>
                <w:color w:val="auto"/>
              </w:rPr>
            </w:pPr>
            <w:r>
              <w:rPr>
                <w:rFonts w:ascii="Arial" w:cs="Arial" w:eastAsia="Arial" w:hAnsi="Arial"/>
                <w:sz w:val="16"/>
                <w:szCs w:val="16"/>
                <w:color w:val="auto"/>
              </w:rPr>
              <w:t>Adjusted earnings per common share:</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5"/>
        </w:trPr>
        <w:tc>
          <w:tcPr>
            <w:tcW w:w="7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DBDBDB"/>
          </w:tcPr>
          <w:p>
            <w:pPr>
              <w:jc w:val="right"/>
              <w:ind w:right="41"/>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1.10</w:t>
            </w:r>
          </w:p>
        </w:tc>
        <w:tc>
          <w:tcPr>
            <w:tcW w:w="58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w:t>
            </w:r>
          </w:p>
        </w:tc>
      </w:tr>
      <w:tr>
        <w:trPr>
          <w:trHeight w:val="233"/>
        </w:trPr>
        <w:tc>
          <w:tcPr>
            <w:tcW w:w="7580" w:type="dxa"/>
            <w:vAlign w:val="bottom"/>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1.08</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41"/>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shd w:val="clear" w:color="auto" w:fill="DBDBDB"/>
          </w:tcPr>
          <w:p>
            <w:pPr>
              <w:spacing w:after="0"/>
              <w:rPr>
                <w:sz w:val="20"/>
                <w:szCs w:val="20"/>
                <w:color w:val="auto"/>
              </w:rPr>
            </w:pPr>
          </w:p>
        </w:tc>
        <w:tc>
          <w:tcPr>
            <w:tcW w:w="14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r>
      <w:tr>
        <w:trPr>
          <w:trHeight w:val="233"/>
        </w:trPr>
        <w:tc>
          <w:tcPr>
            <w:tcW w:w="7580" w:type="dxa"/>
            <w:vAlign w:val="bottom"/>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73,993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76,862</w:t>
            </w:r>
          </w:p>
        </w:tc>
      </w:tr>
      <w:tr>
        <w:trPr>
          <w:trHeight w:val="241"/>
        </w:trPr>
        <w:tc>
          <w:tcPr>
            <w:tcW w:w="7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DBDBDB"/>
          </w:tcPr>
          <w:p>
            <w:pPr>
              <w:spacing w:after="0"/>
              <w:rPr>
                <w:sz w:val="20"/>
                <w:szCs w:val="20"/>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75,798</w:t>
            </w:r>
          </w:p>
        </w:tc>
        <w:tc>
          <w:tcPr>
            <w:tcW w:w="3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4816475</wp:posOffset>
            </wp:positionH>
            <wp:positionV relativeFrom="paragraph">
              <wp:posOffset>-2213610</wp:posOffset>
            </wp:positionV>
            <wp:extent cx="23228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4816475</wp:posOffset>
            </wp:positionH>
            <wp:positionV relativeFrom="paragraph">
              <wp:posOffset>-2372360</wp:posOffset>
            </wp:positionV>
            <wp:extent cx="23228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94" w:lineRule="exact"/>
        <w:rPr>
          <w:sz w:val="20"/>
          <w:szCs w:val="20"/>
          <w:color w:val="auto"/>
        </w:rPr>
      </w:pPr>
    </w:p>
    <w:p>
      <w:pPr>
        <w:ind w:left="440" w:right="20" w:hanging="417"/>
        <w:spacing w:after="0" w:line="291" w:lineRule="auto"/>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7" w:lineRule="exact"/>
        <w:rPr>
          <w:rFonts w:ascii="Arial" w:cs="Arial" w:eastAsia="Arial" w:hAnsi="Arial"/>
          <w:sz w:val="12"/>
          <w:szCs w:val="12"/>
          <w:color w:val="auto"/>
        </w:rPr>
      </w:pPr>
    </w:p>
    <w:p>
      <w:pPr>
        <w:ind w:left="440" w:right="20" w:hanging="417"/>
        <w:spacing w:after="0" w:line="291" w:lineRule="auto"/>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For the thirteen weeks ended May 4, 2024 and April 29, 2023, this represents the estimated tax effect (by using the projected full year tax rates for the respective years) of the total adjustments made to arrive at Adjusted Net Income.</w:t>
      </w:r>
    </w:p>
    <w:p>
      <w:pPr>
        <w:spacing w:after="0" w:line="7" w:lineRule="exact"/>
        <w:rPr>
          <w:rFonts w:ascii="Arial" w:cs="Arial" w:eastAsia="Arial" w:hAnsi="Arial"/>
          <w:sz w:val="12"/>
          <w:szCs w:val="12"/>
          <w:color w:val="auto"/>
        </w:rPr>
      </w:pPr>
    </w:p>
    <w:p>
      <w:pPr>
        <w:ind w:left="440" w:hanging="417"/>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Effective January 28, 2023, we no longer exclude pre-opening expenses from our computations of Adjusted Net Income.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95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0" w:type="dxa"/>
            <w:vAlign w:val="bottom"/>
            <w:shd w:val="clear" w:color="auto" w:fill="0A2299"/>
          </w:tcPr>
          <w:p>
            <w:pPr>
              <w:spacing w:after="0"/>
              <w:rPr>
                <w:sz w:val="20"/>
                <w:szCs w:val="20"/>
                <w:color w:val="auto"/>
              </w:rPr>
            </w:pPr>
          </w:p>
        </w:tc>
        <w:tc>
          <w:tcPr>
            <w:tcW w:w="3280" w:type="dxa"/>
            <w:vAlign w:val="bottom"/>
            <w:gridSpan w:val="4"/>
            <w:shd w:val="clear" w:color="auto" w:fill="0A2299"/>
          </w:tcPr>
          <w:p>
            <w:pPr>
              <w:jc w:val="right"/>
              <w:ind w:right="841"/>
              <w:spacing w:after="0"/>
              <w:rPr>
                <w:sz w:val="20"/>
                <w:szCs w:val="20"/>
                <w:color w:val="auto"/>
              </w:rPr>
            </w:pPr>
            <w:r>
              <w:rPr>
                <w:rFonts w:ascii="Arial" w:cs="Arial" w:eastAsia="Arial" w:hAnsi="Arial"/>
                <w:sz w:val="16"/>
                <w:szCs w:val="16"/>
                <w:b w:val="1"/>
                <w:bCs w:val="1"/>
                <w:color w:val="FFFFFF"/>
              </w:rPr>
              <w:t>Thirteen Weeks Ended</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80" w:type="dxa"/>
            <w:vAlign w:val="bottom"/>
            <w:shd w:val="clear" w:color="auto" w:fill="0A2299"/>
          </w:tcPr>
          <w:p>
            <w:pPr>
              <w:spacing w:after="0"/>
              <w:rPr>
                <w:sz w:val="21"/>
                <w:szCs w:val="21"/>
                <w:color w:val="auto"/>
              </w:rPr>
            </w:pPr>
          </w:p>
        </w:tc>
        <w:tc>
          <w:tcPr>
            <w:tcW w:w="1540" w:type="dxa"/>
            <w:vAlign w:val="bottom"/>
            <w:gridSpan w:val="2"/>
            <w:shd w:val="clear" w:color="auto" w:fill="0A2299"/>
          </w:tcPr>
          <w:p>
            <w:pPr>
              <w:ind w:left="140"/>
              <w:spacing w:after="0"/>
              <w:rPr>
                <w:sz w:val="20"/>
                <w:szCs w:val="20"/>
                <w:color w:val="auto"/>
              </w:rPr>
            </w:pPr>
            <w:r>
              <w:rPr>
                <w:rFonts w:ascii="Arial" w:cs="Arial" w:eastAsia="Arial" w:hAnsi="Arial"/>
                <w:sz w:val="16"/>
                <w:szCs w:val="16"/>
                <w:b w:val="1"/>
                <w:bCs w:val="1"/>
                <w:color w:val="FFFFFF"/>
              </w:rPr>
              <w:t>May 4, 2024</w:t>
            </w:r>
          </w:p>
        </w:tc>
        <w:tc>
          <w:tcPr>
            <w:tcW w:w="220" w:type="dxa"/>
            <w:vAlign w:val="bottom"/>
            <w:shd w:val="clear" w:color="auto" w:fill="0A2299"/>
          </w:tcPr>
          <w:p>
            <w:pPr>
              <w:spacing w:after="0"/>
              <w:rPr>
                <w:sz w:val="21"/>
                <w:szCs w:val="21"/>
                <w:color w:val="auto"/>
              </w:rPr>
            </w:pPr>
          </w:p>
        </w:tc>
        <w:tc>
          <w:tcPr>
            <w:tcW w:w="1520" w:type="dxa"/>
            <w:vAlign w:val="bottom"/>
            <w:shd w:val="clear" w:color="auto" w:fill="0A2299"/>
          </w:tcPr>
          <w:p>
            <w:pPr>
              <w:jc w:val="right"/>
              <w:ind w:right="281"/>
              <w:spacing w:after="0"/>
              <w:rPr>
                <w:sz w:val="20"/>
                <w:szCs w:val="20"/>
                <w:color w:val="auto"/>
              </w:rPr>
            </w:pPr>
            <w:r>
              <w:rPr>
                <w:rFonts w:ascii="Arial" w:cs="Arial" w:eastAsia="Arial" w:hAnsi="Arial"/>
                <w:sz w:val="16"/>
                <w:szCs w:val="16"/>
                <w:b w:val="1"/>
                <w:bCs w:val="1"/>
                <w:color w:val="FFFFFF"/>
              </w:rPr>
              <w:t>April 29, 2023</w:t>
            </w:r>
          </w:p>
        </w:tc>
        <w:tc>
          <w:tcPr>
            <w:tcW w:w="0" w:type="dxa"/>
            <w:vAlign w:val="bottom"/>
          </w:tcPr>
          <w:p>
            <w:pPr>
              <w:spacing w:after="0"/>
              <w:rPr>
                <w:sz w:val="1"/>
                <w:szCs w:val="1"/>
                <w:color w:val="auto"/>
              </w:rPr>
            </w:pPr>
          </w:p>
        </w:tc>
      </w:tr>
      <w:tr>
        <w:trPr>
          <w:trHeight w:val="250"/>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7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199,677</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52,135</w:t>
            </w:r>
          </w:p>
        </w:tc>
        <w:tc>
          <w:tcPr>
            <w:tcW w:w="0" w:type="dxa"/>
            <w:vAlign w:val="bottom"/>
          </w:tcPr>
          <w:p>
            <w:pPr>
              <w:spacing w:after="0"/>
              <w:rPr>
                <w:sz w:val="1"/>
                <w:szCs w:val="1"/>
                <w:color w:val="auto"/>
              </w:rPr>
            </w:pPr>
          </w:p>
        </w:tc>
      </w:tr>
      <w:tr>
        <w:trPr>
          <w:trHeight w:val="233"/>
        </w:trPr>
        <w:tc>
          <w:tcPr>
            <w:tcW w:w="4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6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(32,355)</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(40,547)</w:t>
            </w:r>
          </w:p>
        </w:tc>
        <w:tc>
          <w:tcPr>
            <w:tcW w:w="0" w:type="dxa"/>
            <w:vAlign w:val="bottom"/>
          </w:tcPr>
          <w:p>
            <w:pPr>
              <w:spacing w:after="0"/>
              <w:rPr>
                <w:sz w:val="1"/>
                <w:szCs w:val="1"/>
                <w:color w:val="auto"/>
              </w:rPr>
            </w:pPr>
          </w:p>
        </w:tc>
      </w:tr>
      <w:tr>
        <w:trPr>
          <w:trHeight w:val="254"/>
        </w:trPr>
        <w:tc>
          <w:tcPr>
            <w:tcW w:w="4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Free Cash Flow</w:t>
            </w:r>
          </w:p>
        </w:tc>
        <w:tc>
          <w:tcPr>
            <w:tcW w:w="37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167,322</w:t>
            </w: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11,588</w:t>
            </w:r>
          </w:p>
        </w:tc>
        <w:tc>
          <w:tcPr>
            <w:tcW w:w="0" w:type="dxa"/>
            <w:vAlign w:val="bottom"/>
          </w:tcPr>
          <w:p>
            <w:pPr>
              <w:spacing w:after="0"/>
              <w:rPr>
                <w:sz w:val="1"/>
                <w:szCs w:val="1"/>
                <w:color w:val="auto"/>
              </w:rPr>
            </w:pPr>
          </w:p>
        </w:tc>
      </w:tr>
      <w:tr>
        <w:trPr>
          <w:trHeight w:val="20"/>
        </w:trPr>
        <w:tc>
          <w:tcPr>
            <w:tcW w:w="4220" w:type="dxa"/>
            <w:vAlign w:val="bottom"/>
            <w:tcBorders>
              <w:top w:val="single" w:sz="8" w:color="DBDBDB"/>
            </w:tcBorders>
          </w:tcPr>
          <w:p>
            <w:pPr>
              <w:spacing w:after="0" w:line="20" w:lineRule="exact"/>
              <w:rPr>
                <w:sz w:val="1"/>
                <w:szCs w:val="1"/>
                <w:color w:val="auto"/>
              </w:rPr>
            </w:pPr>
          </w:p>
        </w:tc>
        <w:tc>
          <w:tcPr>
            <w:tcW w:w="3460" w:type="dxa"/>
            <w:vAlign w:val="bottom"/>
            <w:tcBorders>
              <w:top w:val="single" w:sz="8" w:color="DBDBDB"/>
              <w:bottom w:val="single" w:sz="8" w:color="DBDBDB"/>
            </w:tcBorders>
            <w:vMerge w:val="restart"/>
          </w:tcPr>
          <w:p>
            <w:pPr>
              <w:jc w:val="right"/>
              <w:ind w:right="1944"/>
              <w:spacing w:after="0"/>
              <w:rPr>
                <w:sz w:val="20"/>
                <w:szCs w:val="20"/>
                <w:color w:val="auto"/>
              </w:rPr>
            </w:pPr>
            <w:r>
              <w:rPr>
                <w:rFonts w:ascii="Arial" w:cs="Arial" w:eastAsia="Arial" w:hAnsi="Arial"/>
                <w:sz w:val="14"/>
                <w:szCs w:val="14"/>
                <w:color w:val="auto"/>
              </w:rPr>
              <w:t>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2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-895985</wp:posOffset>
            </wp:positionV>
            <wp:extent cx="22561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561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-1055370</wp:posOffset>
            </wp:positionV>
            <wp:extent cx="2256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sectPr>
      <w:pgSz w:w="11900" w:h="16838" w:orient="portrait"/>
      <w:cols w:equalWidth="0" w:num="1">
        <w:col w:w="11240"/>
      </w:cols>
      <w:pgMar w:left="320" w:top="9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2024-06-11T07:36:07Z</dcterms:created>
  <dcterms:modified xsi:type="dcterms:W3CDTF">2024-06-11T07:36:07Z</dcterms:modified>
</cp:coreProperties>
</file>