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5426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426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Ford Earl Carlton IV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 w:line="34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ACADEMY SPORTS AND OUTDOORS, INC. 1800 NORTH MASON ROAD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77449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Academy Sports &amp; Outdoors,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ASO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03/26/2024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CFO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5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40" w:right="60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9,544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03/26/2024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9,544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03/26/2034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9,544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9,544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03/26/2024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9,544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03/26/2034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9,544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Granted under the Company's 2020 Omnibus Incentive Plan (the "Plan").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Issuer common stock, par value $0.01 per share ("Common Stock").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26, 2024, the Reporting Person was granted 9,544 performance-based restricted stock units ("PRSUs"). These PRSUs vest if certain preestablished performance metrics related to the Company's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/>
        <w:spacing w:after="0" w:line="275" w:lineRule="auto"/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(i) adjusted pre-tax income, and (ii) return on invested capital over a 3-year period beginning on February 4, 2024 and ending on January 30, 2027, are achieved and certified by the Issuer's compensation committee (which, if any, may vary from 0% to 200% of the number shown above), subject to the Reporting Person's continued service with the Issuer through each applicable vesting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time-based RSUs vest in three equal installments beginning on the first anniversary of the grant date.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Gary Holland, Attorney-in-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03/28/2024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984055" TargetMode="External"/><Relationship Id="rId13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2024-03-28T17:51:09Z</dcterms:created>
  <dcterms:modified xsi:type="dcterms:W3CDTF">2024-03-28T17:51:09Z</dcterms:modified>
</cp:coreProperties>
</file>