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1225550</wp:posOffset>
            </wp:positionH>
            <wp:positionV relativeFrom="paragraph">
              <wp:posOffset>49530</wp:posOffset>
            </wp:positionV>
            <wp:extent cx="3754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600" w:hanging="189"/>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0" w:lineRule="exact"/>
        <w:rPr>
          <w:rFonts w:ascii="MS PGothic" w:cs="MS PGothic" w:eastAsia="MS PGothic" w:hAnsi="MS PGothic"/>
          <w:sz w:val="16"/>
          <w:szCs w:val="16"/>
          <w:color w:val="auto"/>
        </w:rPr>
      </w:pPr>
    </w:p>
    <w:p>
      <w:pPr>
        <w:ind w:left="33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Fiscal Year Ended January 31, 2026</w:t>
      </w:r>
    </w:p>
    <w:p>
      <w:pPr>
        <w:spacing w:after="0" w:line="12" w:lineRule="exact"/>
        <w:rPr>
          <w:rFonts w:ascii="MS PGothic" w:cs="MS PGothic" w:eastAsia="MS PGothic" w:hAnsi="MS PGothic"/>
          <w:sz w:val="16"/>
          <w:szCs w:val="16"/>
          <w:color w:val="auto"/>
        </w:rPr>
      </w:pPr>
    </w:p>
    <w:p>
      <w:pPr>
        <w:ind w:left="48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32" w:lineRule="exact"/>
        <w:rPr>
          <w:rFonts w:ascii="MS PGothic" w:cs="MS PGothic" w:eastAsia="MS PGothic" w:hAnsi="MS PGothic"/>
          <w:sz w:val="16"/>
          <w:szCs w:val="16"/>
          <w:color w:val="auto"/>
        </w:rPr>
      </w:pPr>
    </w:p>
    <w:p>
      <w:pPr>
        <w:ind w:left="880" w:hanging="197"/>
        <w:spacing w:after="0"/>
        <w:tabs>
          <w:tab w:leader="none" w:pos="88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1225550</wp:posOffset>
            </wp:positionH>
            <wp:positionV relativeFrom="paragraph">
              <wp:posOffset>55880</wp:posOffset>
            </wp:positionV>
            <wp:extent cx="3754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150495</wp:posOffset>
            </wp:positionV>
            <wp:extent cx="137160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402"/>
        </w:trPr>
        <w:tc>
          <w:tcPr>
            <w:tcW w:w="1340" w:type="dxa"/>
            <w:vAlign w:val="bottom"/>
          </w:tcPr>
          <w:p>
            <w:pPr>
              <w:spacing w:after="0"/>
              <w:rPr>
                <w:sz w:val="24"/>
                <w:szCs w:val="24"/>
                <w:color w:val="auto"/>
              </w:rPr>
            </w:pPr>
          </w:p>
        </w:tc>
        <w:tc>
          <w:tcPr>
            <w:tcW w:w="6500" w:type="dxa"/>
            <w:vAlign w:val="bottom"/>
            <w:gridSpan w:val="6"/>
          </w:tcPr>
          <w:p>
            <w:pPr>
              <w:jc w:val="center"/>
              <w:ind w:left="51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1340" w:type="dxa"/>
            <w:vAlign w:val="bottom"/>
          </w:tcPr>
          <w:p>
            <w:pPr>
              <w:spacing w:after="0"/>
              <w:rPr>
                <w:sz w:val="24"/>
                <w:szCs w:val="24"/>
                <w:color w:val="auto"/>
              </w:rPr>
            </w:pPr>
          </w:p>
        </w:tc>
        <w:tc>
          <w:tcPr>
            <w:tcW w:w="202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85-1800912</w:t>
            </w:r>
          </w:p>
        </w:tc>
        <w:tc>
          <w:tcPr>
            <w:tcW w:w="0" w:type="dxa"/>
            <w:vAlign w:val="bottom"/>
          </w:tcPr>
          <w:p>
            <w:pPr>
              <w:spacing w:after="0"/>
              <w:rPr>
                <w:sz w:val="1"/>
                <w:szCs w:val="1"/>
                <w:color w:val="auto"/>
              </w:rPr>
            </w:pPr>
          </w:p>
        </w:tc>
      </w:tr>
      <w:tr>
        <w:trPr>
          <w:trHeight w:val="287"/>
        </w:trPr>
        <w:tc>
          <w:tcPr>
            <w:tcW w:w="6400" w:type="dxa"/>
            <w:vAlign w:val="bottom"/>
            <w:gridSpan w:val="6"/>
          </w:tcPr>
          <w:p>
            <w:pPr>
              <w:jc w:val="center"/>
              <w:ind w:right="254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2020" w:type="dxa"/>
            <w:vAlign w:val="bottom"/>
            <w:gridSpan w:val="2"/>
          </w:tcPr>
          <w:p>
            <w:pPr>
              <w:jc w:val="center"/>
              <w:ind w:right="739"/>
              <w:spacing w:after="0"/>
              <w:rPr>
                <w:sz w:val="20"/>
                <w:szCs w:val="20"/>
                <w:color w:val="auto"/>
              </w:rPr>
            </w:pPr>
            <w:r>
              <w:rPr>
                <w:rFonts w:ascii="Times New Roman" w:cs="Times New Roman" w:eastAsia="Times New Roman" w:hAnsi="Times New Roman"/>
                <w:sz w:val="16"/>
                <w:szCs w:val="16"/>
                <w:i w:val="1"/>
                <w:iCs w:val="1"/>
                <w:color w:val="auto"/>
              </w:rPr>
              <w:t>organization)</w:t>
            </w: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1800 North Mason Road</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Katy, Texas 77449</w:t>
            </w:r>
          </w:p>
        </w:tc>
        <w:tc>
          <w:tcPr>
            <w:tcW w:w="1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00" w:type="dxa"/>
            <w:vAlign w:val="bottom"/>
            <w:gridSpan w:val="5"/>
          </w:tcPr>
          <w:p>
            <w:pPr>
              <w:jc w:val="center"/>
              <w:ind w:right="4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gridSpan w:val="2"/>
          </w:tcPr>
          <w:p>
            <w:pPr>
              <w:jc w:val="center"/>
              <w:ind w:left="821"/>
              <w:spacing w:after="0"/>
              <w:rPr>
                <w:sz w:val="20"/>
                <w:szCs w:val="20"/>
                <w:color w:val="auto"/>
              </w:rPr>
            </w:pPr>
            <w:r>
              <w:rPr>
                <w:rFonts w:ascii="Times New Roman" w:cs="Times New Roman" w:eastAsia="Times New Roman" w:hAnsi="Times New Roman"/>
                <w:sz w:val="16"/>
                <w:szCs w:val="16"/>
                <w:b w:val="1"/>
                <w:bCs w:val="1"/>
                <w:color w:val="auto"/>
                <w:w w:val="99"/>
              </w:rPr>
              <w:t>(281) 646-5200</w:t>
            </w:r>
          </w:p>
        </w:tc>
        <w:tc>
          <w:tcPr>
            <w:tcW w:w="8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00" w:type="dxa"/>
            <w:vAlign w:val="bottom"/>
            <w:gridSpan w:val="5"/>
          </w:tcPr>
          <w:p>
            <w:pPr>
              <w:jc w:val="center"/>
              <w:ind w:right="49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300" w:type="dxa"/>
            <w:vAlign w:val="bottom"/>
            <w:gridSpan w:val="5"/>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100" w:type="dxa"/>
            <w:vAlign w:val="bottom"/>
            <w:gridSpan w:val="2"/>
          </w:tcPr>
          <w:p>
            <w:pPr>
              <w:jc w:val="center"/>
              <w:ind w:right="860"/>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29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940" w:type="dxa"/>
            <w:vAlign w:val="bottom"/>
          </w:tcPr>
          <w:p>
            <w:pPr>
              <w:spacing w:after="0"/>
              <w:rPr>
                <w:sz w:val="20"/>
                <w:szCs w:val="20"/>
                <w:color w:val="auto"/>
              </w:rPr>
            </w:pPr>
          </w:p>
        </w:tc>
        <w:tc>
          <w:tcPr>
            <w:tcW w:w="210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color w:val="auto"/>
                <w:w w:val="99"/>
              </w:rPr>
              <w:t>ASO</w:t>
            </w: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60"/>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154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00" w:type="dxa"/>
            <w:vAlign w:val="bottom"/>
            <w:gridSpan w:val="5"/>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154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3"/>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4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gridSpan w:val="7"/>
          </w:tcPr>
          <w:p>
            <w:pPr>
              <w:spacing w:after="0" w:line="145" w:lineRule="exact"/>
              <w:rPr>
                <w:sz w:val="20"/>
                <w:szCs w:val="20"/>
                <w:color w:val="auto"/>
              </w:rPr>
            </w:pPr>
            <w:r>
              <w:rPr>
                <w:rFonts w:ascii="Times New Roman" w:cs="Times New Roman" w:eastAsia="Times New Roman" w:hAnsi="Times New Roman"/>
                <w:sz w:val="14"/>
                <w:szCs w:val="14"/>
                <w:color w:val="auto"/>
              </w:rPr>
              <w:t>Exchange Act of 1934 during the preceding 12 months (or for such shorter period that the registrant was required to file such reports),</w:t>
            </w:r>
          </w:p>
        </w:tc>
        <w:tc>
          <w:tcPr>
            <w:tcW w:w="154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1"/>
        </w:trPr>
        <w:tc>
          <w:tcPr>
            <w:tcW w:w="6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and (2) has been subject to such filing requirements for the past 90 days.</w:t>
            </w:r>
          </w:p>
        </w:tc>
        <w:tc>
          <w:tcPr>
            <w:tcW w:w="14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pursuant to Rule 405 of Regulation S-T (§232.405 of this chapter) during the preceding 12 months (or for such shorter period that</w:t>
            </w:r>
          </w:p>
        </w:tc>
        <w:tc>
          <w:tcPr>
            <w:tcW w:w="154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7"/>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registrant was required to submit such files).</w:t>
            </w: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w:t>
      </w:r>
    </w:p>
    <w:p>
      <w:pPr>
        <w:spacing w:after="0" w:line="4"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company. See the definitions of “large accelerated filer”, “accelerated filer”, “smaller reporting company”, and “emerging growth company” in Rule 12b-2 of the Exchange Act.</w:t>
      </w:r>
    </w:p>
    <w:p>
      <w:pPr>
        <w:sectPr>
          <w:pgSz w:w="11900" w:h="16838" w:orient="portrait"/>
          <w:cols w:equalWidth="0" w:num="1">
            <w:col w:w="9800"/>
          </w:cols>
          <w:pgMar w:left="720" w:top="500" w:right="1379" w:bottom="1440" w:gutter="0" w:footer="0" w:header="0"/>
        </w:sectPr>
      </w:pPr>
    </w:p>
    <w:p>
      <w:pPr>
        <w:ind w:left="19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700"/>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4" w:lineRule="exact"/>
        <w:rPr>
          <w:sz w:val="24"/>
          <w:szCs w:val="24"/>
          <w:color w:val="auto"/>
        </w:rPr>
      </w:pPr>
    </w:p>
    <w:p>
      <w:pPr>
        <w:sectPr>
          <w:pgSz w:w="11900" w:h="16838" w:orient="portrait"/>
          <w:cols w:equalWidth="0" w:num="2">
            <w:col w:w="5260" w:space="720"/>
            <w:col w:w="3820"/>
          </w:cols>
          <w:pgMar w:left="720" w:top="500" w:right="1379" w:bottom="1440" w:gutter="0" w:footer="0" w:header="0"/>
          <w:type w:val="continuous"/>
        </w:sectPr>
      </w:pPr>
    </w:p>
    <w:p>
      <w:pPr>
        <w:ind w:left="19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15" w:lineRule="exact"/>
        <w:rPr>
          <w:sz w:val="24"/>
          <w:szCs w:val="24"/>
          <w:color w:val="auto"/>
        </w:rPr>
      </w:pPr>
    </w:p>
    <w:p>
      <w:pPr>
        <w:sectPr>
          <w:pgSz w:w="11900" w:h="16838" w:orient="portrait"/>
          <w:cols w:equalWidth="0" w:num="2">
            <w:col w:w="5260" w:space="720"/>
            <w:col w:w="3820"/>
          </w:cols>
          <w:pgMar w:left="720" w:top="500" w:right="1379" w:bottom="1440" w:gutter="0" w:footer="0" w:header="0"/>
          <w:type w:val="continuous"/>
        </w:sect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the Common Stock on the Nasdaq Stock Market LLC on August 1, 2025, the last business day of the registrant's most recently completed second fiscal quarter, was approximately $3.2 billion.</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10, 2026, Academy Sports and Outdoors, Inc. had 64,383,459 shares of common stock, par value $0.01 per share, outstanding.</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 Part III of this Annual Report on Form 10-K incorporates certain information from the registrant's definite proxy statement for its</w:t>
      </w:r>
    </w:p>
    <w:p>
      <w:pPr>
        <w:spacing w:after="0" w:line="206" w:lineRule="auto"/>
        <w:rPr>
          <w:sz w:val="20"/>
          <w:szCs w:val="20"/>
          <w:color w:val="auto"/>
        </w:rPr>
      </w:pPr>
      <w:r>
        <w:rPr>
          <w:rFonts w:ascii="Times New Roman" w:cs="Times New Roman" w:eastAsia="Times New Roman" w:hAnsi="Times New Roman"/>
          <w:sz w:val="14"/>
          <w:szCs w:val="14"/>
          <w:color w:val="auto"/>
        </w:rPr>
        <w:t>2026 Annual Meeting of Stockholders, which shall be filed with the Securities and Exchange Commission pursuant to Regulation 14A of the Securities Exchange Act of</w:t>
      </w:r>
    </w:p>
    <w:p>
      <w:pPr>
        <w:spacing w:after="0"/>
        <w:rPr>
          <w:sz w:val="20"/>
          <w:szCs w:val="20"/>
          <w:color w:val="auto"/>
        </w:rPr>
      </w:pPr>
      <w:r>
        <w:rPr>
          <w:rFonts w:ascii="Times New Roman" w:cs="Times New Roman" w:eastAsia="Times New Roman" w:hAnsi="Times New Roman"/>
          <w:sz w:val="14"/>
          <w:szCs w:val="14"/>
          <w:color w:val="auto"/>
        </w:rPr>
        <w:t>1934, as amended, within 120 days of the registrant's fiscal year 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232410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720" w:top="500" w:right="1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96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CAUTIONARY STATEMENT REGARDING FORWARD-LOOKING STATEMENTS</w:t>
            </w:r>
          </w:p>
        </w:tc>
        <w:tc>
          <w:tcPr>
            <w:tcW w:w="860" w:type="dxa"/>
            <w:vAlign w:val="bottom"/>
            <w:gridSpan w:val="5"/>
            <w:shd w:val="clear" w:color="auto" w:fill="CCEEFF"/>
          </w:tcPr>
          <w:p>
            <w:pPr>
              <w:jc w:val="center"/>
              <w:ind w:left="6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w:t>
            </w:r>
          </w:p>
        </w:tc>
        <w:tc>
          <w:tcPr>
            <w:tcW w:w="860" w:type="dxa"/>
            <w:vAlign w:val="bottom"/>
            <w:gridSpan w:val="5"/>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 Business</w:t>
            </w:r>
          </w:p>
        </w:tc>
        <w:tc>
          <w:tcPr>
            <w:tcW w:w="860" w:type="dxa"/>
            <w:vAlign w:val="bottom"/>
            <w:gridSpan w:val="5"/>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1A. Risk Factors</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14</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1B. Unresolved Staff Comments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1C. Cybersecurity</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38</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2. Properties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3. Legal Proceedings</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4. Mine Safety Disclosures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6. [Reserved]</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42</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9A. Controls and Procedures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59</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9B. Other Information</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III</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11. Executive Compensation</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63</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63</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63</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 IV</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15. Exhibits and Financial Statements Schedules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Item 16. Form 10-K Summary</w:t>
            </w:r>
          </w:p>
        </w:tc>
        <w:tc>
          <w:tcPr>
            <w:tcW w:w="860" w:type="dxa"/>
            <w:vAlign w:val="bottom"/>
            <w:gridSpan w:val="5"/>
          </w:tcPr>
          <w:p>
            <w:pPr>
              <w:jc w:val="center"/>
              <w:ind w:left="590"/>
              <w:spacing w:after="0" w:line="189" w:lineRule="exact"/>
              <w:rPr>
                <w:sz w:val="20"/>
                <w:szCs w:val="20"/>
                <w:color w:val="auto"/>
              </w:rPr>
            </w:pPr>
            <w:r>
              <w:rPr>
                <w:rFonts w:ascii="Times New Roman" w:cs="Times New Roman" w:eastAsia="Times New Roman" w:hAnsi="Times New Roman"/>
                <w:sz w:val="18"/>
                <w:szCs w:val="18"/>
                <w:color w:val="0000FF"/>
                <w:w w:val="99"/>
              </w:rPr>
              <w:t>97</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156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102</w:t>
            </w:r>
          </w:p>
        </w:tc>
      </w:tr>
      <w:tr>
        <w:trPr>
          <w:trHeight w:val="20"/>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Annual Report, including in the section entitled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w:t>
      </w:r>
    </w:p>
    <w:p>
      <w:pPr>
        <w:spacing w:after="0" w:line="221"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this Annual Report, as such risk factors may be updated from time to time in our periodic filings with the Securities and Exchange Commission, or SEC, and are accessible on the SEC's website at www.sec.gov.</w:t>
      </w:r>
    </w:p>
    <w:p>
      <w:pPr>
        <w:spacing w:after="0" w:line="219"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Annual Report speaks only as of the date of this Annual Report and are expressly qualified in their entirety by the cautionary statements included in this Annual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0" w:lineRule="exact"/>
        <w:rPr>
          <w:sz w:val="20"/>
          <w:szCs w:val="20"/>
          <w:color w:val="auto"/>
        </w:rPr>
      </w:pPr>
    </w:p>
    <w:p>
      <w:pPr>
        <w:spacing w:after="0" w:line="218"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All references to “Academy”, “we”, “us,” “our” or the “Company” in this Annual Report and the accompanying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w:t>
      </w:r>
    </w:p>
    <w:p>
      <w:pPr>
        <w:spacing w:after="0" w:line="141" w:lineRule="exact"/>
        <w:rPr>
          <w:sz w:val="20"/>
          <w:szCs w:val="20"/>
          <w:color w:val="auto"/>
        </w:rPr>
      </w:pPr>
    </w:p>
    <w:p>
      <w:pPr>
        <w:jc w:val="both"/>
        <w:ind w:firstLine="292"/>
        <w:spacing w:after="0" w:line="250" w:lineRule="auto"/>
        <w:rPr>
          <w:sz w:val="20"/>
          <w:szCs w:val="20"/>
          <w:color w:val="auto"/>
        </w:rPr>
      </w:pPr>
      <w:r>
        <w:rPr>
          <w:rFonts w:ascii="Times New Roman" w:cs="Times New Roman" w:eastAsia="Times New Roman" w:hAnsi="Times New Roman"/>
          <w:sz w:val="18"/>
          <w:szCs w:val="18"/>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“2022” “2023,” “2024,” and “2025” relate to our fiscal years ended January 28, 2023, February 3, 2024, February 1, 2025, and January 31, 2026, respectively, unless the context requires otherwise.</w:t>
      </w:r>
    </w:p>
    <w:p>
      <w:pPr>
        <w:spacing w:after="0" w:line="204"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entitled “Risk Factors.” In addition to the following summary, you should consider the information set forth in the “Risk Factors” section and the other information contained in this Annual Report before investing in our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 which exposes us to various international risks, including additional tariffs;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use of machine learning and other types of artificial intelligence in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w:t>
      </w:r>
    </w:p>
    <w:p>
      <w:pPr>
        <w:spacing w:after="0" w:line="9"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and/or to acquire and sell brand name merchandise at competitive prices;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quality team members in sufficient numbers, increases in wage and labor costs, and changes in laws and other labor issues;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(including our executive officers) to support our existing business and future initiatives;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suppliers to supply us with merchandise that we purchase for resale;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31" w:lineRule="exact"/>
        <w:rPr>
          <w:sz w:val="20"/>
          <w:szCs w:val="20"/>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or indemnities coverage may be insufficient;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31" w:lineRule="exact"/>
        <w:rPr>
          <w:sz w:val="20"/>
          <w:szCs w:val="20"/>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service all of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below);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3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organizational documents could delay or prevent a change of control;</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3"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included elsewhere in this Annual Report for the fiscal year ended January 31, 2026. 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Academy Sports + Outdoors is a leading full-line sporting goods and outdoor recreation retailer in the United States. Originally founded in 1938 as a family business in Texas, we now operate 322 stores across 21 contiguous states as of January 31, 2026. Our mission is to provide “Fun for All” and we fulfill this mission with a localized merchandising strategy and value proposition that deeply connect with a broad range of consumers. Our product assortment focuses on key categories of outdoor, sports &amp; recreation, apparel, and footwear (representing 31%, 22%, 27% and 20% of our 2025 net sales, respectively) through both leading national brands and a portfolio of 19 private label brands, which go well beyond traditional sporting goods and apparel offerings.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following attributes differentiate us from our competitors:</w:t>
      </w:r>
    </w:p>
    <w:p>
      <w:pPr>
        <w:spacing w:after="0" w:line="117"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 and is localized for individual stores.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growing and profitable omnichannel strategy that leverages our buy-online-pickup-in-store program (“BOPIS”) and shipping fulfillment capabilities.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primarily in the southern United States with a growing presence in some of the fastest-growing Metropolitan Statistical Areas (or “MSAs”).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new stores for both existing and adjacent geographies and new markets.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We carefully curate our products to provide the right assortment that appeals to customers from beginners to experts, including families and casual participants.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access to national brand and private label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78% of our 2025 merchandise sales was comprised of national brand products, with the remainder coming from exclusive products in our portfolio of private label brands. No single brand we carry accounted for more than approximately 12% of our 2025 sales.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Our average customer visits our stores anywhere from two to three times per year.</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175"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Our merchandise consists of a full range of industry-leading national brands and strong private brands providing our customers with diversified product categories of good, better, and best price points. We deliver Academy’s unique product assortment through our strong partnerships with our vendors. In 2025, we purchased merchandise from approximately 1,500 vendors. For 2025, 2024 and 2023 no vendor represented more than 12% of our total purchases. Our relationships with key brands, on-trend private brands, and exclusive product offerings differentiates our assortment from our peers.</w:t>
      </w:r>
    </w:p>
    <w:p>
      <w:pPr>
        <w:spacing w:after="0" w:line="1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preferred access to hundreds of well-recognized national brands, such as Nike, including its Jordan Brand, Under Armour, adidas, Winchester, Columbia Sportswear, The North Face, Brooks, Skechers, Yeti, Stanley and Carhartt, which are critical to our market penetration. These and some of our other national brands rely on us to broaden their consumer reach, which fosters a mutually beneficial relationship when it comes to pricing and assortment. We play a critical role in delivering customer volume for these brands. We complement our national brand assortment with our private label brand assortment, which is priced below the national brand price spectrum. As such, we receive favorable product allocations from leading suppliers.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private label brand portfolio consists of 19 brands, including Magellan Outdoors, Academy Sports + Outdoors, BCG, O'rageous, Game Winner, Outdoor Gourmet, Freely, Redfield, H2OX, and R.O.W. Our private label brand strategy focuses on in-filling categories and price points that our national brand products may not satisfy. Our private label brand offerings support and complement our overall merchandising strategy due to limited price-point overlap with national brands. Additionally, our private label brands generate strong brand equity and drive significant customer loyalty. Approximately 53% of our customers purchased a private label brand from us in 2025 and approximately 22% of our 2025 merchandise sales was comprised of private brand products.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2026, we generally organized our merchandise in four divisions made up of sixteen categories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Division</w:t>
            </w:r>
          </w:p>
        </w:tc>
        <w:tc>
          <w:tcPr>
            <w:tcW w:w="2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6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Primary product types</w:t>
            </w:r>
          </w:p>
        </w:tc>
      </w:tr>
      <w:tr>
        <w:trPr>
          <w:trHeight w:val="74"/>
        </w:trPr>
        <w:tc>
          <w:tcPr>
            <w:tcW w:w="19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6800" w:type="dxa"/>
            <w:vAlign w:val="bottom"/>
          </w:tcPr>
          <w:p>
            <w:pPr>
              <w:spacing w:after="0"/>
              <w:rPr>
                <w:sz w:val="6"/>
                <w:szCs w:val="6"/>
                <w:color w:val="auto"/>
              </w:rPr>
            </w:pPr>
          </w:p>
        </w:tc>
      </w:tr>
      <w:tr>
        <w:trPr>
          <w:trHeight w:val="176"/>
        </w:trPr>
        <w:tc>
          <w:tcPr>
            <w:tcW w:w="1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Outdoors</w:t>
            </w:r>
          </w:p>
        </w:tc>
        <w:tc>
          <w:tcPr>
            <w:tcW w:w="250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Camping</w:t>
            </w:r>
          </w:p>
        </w:tc>
        <w:tc>
          <w:tcPr>
            <w:tcW w:w="68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Coolers and drinkware, camping accessories, camping equipment, watersports and</w:t>
            </w:r>
          </w:p>
        </w:tc>
      </w:tr>
      <w:tr>
        <w:trPr>
          <w:trHeight w:val="243"/>
        </w:trPr>
        <w:tc>
          <w:tcPr>
            <w:tcW w:w="19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equipment</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Fishing</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198"/>
        </w:trPr>
        <w:tc>
          <w:tcPr>
            <w:tcW w:w="1940" w:type="dxa"/>
            <w:vAlign w:val="bottom"/>
            <w:shd w:val="clear" w:color="auto" w:fill="CCEEFF"/>
          </w:tcPr>
          <w:p>
            <w:pPr>
              <w:spacing w:after="0"/>
              <w:rPr>
                <w:sz w:val="17"/>
                <w:szCs w:val="17"/>
                <w:color w:val="auto"/>
              </w:rPr>
            </w:pPr>
          </w:p>
        </w:tc>
        <w:tc>
          <w:tcPr>
            <w:tcW w:w="250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Hunting</w:t>
            </w:r>
          </w:p>
        </w:tc>
        <w:tc>
          <w:tcPr>
            <w:tcW w:w="68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Firearms, ammunition, archery and archery equipment, camouflage apparel, waders,</w:t>
            </w:r>
          </w:p>
        </w:tc>
      </w:tr>
      <w:tr>
        <w:trPr>
          <w:trHeight w:val="241"/>
        </w:trPr>
        <w:tc>
          <w:tcPr>
            <w:tcW w:w="194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6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shooting accessories, gun safes, optics, airguns and hunting equipment</w:t>
            </w:r>
          </w:p>
        </w:tc>
      </w:tr>
      <w:tr>
        <w:trPr>
          <w:trHeight w:val="54"/>
        </w:trPr>
        <w:tc>
          <w:tcPr>
            <w:tcW w:w="19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800" w:type="dxa"/>
            <w:vAlign w:val="bottom"/>
          </w:tcPr>
          <w:p>
            <w:pPr>
              <w:spacing w:after="0"/>
              <w:rPr>
                <w:sz w:val="4"/>
                <w:szCs w:val="4"/>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Fitness</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Fitness equipment, fitness accessories and nutrition supplies</w:t>
            </w:r>
          </w:p>
        </w:tc>
      </w:tr>
      <w:tr>
        <w:trPr>
          <w:trHeight w:val="175"/>
        </w:trPr>
        <w:tc>
          <w:tcPr>
            <w:tcW w:w="1940" w:type="dxa"/>
            <w:vAlign w:val="bottom"/>
          </w:tcPr>
          <w:p>
            <w:pPr>
              <w:spacing w:after="0"/>
              <w:rPr>
                <w:sz w:val="15"/>
                <w:szCs w:val="15"/>
                <w:color w:val="auto"/>
              </w:rPr>
            </w:pPr>
          </w:p>
        </w:tc>
        <w:tc>
          <w:tcPr>
            <w:tcW w:w="25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Team sports</w:t>
            </w:r>
          </w:p>
        </w:tc>
        <w:tc>
          <w:tcPr>
            <w:tcW w:w="68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Team and specialty sports equipment, including baseball, football, basketball, soccer, golf,</w:t>
            </w:r>
          </w:p>
        </w:tc>
      </w:tr>
      <w:tr>
        <w:trPr>
          <w:trHeight w:val="239"/>
        </w:trPr>
        <w:tc>
          <w:tcPr>
            <w:tcW w:w="19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racket sports, volleyball, backpacks and sports bags</w:t>
            </w:r>
          </w:p>
        </w:tc>
      </w:tr>
      <w:tr>
        <w:trPr>
          <w:trHeight w:val="180"/>
        </w:trPr>
        <w:tc>
          <w:tcPr>
            <w:tcW w:w="1940" w:type="dxa"/>
            <w:vAlign w:val="bottom"/>
            <w:shd w:val="clear" w:color="auto" w:fill="CCEEFF"/>
          </w:tcPr>
          <w:p>
            <w:pPr>
              <w:spacing w:after="0"/>
              <w:rPr>
                <w:sz w:val="15"/>
                <w:szCs w:val="15"/>
                <w:color w:val="auto"/>
              </w:rPr>
            </w:pPr>
          </w:p>
        </w:tc>
        <w:tc>
          <w:tcPr>
            <w:tcW w:w="25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8"/>
                <w:szCs w:val="18"/>
                <w:color w:val="auto"/>
              </w:rPr>
              <w:t>Recreation</w:t>
            </w:r>
          </w:p>
        </w:tc>
        <w:tc>
          <w:tcPr>
            <w:tcW w:w="680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Patio furniture, outdoor cooking, wheeled goods (bicycles, skateboards and other ride-on</w:t>
            </w:r>
          </w:p>
        </w:tc>
      </w:tr>
      <w:tr>
        <w:trPr>
          <w:trHeight w:val="243"/>
        </w:trPr>
        <w:tc>
          <w:tcPr>
            <w:tcW w:w="19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toys), trampolines and play sets</w:t>
            </w:r>
          </w:p>
        </w:tc>
      </w:tr>
      <w:tr>
        <w:trPr>
          <w:trHeight w:val="234"/>
        </w:trPr>
        <w:tc>
          <w:tcPr>
            <w:tcW w:w="1940" w:type="dxa"/>
            <w:vAlign w:val="bottom"/>
          </w:tcPr>
          <w:p>
            <w:pPr>
              <w:spacing w:after="0"/>
              <w:rPr>
                <w:sz w:val="20"/>
                <w:szCs w:val="20"/>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Front end</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Sunglasses and front-end (consumables, batteries, etc.), electronics and watches</w:t>
            </w:r>
          </w:p>
        </w:tc>
      </w:tr>
      <w:tr>
        <w:trPr>
          <w:trHeight w:val="49"/>
        </w:trPr>
        <w:tc>
          <w:tcPr>
            <w:tcW w:w="19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800" w:type="dxa"/>
            <w:vAlign w:val="bottom"/>
          </w:tcPr>
          <w:p>
            <w:pPr>
              <w:spacing w:after="0"/>
              <w:rPr>
                <w:sz w:val="4"/>
                <w:szCs w:val="4"/>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Outdoor and seasonal apparel</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Outdoor apparel, denim, work apparel, graphic t-shirts, accessories and outerwear</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Youth apparel/Swim</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Boys and girls outdoor and athletic apparel and swimwear</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Athletic apparel</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Sporting apparel and apparel for fitness</w:t>
            </w:r>
          </w:p>
        </w:tc>
      </w:tr>
      <w:tr>
        <w:trPr>
          <w:trHeight w:val="234"/>
        </w:trPr>
        <w:tc>
          <w:tcPr>
            <w:tcW w:w="1940" w:type="dxa"/>
            <w:vAlign w:val="bottom"/>
          </w:tcPr>
          <w:p>
            <w:pPr>
              <w:spacing w:after="0"/>
              <w:rPr>
                <w:sz w:val="20"/>
                <w:szCs w:val="20"/>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Licensed apparel</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49"/>
        </w:trPr>
        <w:tc>
          <w:tcPr>
            <w:tcW w:w="19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800" w:type="dxa"/>
            <w:vAlign w:val="bottom"/>
          </w:tcPr>
          <w:p>
            <w:pPr>
              <w:spacing w:after="0"/>
              <w:rPr>
                <w:sz w:val="4"/>
                <w:szCs w:val="4"/>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Casual and seasonal footwear</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Casual shoes, slippers, seasonal footwear and socks</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Work footwear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Work and western boots, shoes and hunting footwear</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Youth footwear</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Boys and girls footwear</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Athletic footwear</w:t>
            </w:r>
          </w:p>
        </w:tc>
        <w:tc>
          <w:tcPr>
            <w:tcW w:w="6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Running shoes, athletic lifestyle and training shoes</w:t>
            </w:r>
          </w:p>
        </w:tc>
      </w:tr>
      <w:tr>
        <w:trPr>
          <w:trHeight w:val="229"/>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Team sports footwear</w:t>
            </w:r>
          </w:p>
        </w:tc>
        <w:tc>
          <w:tcPr>
            <w:tcW w:w="6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Team and specialty sports footwear and slides</w:t>
            </w:r>
          </w:p>
        </w:tc>
      </w:tr>
      <w:tr>
        <w:trPr>
          <w:trHeight w:val="743"/>
        </w:trPr>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w:t>
            </w:r>
          </w:p>
        </w:tc>
      </w:tr>
      <w:tr>
        <w:trPr>
          <w:trHeight w:val="358"/>
        </w:trPr>
        <w:tc>
          <w:tcPr>
            <w:tcW w:w="19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right="1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February 1, 2025</w:t>
            </w: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09"/>
        </w:trPr>
        <w:tc>
          <w:tcPr>
            <w:tcW w:w="49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sales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Outdoors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1,831,038</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1,809,653</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1,807,664</w:t>
            </w:r>
          </w:p>
        </w:tc>
      </w:tr>
      <w:tr>
        <w:trPr>
          <w:trHeight w:val="22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1,339,608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1,376,777</w:t>
            </w: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Apparel</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1,645,642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1,705,791</w:t>
            </w:r>
          </w:p>
        </w:tc>
      </w:tr>
      <w:tr>
        <w:trPr>
          <w:trHeight w:val="230"/>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1,201,545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1,187,606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1,235,644</w:t>
            </w:r>
          </w:p>
        </w:tc>
      </w:tr>
      <w:tr>
        <w:trPr>
          <w:trHeight w:val="223"/>
        </w:trPr>
        <w:tc>
          <w:tcPr>
            <w:tcW w:w="4900" w:type="dxa"/>
            <w:vAlign w:val="bottom"/>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6,017,833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5,896,727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6,125,876</w:t>
            </w:r>
          </w:p>
        </w:tc>
      </w:tr>
      <w:tr>
        <w:trPr>
          <w:trHeight w:val="230"/>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r>
      <w:tr>
        <w:trPr>
          <w:trHeight w:val="223"/>
        </w:trPr>
        <w:tc>
          <w:tcPr>
            <w:tcW w:w="4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6,053,414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5,933,450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6,159,291</w:t>
            </w:r>
          </w:p>
        </w:tc>
      </w:tr>
      <w:tr>
        <w:trPr>
          <w:trHeight w:val="21"/>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260" w:hanging="252"/>
        <w:spacing w:after="0" w:line="271" w:lineRule="auto"/>
        <w:tabs>
          <w:tab w:leader="none" w:pos="2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in the current fiscal year amongst various categories and divisions, respectively, to better align with our current merchandising strategy and view of the business. As a result, we have reclassified sales between divisions for 2024 and 2023 for comparability purposes. This reclassification is in divisional presentation only and did not impact the overall net sales balances previously disclosed.</w:t>
      </w:r>
    </w:p>
    <w:p>
      <w:pPr>
        <w:spacing w:after="0" w:line="2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represented 11.7%, 10.5% and 10.7% of merchandise sales for 2025, 2024 and 2023, respectively.</w:t>
      </w:r>
    </w:p>
    <w:p>
      <w:pPr>
        <w:spacing w:after="0" w:line="6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gift card breakage income, credit card bounties and royalties, shipping income, sales return allowance and other items.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stores, all of which are based in the U.S., are designed to provide our customers with an easy-in, easy-out shopping experience. The interior of most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a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stores average approximately 70,000 gross square feet, of which approximately 85% is dedicated to selling space. 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At this time, no stores are connected to malls. We seek to lease all of our stores in long-term lease agreements with third-party landlords, which typically range from 15 to 20 years with various renewal options and lease escalation structures. Of the 322 stores operated as of January 31, 2026, 321 are leased from third parties and one store is owned by the Company.</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and our long-time customers have grown up with Academy and have passed their passion for us on to the next generation, enabling us to benefit from strong customer loyalty and shopping frequency.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color w:val="auto"/>
        </w:rPr>
        <w:t>As of January 31, 2026, the number of stores that we operated, exclusively in the U.S., by state was as follows: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238"/>
        </w:trPr>
        <w:tc>
          <w:tcPr>
            <w:tcW w:w="46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 Stores</w:t>
            </w:r>
          </w:p>
        </w:tc>
      </w:tr>
      <w:tr>
        <w:trPr>
          <w:trHeight w:val="223"/>
        </w:trPr>
        <w:tc>
          <w:tcPr>
            <w:tcW w:w="4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 Virginia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our real estate strategy has positioned us well for further expansion, and our track record has demonstrated that we can open and operate stores profitably. We believe there is significant near-term opportunity for expansion in both new and existing markets.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56"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Our marketing approach is anchored in helping Always Game Families have fun in their pursuit of sports and outdoors activities. The strategy is designed to generate awareness and consideration for the Academy brand while improving intent to purchase across our broad selection of fun categories of</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top national and private brands at a compelling value within our assortment. We analyze first-party data from across our customer data ecosystem, inclusive of our data lake for analysis/model-building and our Customer Data Platform for audience creation and activation. We combine insights from our customer data ecosystem with customer research studies and retail industry market share data sources to develop annual and seasonal go-to-market strategies that lead to the creation of engaging content and customer experiences that are communicated across a diverse range of owned and paid media channels.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using data from our data lake, we leverage our Customer Data Platform to generate first-party data audiences for targeted customer lifecycle management campaigns designed to retain current customers and encourage omnichannel shopping behaviors. First-party data is also used to inform creation of third-party data audiences across a mix of media channels to drive engagement and acquisition of new customers through the use of</w:t>
      </w:r>
    </w:p>
    <w:p>
      <w:pPr>
        <w:jc w:val="both"/>
        <w:spacing w:after="0" w:line="266" w:lineRule="auto"/>
        <w:rPr>
          <w:sz w:val="20"/>
          <w:szCs w:val="20"/>
          <w:color w:val="auto"/>
        </w:rPr>
      </w:pPr>
      <w:r>
        <w:rPr>
          <w:rFonts w:ascii="Times New Roman" w:cs="Times New Roman" w:eastAsia="Times New Roman" w:hAnsi="Times New Roman"/>
          <w:sz w:val="18"/>
          <w:szCs w:val="18"/>
          <w:color w:val="auto"/>
        </w:rPr>
        <w:t>brand design, influencer and customer created content. These campaigns are executed across a blend of digital and traditional media, including paid search, email, text message, mobile app, digital advertising networks, affiliates, and social media along with linear and digital video, audio, print, outdoor and direct mail.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are focused on implementing and continually improving our customer centric marketing technologies, omnichannel services and experiences to save customers time and money while improving the long-term health of our customer portfolio. In July 2024, we launched our loyalty platform, myAcademy Rewards, which provides us a powerful tool to build a deeper connection and understanding of our customers. The Academy Credit Card program, myAcademy Rewards, and Academy Sports + Outdoors app are foundational to build loyalty among customers while providing a seamless omnichannel shopping experience.</w:t>
      </w:r>
    </w:p>
    <w:p>
      <w:pPr>
        <w:spacing w:after="0" w:line="1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making a positive impact on the communities we serve and partner with over 523 organizations, including youth sports leagues that reach approximately 1.1 million participants. We also partner with school districts, professional sports properties, local parks, hunting and fishing organizations, military bases and local first responders.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from customers.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the capacity to service up to approximately 150 stores per distribution center.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retail sporting goods and outdoor industry is highly competitive based on many variables including price, product assortment, customer service, omnichannel experience and store locations. We compete with mass merchants, department stores, large format sporting goods and outdoor stores, traditional sporting goods and outdoor stores, specialty retailers, and online retailers. We seek to attract a broad range of consumers by providing sporting goods and outdoor recreation products that appeal to customers of all experience levels, including families and casual participants. We differentiate ourselves from our competitors by providing a value-based assortment through both leading national brands and our private label brands. For additional information related to our competitors, see the risk factors herein in “Item 1A. Risk Factors”.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information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customer,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store-level operations, and customer engagement. We have agreements with third parties to provide hosting services and administrative support for portions of our infrastructure, and utilize cloud-based systems in addition to those hosted on premises.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July/August back-to-school selling season during the second and third quarters,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Team Members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mission is to provide “Fun for All” and a critical component to our success is our people. As of January 31, 2026, we employed approximately 23,000 team members in the U.S. and Hong Kong. Of those team members, approximately 45% were full-time and 55% were part-time. Our employment levels may fluctuate over the course of the year due to the seasonality of our business. None of our team members are covered by collective bargaining agreements. The Company believes that it has a good working relationship with its team members.</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Culture and Core Values. </w:t>
      </w:r>
      <w:r>
        <w:rPr>
          <w:rFonts w:ascii="Times New Roman" w:cs="Times New Roman" w:eastAsia="Times New Roman" w:hAnsi="Times New Roman"/>
          <w:sz w:val="18"/>
          <w:szCs w:val="18"/>
          <w:color w:val="auto"/>
        </w:rPr>
        <w:t>We strive to provide rewarding careers, benefits, and a workplace culture where team members are empowered to be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authentic self—drawing on their unique perspectives, passions, skills, interests, and experiences in their day-to-day jobs. Our core values establish a strong foundation for our culture and represent the key expectations we have of our team members. These include the following:</w:t>
      </w:r>
    </w:p>
    <w:p>
      <w:pPr>
        <w:spacing w:after="0" w:line="1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 and service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Excellence in all we do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leadership</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 with urgency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Students of the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always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impact on our communities</w:t>
      </w:r>
    </w:p>
    <w:p>
      <w:pPr>
        <w:spacing w:after="0" w:line="2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Management. </w:t>
      </w:r>
      <w:r>
        <w:rPr>
          <w:rFonts w:ascii="Times New Roman" w:cs="Times New Roman" w:eastAsia="Times New Roman" w:hAnsi="Times New Roman"/>
          <w:sz w:val="18"/>
          <w:szCs w:val="18"/>
          <w:color w:val="auto"/>
        </w:rPr>
        <w:t>We believe the best way to serve our customers is to invest in top talent, be open to innovation, and have the vision to succeed.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focused on creating a winning team by recruiting and retaining great people, promoting teamwork, and fostering an enjoyable and rewarding work environment. We also strive to provide all team members with opportunities for personal growth, cross-functional training, job opportunities and career advancement. We offer a mix of instructor-led, online, and blended courses in several key areas, including Career Development and Leadership Development. Our wide variety of courses ranges from job specific (i.e., functional) to broad-based leadership training to safety, security, ethics, and compliance training. We also engage in regular and ongoing feedback, annual performance reviews and annual talent calibration conversations. Succession planning is conducted on an annual basis to identify suitable internal candidates for key positions within the Company.</w:t>
      </w:r>
    </w:p>
    <w:p>
      <w:pPr>
        <w:spacing w:after="0" w:line="210" w:lineRule="exact"/>
        <w:rPr>
          <w:sz w:val="20"/>
          <w:szCs w:val="20"/>
          <w:color w:val="auto"/>
        </w:rPr>
      </w:pPr>
    </w:p>
    <w:p>
      <w:pPr>
        <w:ind w:right="3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In addition to offering competitive compensation, we offer comprehensive benefits to eligible team members.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include, but are not limited to: medical, dental, and vision insurance; participation in the Company’s 401(k) retirement savings plan with a Company match; participation in the Company’s Employee Stock Purchase Plan; paid time off; professional and educational reimbursement programs; medical, family, and bereavement leave; life, legal, pet, and accident insurance; paid parental leave; and a team member discount.</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Workplace, Health and Safety. </w:t>
      </w:r>
      <w:r>
        <w:rPr>
          <w:rFonts w:ascii="Times New Roman" w:cs="Times New Roman" w:eastAsia="Times New Roman" w:hAnsi="Times New Roman"/>
          <w:sz w:val="18"/>
          <w:szCs w:val="18"/>
          <w:color w:val="auto"/>
        </w:rPr>
        <w:t>The health and safety of our customers, team members, and communities is our top priority. We strive to ensure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 and hygienic working environment is provided and that occupational health and safety practices which prevent accidents and injury are promoted. Throughout our stores, distribution centers, and corporate headquarters, we employ policies, procedures, and training to promote safe and healthy work environments.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team member handbook outlines safety expectations, but we also empower our team members with knowledge and skills from various safety training courses during the onboarding process and on an ongoing basis through our learning engagement system with topics such as incident reporting, evacuation, active shooter response, hazardous materials, and heat safety. We continue to focus on developing and driving our safety-first culture through awareness, training, and actions to reduce the frequency and severity of safety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list of our executive officers, their respective ages as of March 17, 2026 and a brief account of the business experience of each of them.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260" w:type="dxa"/>
            <w:vAlign w:val="bottom"/>
          </w:tcPr>
          <w:p>
            <w:pPr>
              <w:spacing w:after="0"/>
              <w:rPr>
                <w:sz w:val="20"/>
                <w:szCs w:val="20"/>
                <w:color w:val="auto"/>
              </w:rPr>
            </w:pPr>
          </w:p>
        </w:tc>
        <w:tc>
          <w:tcPr>
            <w:tcW w:w="60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(Steve) P. Lawrence</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58</w:t>
            </w: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(Sam) J. Johnson</w:t>
            </w:r>
          </w:p>
        </w:tc>
        <w:tc>
          <w:tcPr>
            <w:tcW w:w="14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59</w:t>
            </w: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 Carlton (Carl) Ford IV</w:t>
            </w: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48</w:t>
            </w: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(Matt) M. McCabe</w:t>
            </w:r>
          </w:p>
        </w:tc>
        <w:tc>
          <w:tcPr>
            <w:tcW w:w="14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55</w:t>
            </w: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(Steve) P. Lawrence </w:t>
      </w:r>
      <w:r>
        <w:rPr>
          <w:rFonts w:ascii="Times New Roman" w:cs="Times New Roman" w:eastAsia="Times New Roman" w:hAnsi="Times New Roman"/>
          <w:sz w:val="18"/>
          <w:szCs w:val="18"/>
          <w:color w:val="auto"/>
        </w:rPr>
        <w:t>has served as Chief Executive Officer and on the Board of Directors since June 2023. Mr. Lawrence joined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February 2019 as Executive Vice President and Chief Merchandising Officer. Prior to joining the Company, Mr. Lawrence was President, Chief Executive Officer and served on the board of directors at francesca’s from October 2016 to January 2019. From May 2012 to September 2016, he served as Chief Merchandising Officer at Stage Stores. Mr. Lawrence also spent nearly 12 years working in various merchandising leadership roles at J.C. Penney after 10 years at Foley’s/May Co. Mr. Lawrence obtained his Bachelor of Business Administration in Finance from the University of Notre Dame.</w:t>
      </w:r>
    </w:p>
    <w:p>
      <w:pPr>
        <w:spacing w:after="0" w:line="20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President since October 2023. Mr. Johnson joined the Company in April 2017 as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Operations. Prior to joining the Company,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 Carlton (Carl) Ford IV </w:t>
      </w:r>
      <w:r>
        <w:rPr>
          <w:rFonts w:ascii="Times New Roman" w:cs="Times New Roman" w:eastAsia="Times New Roman" w:hAnsi="Times New Roman"/>
          <w:sz w:val="18"/>
          <w:szCs w:val="18"/>
          <w:color w:val="auto"/>
        </w:rPr>
        <w:t>has served as Executive Vice President and Chief Financial Officer since July 2023. Mr. Ford joined the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2019, and served as the Senior Vice President, Finance, where he led the Financial Planning and Analysis function of the Company from January 2019 to July 2023 and the Loss Prevention and Inventory Control teams from February 2020 to July 2023. Prior to joining the Company, Mr. Ford served as the Vice President of Financial Planning &amp; Analysis at Belk, Inc. He also served as the Vice President of Internal Audit and held other leadership roles in accounting and treasury during his 15 years at Belk, Inc. Prior to joining Belk, Inc., Mr. Ford worked for Deloitte &amp; Touche in their Audit practice. Mr. Ford holds a Master's Degree in Accounting from the University of Alabama, a Bachelor's Degree in Accounting from the University of Southern Mississippi and is an active Certified Public Accountant.</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(Matt) McCabe </w:t>
      </w:r>
      <w:r>
        <w:rPr>
          <w:rFonts w:ascii="Times New Roman" w:cs="Times New Roman" w:eastAsia="Times New Roman" w:hAnsi="Times New Roman"/>
          <w:sz w:val="18"/>
          <w:szCs w:val="18"/>
          <w:color w:val="auto"/>
        </w:rPr>
        <w:t>has served as the Executive Vice President and Chief Merchandising Officer since June 2023. Mr. McCabe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December 2016 as the Vice President, Divisional Merchandise Manager of Athletic and Licensed Apparel and served as the Senior Vice President, General Merchandise Manager of Footwear from September 2017 to June 2023. In this role, he was responsible for setting the merchandising objectives and business strategy for the Footwear division. Prior to joining the Company, Mr. McCabe served as Vice President at Golfsmith International, where he led the apparel, footwear and soft consumables buying and private brand businesses. He has more than 25 years of experience in men's and women's apparel and footwear, and held various leadership roles at The Bon Ton Department Stores, Bachrach, Sears &amp; Roebuck Co., and Mark Shale. Mr. McCabe holds a Bachelor of Science from Miami University.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private label brands, such as Academy Sports + Outdoors, Magellan Outdoors, BCG, O’rageous, Game Winner, Outdoor Gourmet, Freely, R.O.W., Redfield, and H2OX, and our designs, names, slogans, images and trade dress associated with these brands, are valuable assets that are critical to our success.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These agreements typically contain a one to three-year term and contractual payment amounts required to be paid by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Specifically,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 and forced labor prevention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or FCPA and other anti-corruption laws;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federally licensed firearms dealer, and we sell firearms, ammunition, and related accessories, including suppressors. Firearms represented approximately 6% of our net sales in 2025.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United States Department of Justice announced a policy emphasizing “zero tolerance” for willful violations of the law by federally licensed firearms dealers; in 2025 that policy was repealed. Federal, state, and local agencies continue to regulate and enforce compliance requirements applicable to firearms dealers. In the future, there may be increased federal, state or local regulation and enforcement affecting the sale of firearms, ammunition, and related accessories, including taxation or restrictions on the type of firearms, ammunition, and accessories available for retail sale, which could reduce our sales and profitability.</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see the risk factors herein in “Item 1A. Risk Factors” under the sub-caption “Legal and Regulatory Risks”.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website address is www.academy.com. We use our website as a channel of distribution for company information. We will make available free of charge on the Investor Relations section of our website our Annual Report on Form 10-K, Quarterly Reports on Form 10-Q, Current Reports on Form 8-K and all amendments to those reports as soon as reasonably practicable after such material is electronically filed with or furnished to the SEC pursuant to Section 13(a) or 15(d) of the Exchange Act. We will also make available through our website other reports filed with or furnished to the SEC under the Exchange Act, including our proxy statements and reports filed by officers and directors under Section 16(a) of the Exchange Act, as well as our Ethics and Code of Conduct Policy. Financial and other material information regarding the Company is routinely posted on our website and is readily accessible. We do not intend for information contained on our website to be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In addition to the other information contained in this Annual Report, you should consider the following risk factors before investing in our securities. Risks in this section are grouped in the following categories: (1) Risks Related to Our Business and Industry; (2) Legal and Regulatory Risks; (3) Risks Related to Our Indebtedness; and (4) Risks Related to the Ownership of Our Common Stock. Many risks affect more than one category, and the risks are not in order of significance or probability of occurrence because they have been grouped by categories.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63"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global hostilities, trade disputes, labor shortages, and other disruptions to the supply chain;</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events (such as pandemics and epidemics) and their effect on our customers, team members, vendors/suppliers and other stakeholders;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Increasing volatility in financial markets may cause some of the aforementioned conditions to change with even greater degree of frequency and magnitude.</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comparable sales, net sales per square foot, customer traffic or average value per transaction may be adversely affected if, for example, our customers reduce their purchases with us due to inflationary pressures,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including as a result of increases in interest rates,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which exposes us to various international risks, including additional tariffs, that could have a material adverse effect on our business and results of operations.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private label brand merchandise, is manufactured in countries such as China, Bangladesh, Vietnam, Cambodia, and Brazil. Foreign imports subject us to the risks of changes in tariffs and duties, quotas, loss of “most favored nation” status with the United States for a particular foreign country, delays in shipment, shipping port and ocean carrier constraints, supply and demand constraints, labor strikes, work stoppages, supply chain disruptions including those caused by extreme weather, natural disasters, public health events (such as pandemics)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For example, in late 2021, the United States government enacted the Uyghur Forced Labor Prevention Act (“UFLPA”), which presumes goods produced in the Xinjiang Uyghur Autonomous Region of China, or with labor linked to specified Chinese government-sponsored labor programs, were produced using forced labor and prohibits importation of such goods into the United States absent clear and convincing evidence proving otherwise. Compliance with the UFLPA has become increasingly complex and the UFLPA Entity List has expanded, with additional industries and materials designated as high-priority sectors for enforcement. As a result, we may experience shipment delays, seizures, supply disruptions, increased compliance and documentation costs, or the need to source alternative suppliers, any of which could have a material adverse effect on our business, financial condition, and results of operations. Merchandise or raw materials purchased from alternative sources may be of lesser quality or more expensive than the merchandise or raw materials we currently purchase.</w:t>
      </w:r>
    </w:p>
    <w:p>
      <w:pPr>
        <w:spacing w:after="0" w:line="1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trade-related risks are heightened by the evolving, frequent, and unpredictable nature of global trade policies, including the use of executive authority to impose, modify, suspend or expand tariffs and other trade restrictions. Such actions may be implemented with limited advance notice and may apply to a broad range of countries, materials, and products, including steel, aluminum, and other derivative products, and may be subject to retaliation by affected countries. As a result, we may be unable to timely adjust our sourcing, pricing, or operational strategies to mitigate the impacts of such changes, which could materially increase our costs and adversely affect our margins, results of operations, and financial condition.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For example, we have experienced, and may continue to experience, disruptions resulting from public health events, significant changes in trade policy, labor shortages, geopolitical tensions, and constraints within global transportation and logistics networks, any of which may result in increased costs, delays, or reduced availability of merchandise. The imposition of trade tariffs, sanctions</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8"/>
          <w:szCs w:val="18"/>
          <w:color w:val="auto"/>
        </w:rPr>
        <w:t>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continuation or escalation of global trade tensions could have further adverse effects on our sales and profitability, results of operations and financial condition. Additionally, the prices charged for the merchandise that we purchase by foreign manufacturers may be affected by the fluctuation of their local currency against the U.S. dollar.</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become more expensive or may no longer be available at a commercially attractive price or at all, each of which in turn could have a material adverse effect on our business, financial condition and results of operations.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systems could disrupt our operations and negatively impact our business operations and materially and adversely affect our financial results.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efficient operation of our business is dependent on the successful integration and operation of our information systems, some of which require interoperability to perform the intended function or are dependent on services managed or provided by third-parties. For example, we rely on our information systems to manage merchandise planning and replenishment, warehousing and distribution, store operations, customer relationships, e-commerce, and customer transactions, optimize our overall inventory levels, process financial information and sales transactions, pay and receive funds, prevent security breaches and fraud, communicate internally and externally, provide support services, and comply with legal and regulatory obligations.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information systems, if not functioning properly or if failing to function altogether, could disrupt our ability to track, record, and analyze sales and inventory and could cause disruptions of operations, including, among other things, our ability to order, process and ship inventory, process financial information including credit card transactions, prepare financial statements, defend against potential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or other cybersecurity incidents, catastrophic events and severe weather such as fires, floods, tornadoes, earthquakes and hurricanes, and usage or coding errors by our team members or partners. From time to time we have experienced, and we may in the future, further experience interruptions, damages, or failures of our information systems, some of which disrupt our business and cause us to expend additional resources to rectify. Although we attempt to mitigate the risk of possible business interruptions by employing customary strategies, any material disruption, malfunction or any other similar problem in or with our information systems could negatively impact our business operations and materially and adversely affect our financial results.</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time to time, our information systems may require repair, upgrade, enhancement, integration and/or replacement for us to maintain successful current operations and achieve future sales and store growth.</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Updating our existing information systems subjects us to numerous additional risks, including:</w:t>
      </w:r>
    </w:p>
    <w:p>
      <w:pPr>
        <w:spacing w:after="0" w:line="63"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caused by mistakes made in the process of updating or upgrading applications or hardware;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system ultimately does not meet the needs of the business.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failure to successfully update and maintain our information systems, and any missteps, delays, cost overruns, vendor disputes, technical challenges or other similar issues that may arise during the updating of our information systems, could have a material impact on our business, financial condition, results of operations, internal controls over financial reporting and ability to manage our business effectively.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systems to improve and enhance our capabilities, whether for operational, financial or risk reduction purposes. Any failure to timely, properly or adequately implement these information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and expect to continue to use machine learning and other types of artificial intelligence in our business, and challenges with properly managing its use could adversely affect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and expect to continue to use artificial intelligence and machine learning technology that is rapidly evolving and gaining capabilities. Advancements in technology may allow us to expand the use of artificial intelligence, including generative artificial intelligence, into key operational and/or administrative aspects of our business over time. Our business, financial condition, and results of operations may be adversely affected if the output of our use of artificial intelligence is or is alleged to be deficient, inaccurate, or biased. As with other emerging technology, new providers may arise from time to time, regulatory and legal limitations on its use may evolve, costs may not be predictable, and the successful use of such technology may require changes to business processes, data systems and processes, and the delivery of products and services provided to customers. We may be required to expend additional resources in order to use artificial intelligence responsibly and effectively in compliance with applicable laws and standards. Our competitors may incorporate artificial intelligence into their business more quickly or more successfully than us, which could impair our ability to compete effectively and adversely affect our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managing our inventory balances, our sales may decline and our results of operations may be negatively affected.</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factors beyond our control, such as severe weather, local safety concerns, player-lockouts or strikes, may significantly affect whether or not certain sports leagues are able to host their games in their usual seasons, and if they are, whether or not spectators can or are able to attend. Our licensed apparel is significantly more popular when spectators are able to attend the games of the sports teams featured on such apparel. Rapid changes in trade policy, tariffs, or sourcing strategies may also contribute to inventory forecasting challenges, including the timing and quantity of inventory purchases, which could increase the risk of excess inventory, supply shortages, or mismatches between product availability and consumer demand.</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obtain access to, and sell brand name merchandise at competitive prices, then we may lose customers and our sales may decline and our results of operations may be negatively affected.</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and obtain access to a broad assortment of brands and styles, to enable us to offer to our customers attractive, innovative and high-quality merchandise on a continuous basis. It is difficult to predict consistently and successfully the products and services our customers will demand as we often purchase products from our vendors several</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14" w:lineRule="exact"/>
        <w:rPr>
          <w:sz w:val="20"/>
          <w:szCs w:val="20"/>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travel, media (including social media) and electronics-driven leisure activities;</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recession, inflation or other factors, such as global or local pandemics;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inflation, rising fuel prices, rising participation fees and rising sporting license fees; and</w:t>
      </w:r>
    </w:p>
    <w:p>
      <w:pPr>
        <w:spacing w:after="0" w:line="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and natural or man-made disasters (e.g., an oil spill closing large areas of hunting or fishing), including heat waves, freezes, hurricanes, tornadoes, large storms and floods.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their brand name merchandise, we may not be able to meet the demand of our customers for brand names merchandise.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Changes in consumer preferences and spending patterns may be long-lasting or structural rather than temporary and could be amplified by pricing actions taken in response to higher costs or tariffs, which may cause consumers to reduce discretionary spending or shift purchases to alternative products or channels.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artificial intelligence initiatives,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30"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website design and functionality, including search capabilities;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1300" w:right="20" w:hanging="320"/>
        <w:spacing w:after="0" w:line="28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investments from competitors, and maintain investments necessary for our e-commerce operation;</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accurate website content and functionality, timely and accurately fulfilling orders, integrating our e-commerce business with our store operations, and growing the operation as part of our overall strategic plan. In addition, offering different products through each channel could cause conflicts and cause some of our current or potential e-commerce customers to consider our competitors. Offering products through our e-commerce platform could also cause some of our current or potential vendors to consider competing internet or mobile offerings of their products either on their own or through competing distributors. If we do not successfully manage the risks and navigate the challenges associated with our e-commerce activities, it could have a material adverse effect on our results of operations. 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confidentiality, and availability of our information systems (including our technology infrastructure and networks, third party services, and hosted and on-premises software) and data that we hold relating to us and our customers, team members, and partners (including vendors) could result in lost sales, fines, penalties, assessments, investigations, inquiries, and/or lawsuits, a loss of confidence in us, and harm to our reputation, business, results of operations, and financial condition.</w:t>
      </w:r>
    </w:p>
    <w:p>
      <w:pPr>
        <w:spacing w:after="0" w:line="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security of our information systems (including our technology infrastructure and networks, third party services, artificial intelligence, and hosted and on-premises software) and data (including from our customers, team members and partners) is critical to our business as a retailer, and we devote significant resources to protecting our information systems and data. In order to operate our business and to provide products and services to our customers, we collect, source, store, maintain, and process data that can be used to identify a person (i.e., personal data or personally identifiable information), including customers, partners, and team members, along with our intellectual property and proprietary business information. We share data with third parties for further processing consistent with applicable terms and conditions. Our retail stores and online operations depend on the secure transmission and processing of confidential information and the continued operation of information systems necessary to perform store operations and to process transactions. Our customers provide payment card and gift card information, alternative payment information, and other personal information to purchase products or services, enroll in promotional programs, apply for credit, create accounts and make purchases on our website or mobile applications, participate in our loyalty program, or otherwise communicate and interact with us. Job applicants provide personal information in connection with their employment application and our team members provide personal information in connection with their continued employment. We may share information about individual persons with partners assisting with certain aspects of our business. Some personal data and personally identifiable information may be deemed sensitive or otherwise protected under applicable laws or regulations and may be subject to specific requirements for collection, processing, sharing, security, and disposal.</w:t>
      </w:r>
    </w:p>
    <w:p>
      <w:pPr>
        <w:spacing w:after="0" w:line="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and our partners rely on commercially available information security technology and industry standard operational practices for collecting, storing, maintaining, transmitting, protecting, and processing data. Despite our security measures, we may not be able to anticipate, prevent, and stop future cybersecurity incidents, including attacks to our information systems and data and those of our partners. Threat actors may have the ability to defeat our security measures and may obtain access to data (including personal data or personally identifiable information) that we hold relating to us and our customers, team members, and vendors, or may cause operational harm. For example, ransomware events could cause key systems to be unavailable for use, or credential stuffing attacks</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8"/>
          <w:szCs w:val="18"/>
          <w:color w:val="auto"/>
        </w:rPr>
        <w:t>of customer accounts on our website could cause customer privacy breaches and unauthorized charges to payment or gift cards, or phishing/smishing attacks, in which attackers masquerade as a trustworthy entity in an electronic communication (including email or text message), could gain control of a user's device and/or credentials. The techniques used by threat actors to attack or access information systems and data evolve and may not be recognized until or after being launched against a target. We may not have the resources or technical sophistication to anticipate, prevent or stop new or evolving cybersecurity incidents, including attacks to our information systems and data and those of our partners. We may also be vulnerable to breaches due to human error or other disruptions, including data privacy breaches by employees, insiders or others with authorized access, or other cybersecurity incidents. As new and improved technologies and methodologies become available to threat actors (for example, artificial intelligence), increased risks and currently unknown vulnerabilities could result in significant future expenditures related to our information systems, technology infrastructure and operations. A future cybersecurity incident could also (1) result in unauthorized access, disclosure, loss, or misuse of our intellectual property, proprietary information, or team member, customer or supplier data, (2) attract substantial media attention, (3) damage our relationships with our customers, team members, and partners, (4) cause a loss of confidence in us or cause us to violate applicable privacy laws and obligations, (5) expose us to costly government enforcement actions or private litigation and financial liability (possibly beyond our insurance coverage), (6) increase the costs we incur to protect against or remediate cybersecurity incidents and vulnerabilities, (7) result in additional costs and operational activities to comply with consumer protection and data privacy laws and obligations, and/or (8) disrupt our operations and distract our management and other key personnel from performing their primary operational duties, any of which could adversely affect our reputation, competitiveness, business, results of operations, and financial condition. Any of the foregoing can be exacerbated by a delay or failure to detect a cybersecurity incident or the full extent of such incident.</w:t>
      </w:r>
    </w:p>
    <w:p>
      <w:pPr>
        <w:spacing w:after="0" w:line="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cyber liability insurance in an amount and coverage we deem appropriate, taking into account the specific coverages and coverage requirements in the marketplace. There is no guarantee that our cyber liability insurance will cover a particular cyber incident, that such coverage will be sufficient, or that insurance proceeds will be paid in a timely manner. If an insurance carrier seeks to deny coverage of a particular loss, we may incur costs to dispute the denial of coverage, which could result in paying costs that otherwise would be recovered from insurance and delays in or ultimate denial of coverage.</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data privacy and cybersecurity regulatory environment is constantly changing, with new and increasingly rigorous or complex requirements. Consumer data privacy, cybersecurity, artificial intelligence, and other laws and related regulations have been enacted and additional laws, regulations, and standards are under consideration by various state and federal legislatures, regulatory authorities, and standards bodies. Maintaining compliance with those requirements may require significant effort, cost, new or improved technical capabilities, and changes to our business practices, and may limit our ability to obtain or use data to provide a personalized customer experience or to engage in certain marketing practices. In addition, any alleged or actual failure to comply with applicable requirements could subject us to fines, sanctions, governmental investigations, lawsuits, reputational damage, and other risks and costs that may be difficult to anticipate but could become material.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intensely competitive, and continually evolving. Our current and prospective competitors include many large companies, some of which have substantially greater market presence, name recognition and financial, marketing, technological, and other resources than us. We compete directly or indirectly with the following categories of companies:</w:t>
      </w:r>
    </w:p>
    <w:p>
      <w:pPr>
        <w:spacing w:after="0" w:line="14"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retailers;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that sell directly to customers;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or non-traditional retail formats, including digitally native brands and marketplace platforms.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promotion, and customer acquisition. Traditional competitors have become increasingly promotional and, if our competitors reduce their prices, it may be difficult for us to reach our net sales goals without reducing our prices, which could impact our margins. The adoption by competitors of innovative store formats, aggressive pricing, promotion or delivery strategies and alternative retail models, such as mobile-first commerce, social commerce, and third-party marketplaces, could cause us to lose market share and could have a material adverse effect on our business, financial condition, results of operations and cash flows. In addition, as the popularity and use of Internet sites, free merchandise shipping, and suppliers selling directly to consumers continue to increase, our business faces increased competition from various domestic and international sources, including our suppliers. The ability of consumers to compare prices on a real-time basis through the use of smartphones, apps, and digital technology puts additional pressure on us to maintain competitive prices, inventory availability, and fulfillment capabilities.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require significant capital in the future to sustain or grow our business, including our store and e-commerce activities, due to increased competition and market entry by new or disruptive retailers. There is no assurance that cash flow from operations will be sufficient to meet those needs or that additional sources of capital will be available on acceptable terms or at all.</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to our distribution network or the timely receipt of inventory could adversely impact sales or increase our transportation costs, which would decrease our profits.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For example, during fiscal 2021, we experienced a period of decreased or delayed supply and high inflation as a result of increased competition across the industry for resources, which constrained the supply chain and negatively impacted our transportation and inventory costs. While we have seen some improvement to these constraints, resulting in decreased freight costs over the past couple of years, we may from time to time experience decreased or delayed supply. In addition, changes in regulations may result in higher fuel costs through taxation, transportation restrictions or other means. Fluctuations in transportation costs and availability could adversely affect our results of operations.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have historically had and could potentially continue to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man-made or natural disasters and public health events, could negatively affect our business.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growth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We may also need to expand our distribution infrastructure, including the addition of new distribution centers, as it might be difficult to extract additional efficiencies from our existing distribution infrastructure. Our plans to increase our number of retail stores will depend in part on the availability of existing vacant retail stores or developable store sites. The availability of second-generation retail store space and developable store sites (i.e., land and redevelopment sites) that meet our criteria is very low and highly-sought after by our competitors. In addition, land prices and lease rents have continued to increase due to various macroeconomic factors. Further,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typically lease our stores under operating leases with initial terms of approximately 15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our expansion into new and existing markets may present competitive, merchandising, marketing, human resources, distribution and regulatory challenges that differ from our current challenges, including expanding and improving our operating capabilities,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are not able to meet new challenges in expanding in new and existing markets, our sales could decrease and our operating costs could increase.</w:t>
      </w:r>
    </w:p>
    <w:p>
      <w:pPr>
        <w:spacing w:after="0" w:line="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Furthermore, the success of our stores depends on several factors including the sustained success of the shopping center where the store is located, consumer demographics, and consumer shopping habits and patterns. Changes in consumer shopping habits and patterns, reduced customer traffic in the shopping centers where our stores are located, financial difficulties of our landlords, or the shopping center operators, anchor tenants or a significant number of other retailers, and shopping center vacancies or closures, could impact the profitability of our stores and increase the likelihood that our landlords or the shopping centers operators fail to fulfill their obligations and conditions under our lease agreements or governing documents. Thus, our failure to achieve our expansion plans could materially and adversely affect our business, financial condition and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our sales could decline.</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attract, train and retain quality team members in sufficient numbers, increases in wage and labor costs, and changes in laws and other labor issues could adversely affect our business.</w:t>
      </w:r>
    </w:p>
    <w:p>
      <w:pPr>
        <w:spacing w:after="0" w:line="18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which can lead to increased training and retention costs, particularly if employment opportunities increase. We are also dependent on the team members who staff our distribution centers, many of whom</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are skilled. We may be unable to meet our labor needs and control our costs due to external factors such as the availability of a sufficient number of qualified persons in the work force of the markets in which we operate, competition, unemployment levels, changes in immigration laws, demand for certain labor expertise, prevailing wage rates, wage inflation, changing demographics, health and other insurance costs, adoption of new or revised employment and labor laws and regulations, and the impacts of man-made or natural disasters, such as tornadoes, hurricanes, and public health events. We have experienced, and expect to continue to experience, a shortage of labor for certain functions, which has increased our labor costs and negatively impacted our profitability. The extent and duration of the effect of these labor market challenges are subject to numerous factors, including availability of qualified persons in the markets where we and our contracted service providers operate and unemployment levels within these markets, behavioral changes, prevailing wage rates and other benefits, inflation, adoption of new or revised employment and labor laws and regulations (including immigration/visa processing) or government programs, safety levels of our operations, and our reputation within the labor market.</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Potential future legislative initiatives may seek to increase the federal minimum wage in the United States, as well as the minimum wage in a number of individual states or markets.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all of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against inventory shrink, our results of operations and financial condition could be adversely affected.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effectively manage our inventory. We have historically experienced loss of inventory (also called shrink) due to damage, theft (including from organized retail crime), and other causes. We continue to experience elevated levels of inventory shrink relative to historical levels, which has adversely affected, and could continue to adversely affect, our results of operations and financial condition. To protect against rising inventory shrink, we have taken, and may continue to take, certain operational and strategic actions that could adversely affect our reputation, customer experience, and results of operations. In addition, sustained high rates of inventory shrink at certain stores could impact the profitability of those stores and result in the impairment of long-term assets.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could increase our operating costs, expose us to fraud or theft, subject us to potential liability and potentially disrupt our business.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The payment methods that we offer also subject us to potential fraud and theft by criminals, who are becoming increasingly sophisticated, seeking to obtain unauthorized access to or exploit weaknesses that may exist in the payment systems.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or increase our costs of compliance.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public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our e-commerce orders, especially during peak shopping seasons.</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events, such as pandemics, natural disasters, such as earthquakes, hurricanes, tornadoes, freezes, snow or ice storms, floods and heavy rains, heatwaves, and man-made disasters, such as an oil spill closing large areas of hunting or fishing, could disrupt our operations or the operations of our suppliers, as well as affect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Global climate change may result in significant natural disasters occurring more frequently or with greater intensity, such as drought, wildfires, storms, sea-level rise, and flooding. We have significant operations in certain states where natural disasters are more prevalent. Natural disasters in those states could result in significant physical damage to or closure of one or more of our stores, distribution centers, facilities, or key vendors Socio-political factors, such as foreign wars, civil unrest or other economic or political uncertainties that contribute to consumer unease or harm to our supply chain or store base, may also result in decreased discretionary spending, property damage and/or business interruption losses. For example, we may face losses related to civil unrest in the United States.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and any precautions that we may take may not be adequate to mitigate the impact of such events. If these events impact areas in which we have our corporate headquarters, distribution centers, a concentration of retail stores or vendor sources or foreign and/or U.S. ports, such events could have a material adverse effect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impacting the Gulf Coast region of the United States, a nuclear power plant crisis or other events, may also impact our regional area. We sell a significant amount of merchandise related to sports and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there is a regional economic downturn or any other adverse regional event in the southern United States, there could be an adverse impact on our net sales and results of operations and our ability to implement our planned expansion program.</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increases in commodity prices and other factors could negatively impact our consolidated and combined results of operations.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cost of our merchandise has increased and may continue to increase due to, among other factors, higher raw material prices, tariffs, labor costs, freight and logistics expenses, and increased regulatory compliance requirements. A substantial rise in the price of raw materials, including as a result of increases in commodity prices and tariffs on them, could dramatically increase the costs associated with manufacturing the merchandise that we purchase from our suppliers, which could cause the price of our merchandise to increase and could have a negative impact on our sales and profitability.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to manage the receipt, storage, sorting, packing and distribution of our merchandise to the appropriate stores or to the customer directly. We depend in large part on the orderly operation of our receiving and distribution process, which depends, in turn, on adherence to shipping schedules, proper functioning of our information technology and inventory control systems and overall effective management of our distribution centers. A disruption or a prolonged interruption in the operations at any of these distribution centers or third-party transportation providers due to a work stoppage, labor shortage, operations significantly below historical efficiency levels, supply chain disruption, public health events (such as pandemics), severe weather (such as tornadoes) or natural or man-made disasters (including events that may be caused or exacerbated by climate change), system or power grid failures or cyber incidents,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slowdowns or strikes, acts of terror or other unforeseen events in the areas or regions of these facilities could impair our ability to adequately stock our stores, process returns of products to vendors and ship products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maintain business interruption and property insurance for these facilities, there can be no assurance that our insurance coverage will be sufficient, or that insurance proceeds will be timely paid to us, if our distribution centers are shut down or interrupted for any unplanned reason.</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in order to support our existing business and future initiatives and may not be able to retain or replace these team members, recruit additional qualified personnel or effectively manage succession.</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may be adversely impacted if we are not able to attract, retain and develop talent and future leaders, including our senior executives and team members. Our senior executive team closely supervises all major aspects of our business, including the design and development of our strategy, and procurement of merchandise; operation of our information technology platforms, supply chain, and store network; development and retention of critical talent; and financial planning, reporting and compliance. Our senior executive team has substantial experience and expertise in our retail business, and serves an integral role in the growth and support of our various initiatives. If we were to lose the leadership of senior executives or other key team members without appropriate successors in place, our business could be adversely affected. In addition, if significant unexpected turnover occurs at the team member level, the loss of the services of these individuals, or any resulting negative perceptions of our business, could damage our reputation and our business. Competition for such qualified talent is significant, and we cannot be sure we will be able to find suitable successors promptly, or at all, or to successfully integrate any successors, or that we will be able to attract, retain, and develop a sufficient number of qualified individuals in future periods.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1,500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depend on approximately 1,500 suppliers to supply us in a timely and efficient manner with the merchandise we sell. Our significant dependence on these suppliers exposes us to various risks that could have a material adverse effect on our business and results of operations. In 2025, purchases from our largest vendor represented approximately 12%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In the past few years, we have begun to see increased competition across the industry for resources throughout the supply chain, which resulted in disruptions to the flow of products from our vendors, labor shortages, reduced shipping container availability, and longer delays at the port. As a result, we have experienced a period of decreased or delayed supply and high inflation which negatively impacted transportation and inventory costs. Fluctuations in the supply chain or changes in our relationships with our suppliers (which can occur for various reasons in or out of our control)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Further, vendors increasingly sell their products directly to customers or through broadened or alternative distribution channels, such as department stores, family footwear stores, or e-commerce companies. Moreover, many of our suppliers provide us with merchandise purchasing incentives, such as return privileges, volume purchasing allowances and cooperative advertising, and a decline or discontinuation of these incentives could severely impact our results of operations. If there is a disruption in supply from a principal supplier (which can occur for various reasons in or out of the control of these suppliers), we may experience merchandise out-of-stocks, delivery delays or increased delivery costs, or otherwise be unable to obtain the same merchandise from other suppliers in a timely and efficient manner and on acceptable terms, or at all, which could materially affect our results of operations and our customers’ confidence in us.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private label brand merchandise exposes us to various risks generally encountered by companies that source, manufacture, market and retail exclusive private label brand merchandise.</w:t>
      </w:r>
    </w:p>
    <w:p>
      <w:pPr>
        <w:spacing w:after="0" w:line="51"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private label brand merchandise, most of which is sold exclusively by Academy. The sale of private label brand merchandise subjects us to certain risks, including:</w:t>
      </w:r>
    </w:p>
    <w:p>
      <w:pPr>
        <w:spacing w:after="0" w:line="1" w:lineRule="exact"/>
        <w:rPr>
          <w:sz w:val="20"/>
          <w:szCs w:val="20"/>
          <w:color w:val="auto"/>
        </w:rPr>
      </w:pPr>
    </w:p>
    <w:p>
      <w:pPr>
        <w:ind w:left="1300" w:right="20" w:hanging="320"/>
        <w:spacing w:after="0" w:line="28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1"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private label brand merchandise;</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13"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private label brand merchandise and other risks generally encountered by entities that source, manufacture, market and retail private label brand merchandise.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part of our long-term strategy, we look for opportunities to cost-effectively enhance the capabilities of our business services. In some cases, 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In some cases, we rely on a single vendor for such services. While we believe we conduct appropriate due diligence before entering into agreements with these third-parties, if we fail to properly manage these vendors or if they fail to meet, or are prevented from meeting, our performance standards and expectations, then our reputation, sales, and results of operations could be adversely affected. Any significant interruption in the operations of these service providers, over which we have no control, could also have an adverse effect on our business. In addition, we could face increased costs or incur substantial time in finding and implementing replacement service vendors or, alternatively, hiring new team members, making additional technology purchases, and changing information systems configurations to provide these business services and solutions in-house.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cybersecurity incidents, product liability and product recalls, our social media activity, our handling of issues relating to corporate responsibility matters, including our response to such matters, failure to comply with applicable laws and regulations or enforce our own policies, our policies related to the sale of firearms, ammunition and accessories, our policies relating to public health, public stances on controversial social or political issues, concerns surrounding labor, environmental, workplace safety and other practices that may vary from U.S. standards in any of our foreign manufacturers, whether directly or indirectly, and any of the other risks enumerated in these risk factors. As part of our marketing efforts, we rely on social media platforms and other digital marketing to</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It may be difficult to address negative publicity across media channels, regardless of its accuracy or the reputability of its source, and this challenge could be further exacerbated by fictitious media content, such as content produced by generative artificial intelligence or bad actors.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sales may fluctuate due to seasonality and other factors outside of our control.</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We must carry a significant amount of inventory, particularly before these selling periods.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 If we are not successful in selling our inventory during these periods, we may be forced to rely on markdowns or promotional sales to dispose of the excess inventory or may not be able to sell the inventory at all, which could have a material adverse effect on our business, financial condition and results of operations.</w:t>
      </w:r>
    </w:p>
    <w:p>
      <w:pPr>
        <w:spacing w:after="0" w:line="84"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quarterly results of operations and comparable sales have historically fluctuated, and may continue to fluctuate, as a result of factors outside our control, including:</w:t>
      </w:r>
    </w:p>
    <w:p>
      <w:pPr>
        <w:spacing w:after="0" w:line="1"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or public health emergencies (such as snow storms, hurricanes, tornadoes, floods, pandemics, and civil disturbances);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access to, new products or brands;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developments in our markets;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63"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the substance or enforcement of such laws may change or become more stringent.</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(DOJ), Department of Treasury, Federal Trade Commission, Customs and Border Protection, Bureau of Alcohol, Tobacco, Firearms and Explosives (ATF), Securities and Exchange Commission (SEC), Internal Revenue Service, or IRS, and Environmental Protection Agency and comparable state and local agencies.</w:t>
      </w:r>
    </w:p>
    <w:p>
      <w:pPr>
        <w:spacing w:after="0" w:line="7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federally licensed firearms dealer and we sell firearms, ammunition, and related accessories, including suppressors. Firearms represented approximately 6% of our net sales in 2025.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DOJ announced a policy emphasizing “zero tolerance” for willful violations of the law by federally licensed firearms dealers; in 2025 that policy was repealed. Federal, state, and local agencies continue to regulate and enforce compliance requirements applicable to firearms dealers. In the future, there may be increased federal, state or local regulation or enforcement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FCPA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or other U.S. and foreign laws and regulations applicable to us.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demands and lawsuits.</w:t>
      </w:r>
    </w:p>
    <w:p>
      <w:pPr>
        <w:spacing w:after="0" w:line="12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1" w:lineRule="exact"/>
        <w:rPr>
          <w:sz w:val="20"/>
          <w:szCs w:val="20"/>
          <w:color w:val="auto"/>
        </w:rPr>
      </w:pPr>
    </w:p>
    <w:p>
      <w:pPr>
        <w:jc w:val="both"/>
        <w:ind w:left="1300" w:hanging="320"/>
        <w:spacing w:after="0" w:line="26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17"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private label brand products;</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ammunition, and suppressors, including improper performance of federally mandated procedures for determining customer firearm purchase eligibility (such as age and residency verification, background checks and proper completion of required paperwork);</w:t>
      </w:r>
    </w:p>
    <w:p>
      <w:pPr>
        <w:spacing w:after="0" w:line="1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1"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third-party owned fleet of trucks for distribution purposes, including transportation of hazardous materials by such fleet;</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1300" w:hanging="320"/>
        <w:spacing w:after="0" w:line="281"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issues, including enforcements actions, investigations and/or related litigation;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to our information systems or facilities that results in a breach of data security or privacy; and</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which carries inherent liability and reputational risk. These products are associated with an increased risk of injury and related lawsuits with respect to our compliance with federal and state laws and regulations covering such products. Any improper or illegal use by our customers of firearms, ammunition, or related accessories sold by us could have a negative impact on our reputation and business. We are, and may in the future also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or indemnities may not be sufficient to cover damages related to claims and lawsuits.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insurance coverage with third-party insurers. However, not every risk or liability is or can be protected by insurance, and, for those risks we insure, the limits of coverage we purchase or that are reasonably obtainable in the market may not be sufficient to cover all actual losses or liabilities incurred. Liability insurance coverage is expensive and there is a risk that commercially available liability insurance will not continue to be available to us at a reasonable cost, if at all. If we or other industry participants sustain significant losses or make significant insurance claims, our ability to obtain future insurance coverage at commercially reasonable rates could be materially adversely affected. An inability to obtain liability insurance, significant increases in the cost of insurance we obtain, or losses in excess of our liability insurance coverage could have a material adverse effect on us.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currently self-insure a portion of our commercial insurance deductible risk through our captive insurance company. To the extent that our captive insurance company is unable to bear that risk, we may be required to fund additional capital to our captive insurance company or we may be required to bear that loss.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carry or maintain such insurance coverage or meet their indemnity obligations or (3) we will be able to collect payments</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from our vendors sufficient to offset liability losses or, in the case of our private label brand products, where almost all of the manufacturing occurs outside the United States, that we will be able to collect anything at all.</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With all claims and lawsuits, however, there is a risk that liabilities, fines and losses may not be covered by insurance or indemnity or may exceed insurance or indemnity coverage.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operating results could be adversely affected by product safety concerns.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products that we offer, including from both national brands and our private label brands, do not meet applicable safety standards or our customers’ expectations regarding safety, we could experience decreased sales, increased costs, and/or be exposed to legal and reputational risk. All of our vendors must comply with applicable product safety laws, and we rely on our vendors to ensure that the products we buy comply with all federal, state, and local requirements for sale, including product safety, labeling, and testing requirements. Negative customer perceptions and publicity regarding the safety and sourcing of the products we sell, and events that give rise to actual, potential, or perceived product safety concerns could expose us to government enforcement action and/or private litigation. Furthermore, reputational damage caused by real or perceived product safety concerns could have a negative impact on our sales and operating results.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trademarks, service marks, copyrights, patents, processes, trade secrets, domain names and other intellectual property, including our Academy Sports + Outdoors brand, our private label brands, such as Academy Sports + Outdoors, Magellan Outdoors, BCG, O'rageous, Game Winner, Outdoor Gourmet, Freely, R.O.W., Redfield and H2OX, and our goodwill, designs, names, slogans, images and trade dress associated with these brands, are valuable assets, and are essential to our success and our competitive position due to their name recognition with customers.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requires that we dedicate a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January 31, 2026, we had approximately $85.8 million outstanding under the Term Loan and $400.0 million outstanding under the Notes, all of which is secured. As of January 31, 2026, we had no borrowings outstanding under the ABL Facility (as defined in Note 4 of the accompanying financial statements), an available borrowing capacity under the ABL Facility of approximately $992.4 million (which is subject to customary borrowing conditions, including a borrowing base), and outstanding letters of credit of $7.6 million, all of which were issued under the ABL Facility.</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portion of our cash flows to debt service payments. The Term Loan (as defined in Note 4 of the accompanying financial statements) requires quarterly principal payments through September 30, 2027, and monthly cash interest payments through maturity. The ABL Facility, under which we had no borrowings as of January 31, 2026, matures on March 8, 2029. The Notes (as defined in Note 4 of the accompanying financial statements) require semi-annual payments of interest (in arrears) and matures on November 15, 2027.</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indebtedness reduces the funds that would otherwise be available for operations, future business opportunities and payments of our debt obligations and limits our ability to:</w:t>
      </w:r>
    </w:p>
    <w:p>
      <w:pPr>
        <w:spacing w:after="0" w:line="54"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Despite our level of indebtedness, we may be able to incur significant additional indebtedness in the future, including off-balance sheet financings, trade credit, contractual obligations and general and commercial liabilities. Although the credit agreements governing the Term Loan and the ABL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January 31, 2026, we had no borrowings outstanding under the ABL Facility, and an available borrowing capacity under the ABL Facility of approximately $992.4 million (which is subject to customary borrowing conditions, including a borrowing base). We may be able to increase the commitments under the ABL Facility by $250.0 million, subject to certain conditions. We may also be able to increase the capacity under the Term Loan by up to the greater of (x) $480.0 million and (y) 100% of the Consolidated EBITDA (as defined in the Term Loan),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and the ABL Facility and the indenture governing the Notes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agreements governing the Term Loan and the ABL Facility and the indenture governing the Notes contain restrictive covenants that impose significant operating and financial restrictions on us and may limit our ability to engage in acts that may be in our best interest, including restrictions on our ability to:</w:t>
      </w:r>
    </w:p>
    <w:p>
      <w:pPr>
        <w:spacing w:after="0" w:line="14" w:lineRule="exact"/>
        <w:rPr>
          <w:sz w:val="20"/>
          <w:szCs w:val="20"/>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and indenture may be affected by events beyond our control. If market or other economic conditions deteriorate, our ability to comply with these covenants and restrictions may be impaired.</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 governing our ABL Facility would permit the lenders under our ABL Facility to terminate all commitments to extend further credit under that facility. Furthermore, if we were unable to repay the amounts due and payable under secured indebtedness, the lenders/holders of such indebtedness could proceed against the collateral granted to them to secure that indebtedness, and 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Term Loan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In the past we have used, and in the future we may again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(or at all), our liquidity may be adversely affected. In addition, the lenders under the ABL Facility may reduce the borrowing base under the facility in certain circumstances, which could adversely impact our liquidity and results of operations.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in the future, to secure sale-leaseback financing at attractive cap rates. Our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level of indebtedness could adversely affect the profitability of our business, which could make it more difficult for us to generate cash flow sufficient to satisfy our obligations under our indebtedness.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may be adversely affected due to a number of factors, many of which are beyond our control, including without limitation those listed elsewhere under this “Risk Factors” section, and the following:</w:t>
      </w:r>
    </w:p>
    <w:p>
      <w:pPr>
        <w:spacing w:after="0" w:line="1" w:lineRule="exact"/>
        <w:rPr>
          <w:sz w:val="20"/>
          <w:szCs w:val="20"/>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policy or interest rate regulation;</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or the perception that such sales may occur;</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6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63"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acts of terrorism, civil unrest, wars or responses to these events.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provide any guaranty of future dividend payments or that we will repurchase our common stock pursuant to our share repurchase program, and our indebtedness could limit our ability to pay future dividends on our common stock.</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declared and paid our first quarterly cash dividend for the fourth quarter for fiscal 2021 and have paid a quarterly cash dividend consistently thereafter. However, we are not required to declare dividends. Any determination to pay future dividends to holders of our common stock will be at the discretion of our Board of Directors and will depend upon many factors, including our financial condition, results of operations, projections, liquidity, earnings, business strategy, legal requirements, covenant compliance, restrictions in our existing and any future debt agreements and other factors that our Board of Directors deems relevant. Therefore, there can be no assurance that we will pay any dividends to holders of our common stock or as to the amount of any such dividends. In addition, our historical results of operations, including cash flow, are not indicative of future financial performance, and our actual results of operations could differ significantly from our historical results of operations. We have not adopted, and do not currently expect to adopt, a separate written dividend policy. Furthermore, although our Board of Directors has authorized a share repurchase program, the timing, manner, price and amount of any common stock repurchases will be determined by the Company in its discretion and will depend on a variety of factors, including legal requirements, price and economic and market conditions. We are not obligated to make any purchases under the program, and we may discontinue it at any time.</w:t>
      </w: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our operations are conducted through our wholly owned subsidiaries and our ability to generate cash to meet our debt service obligations or to make future dividend payments or conduct share repurchases, if any, is highly dependent on the</w:t>
      </w: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earnings of, and the receipt of funds from, our subsidiaries via dividends or intercompany loans. In addition, Delaware law may impose requirements that may restrict our ability to pay dividends to holders of our common stock or our ability to repurchase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provisions of our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63" w:lineRule="exact"/>
        <w:rPr>
          <w:sz w:val="20"/>
          <w:szCs w:val="20"/>
          <w:color w:val="auto"/>
        </w:rPr>
      </w:pPr>
    </w:p>
    <w:p>
      <w:pPr>
        <w:ind w:left="1140" w:hanging="322"/>
        <w:spacing w:after="0" w:line="281"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is divided into three classes, with each class serving for staggered terms until the 2028 Annual Meeting at which time our Board of Directors will be elected annually;</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without stockholder approval;</w:t>
      </w:r>
    </w:p>
    <w:p>
      <w:pPr>
        <w:spacing w:after="0" w:line="63" w:lineRule="exact"/>
        <w:rPr>
          <w:rFonts w:ascii="Times New Roman" w:cs="Times New Roman" w:eastAsia="Times New Roman" w:hAnsi="Times New Roman"/>
          <w:sz w:val="18"/>
          <w:szCs w:val="18"/>
          <w:color w:val="auto"/>
        </w:rPr>
      </w:pPr>
    </w:p>
    <w:p>
      <w:pPr>
        <w:ind w:left="1140" w:hanging="322"/>
        <w:spacing w:after="0" w:line="281"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 and</w:t>
      </w:r>
    </w:p>
    <w:p>
      <w:pPr>
        <w:spacing w:after="0" w:line="63"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 2/3% of the shares of common stock entitled to vote generally in the election of directors.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remove or sunset some or all of these provisions, 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forum provisions in our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approximately 235 million shares of common stock authorized but unissued. Our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As a result, our Board of Directors may authorize the issuance of additional shares of common stock or securities convertible into or exercisable for common stock without stockholder approval, subject to applicable laws and stock exchange requirements. We have reserved shares for issuance under our New Academy Holding Company, LLC 2011 Unit Incentive Plan (the “2011 Equity Plan”), our 2020 Omnibus Incentive Plan (the “2020 Equity Plan”), and our 2020 Employee Stock Purchase Plan (the “ESPP”). Any common stock that we issue, including under our 2011 Equity Plan, 2020 Equity Plan, ESPP or other equity incentive plans that we may adopt in the future, will dilute the percentage ownership of our existing stockholders.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 and could adversely affect the market price of our common stock.</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security of our information systems and data is critical to our business as a retailer, and we devote significant resources to protecting our information systems and data. We continue to invest in people, technology, and processes to protect data and systems against evolving cybersecurity threats. We have implemented a cybersecurity program that we believe is reasonably designed to manage risks from cybersecurity threats, including those that may result in adverse effects on the confidentiality, integrity, and availability of our information systems, and impact the security of information we create, maintain, and process on our information systems. Our program is designed to enable us to prevent, monitor, identify, detect, investigate, respond to, mitigate, and report on cybersecurity threats and incidents.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adopted a cross-functional and multi-management level approach to assessing and managing risks arising from cybersecurity threats. The audit committee of our Board of Directors (the “Audit Committee”) oversees the Company’s enterprise risk management program. As part of this oversight, the Audit Committee has primary responsibility for overseeing risks related to cybersecurity, although the full Board of Directors retains ultimate oversight over these risks. Cybersecurity is a standing agenda item of the Audit Committee’s regular quarterly meetings, where the Audit Committee reviews and discusses cybersecurity risks along with the Company’s cybersecurity programs and strategy with management. The Audit Committee receives reports and presentations from our Chief Information Officer (CIO) and our Chief Legal Officer (CLO) at its quarterly meetings on a range of topics, including our cybersecurity program and processes, our information systems, risk identification and mitigation strategies, the evolving cybersecurity threat landscape, regulatory developments, board education, and notable incidents or threats affecting the Company. From time to time between quarterly meetings, our CIO and CLO or other members of management may hold additional cybersecurity-related discussions with the Audit Committee. The Audit Committee regularly reports on its cybersecurity program oversight to the Board of Directors.</w:t>
      </w:r>
    </w:p>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CIO is the primary executive responsible for leading the Company’s cybersecurity risk management program and has over 20 years of experience in various technology-related roles, including responsibilities related to managing information security, developing cybersecurity strategy, and implementing cybersecurity programs. Our cybersecurity team is responsible for the operations of our cybersecurity program, including implementing, monitoring, and maintaining cybersecurity and data protection solutions and practices across the enterprise. The team is led by our Director of IT Security and Compliance (our “Security Director”), who reports to our CIO. Our Security Director has over 20 years of IT experience and over 12 years of cybersecurity experience, and holds a Master of Science in Cybersecurity and Information Assurance and a Master of Legal Studies in Cyber Law. Our cybersecurity team works with our crisis management team and cybersecurity advisors we may engage to respond to and manage the resolution of cybersecurity incidents. Our CIO, Security Director, and cybersecurity team also work closely with our legal team on various aspects of our cybersecurity program.</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Cyber Security Committee, which is chaired by the CIO, and includes the CLO, the Chief Administrative Officer, and the Security Director among other team members, is a management committee chartered to oversee our cybersecurity program. The Cyber Security Committee meets at least quarterly and more frequently as appropriate to review and discuss the Company’s cybersecurity program. Our CIO and Security Director provide reports at each Cyber Security Committee meeting on cybersecurity program matters and initiatives. The Cyber Security Committee reviews any significant cybersecurity threats or incidents reported by the Security Director. The Cyber Security Committee elevates cybersecurity threats and incidents to the Audit Committee, CEO and CFO, Disclosure Committee, and crisis management team, as appropriate. Our Disclosure Committee, a cross-functional group consisting of accounting, legal, finance, investor relations, internal audit, and IT management personnel, is responsible for disclosures concerning material cybersecurity incidents and the Company’s cybersecurity practices.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cybersecurity program is based on the National Institute of Standards and Technology (NIST) Cybersecurity Framework and applies, as appropriate, to the Company’s internal and external information systems, applications, networks, and operations. We conduct scanning, testing, and assessments designed to identify risks from cybersecurity threats, assess controls, and calibrate planning in response to rapidly evolving cybersecurity risks, and use the results from this testing to adjust our cybersecurity program roadmap to mitigate cybersecurity risks as they evolve. Our internal audit team performs audits on various aspects of cybersecurity and reports the results of these audits in its quarterly reports to management, the Cyber Security Committee, and the Audit Committee. Our internal auditors assess the sufficiency of security controls for relevant systems. Leaders from our risk management and internal audit teams administer our enterprise risk management program, which is designed to identify, assess and manage our top enterprise risks, including risks arising from cybersecurity threats.</w:t>
      </w: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employ a risk-based approach to secure access to our networks, systems, and applications by partners and vendors. We have implemented risk assessment processes for partners and vendors receiving access to our environment and data. Our partners and vendors with whom we share information to conduct our business are required to safeguard it by appropriate means, including elevated contractual commitments when appropriate. We provide cybersecurity training to our team members during onboarding and regularly thereafter. We maintain a software vulnerability management program supported by internal personnel and third-party service providers. We deploy technologies to automate and enhance our operational security capabilities. We also use third-party managed security services to augment our cybersecurity team’s capabilities.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and maintain a Cyber Security Incident Response Plan (the “CSIRP”) to provide a standardized framework for responding to cybersecurity incidents. The CSIRP is a coordinated approach to investigate, contain, mitigate, and document cybersecurity incidents, including reporting and escalating findings as appropriate (including to the crisis management team). We also periodically engage external assessors, consultants, Payment Card Industry-Data Security Standards (PCI-DSS) auditors, or other third parties to assist with our cybersecurity program. When appropriate, we engage forensic investigators and legal counsel to investigate cybersecurity threats and incidents.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the information available to us as of the date of this Annual Report, we believe that risks from cybersecurity threats, including as a result of any previous cybersecurity incidents, have not materially affected us, including our business strategy, results of operations or financial condition, and as of the date of this Annual Report, we are not aware of any material risks from cybersecurity threats that are reasonably likely to do so. However, we cannot eliminate all risks from cybersecurity threats or provide assurances that the Company will not be materially affected by such risks in the future. Due to evolving cybersecurity threats, despite our security measures, we may not be able to anticipate, prevent, and stop future cybersecurity incidents, including attacks to our information systems and data and those of our partners. Additional information on cybersecurity risks we face is discussed in Item 1A of Part I, “Risk Factors”, which should be read in conjunction with the foregoing.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260" w:firstLine="324"/>
        <w:spacing w:after="0" w:line="271"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The following table sets forth the location, use and size of our corporate and distribution center facilities: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38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Use</w:t>
            </w: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Square Footage</w:t>
            </w:r>
          </w:p>
        </w:tc>
      </w:tr>
      <w:tr>
        <w:trPr>
          <w:trHeight w:val="22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Corporate Office Building 1</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Bulk Warehouse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Katy, Texas</w:t>
            </w:r>
          </w:p>
        </w:tc>
        <w:tc>
          <w:tcPr>
            <w:tcW w:w="4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Distribution Center</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Twiggs County, Georgia</w:t>
            </w:r>
          </w:p>
        </w:tc>
        <w:tc>
          <w:tcPr>
            <w:tcW w:w="4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Distribution Center</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Cookeville, Tennessee</w:t>
            </w:r>
          </w:p>
        </w:tc>
        <w:tc>
          <w:tcPr>
            <w:tcW w:w="4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Distribution Center</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Kowloon, Hong Kong</w:t>
            </w:r>
          </w:p>
        </w:tc>
        <w:tc>
          <w:tcPr>
            <w:tcW w:w="4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Global Sourcing Office</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the exception of one retail store which we own, we lease all of our retail stores, distribution centers and corporate offices. Our initial store lease terms are typically 15 to 20 years with various renewal options and lease escalation structures. We believe that all of our leases are entered into at then-prevailing market lease rates. As of January 31, 2026, our combined leased and owned store square footage was approximately 21.9 million square feet.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12 — Commitments and Contingencies to our consolidated financial statements included under Part IV, Item 15 of this Annual Report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Academy's common stock began trading on the Nasdaq Stock Market LLC, or Nasdaq, under the symbol “ASO” on October 2, 2020. Prior to that date, there was no public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 The graph below presents the Company’s cumulative total stockholder returns relative to the performance of the Nasdaq US Benchmark Retail Index and the Russell 3000 Index commencing October 2, 2020 (the Company’s initial day of trading) through January 30, 2026. All values assume a $100 initial investment at the opening price of the Company’s common stock on Nasdaq and assume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829300" cy="3248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following table summarizes the repurchases and cancellations of our common stock during the fourth quarter of 2025:</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2025 to November 29,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30, 2025 to January 3, 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4, 2026 to January 31, 2026</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Dollar Value of Shares</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80" w:type="dxa"/>
            <w:vAlign w:val="bottom"/>
          </w:tcPr>
          <w:p>
            <w:pPr>
              <w:spacing w:after="0"/>
              <w:rPr>
                <w:sz w:val="15"/>
                <w:szCs w:val="15"/>
                <w:color w:val="auto"/>
              </w:rPr>
            </w:pPr>
          </w:p>
        </w:tc>
        <w:tc>
          <w:tcPr>
            <w:tcW w:w="158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w:t>
            </w:r>
          </w:p>
        </w:tc>
        <w:tc>
          <w:tcPr>
            <w:tcW w:w="0" w:type="dxa"/>
            <w:vAlign w:val="bottom"/>
          </w:tcPr>
          <w:p>
            <w:pPr>
              <w:spacing w:after="0"/>
              <w:rPr>
                <w:sz w:val="1"/>
                <w:szCs w:val="1"/>
                <w:color w:val="auto"/>
              </w:rPr>
            </w:pPr>
          </w:p>
        </w:tc>
      </w:tr>
      <w:tr>
        <w:trPr>
          <w:trHeight w:val="189"/>
        </w:trPr>
        <w:tc>
          <w:tcPr>
            <w:tcW w:w="1800" w:type="dxa"/>
            <w:vAlign w:val="bottom"/>
            <w:gridSpan w:val="2"/>
            <w:vMerge w:val="continue"/>
          </w:tcPr>
          <w:p>
            <w:pPr>
              <w:spacing w:after="0"/>
              <w:rPr>
                <w:sz w:val="16"/>
                <w:szCs w:val="16"/>
                <w:color w:val="auto"/>
              </w:rPr>
            </w:pPr>
          </w:p>
        </w:tc>
        <w:tc>
          <w:tcPr>
            <w:tcW w:w="1940" w:type="dxa"/>
            <w:vAlign w:val="bottom"/>
            <w:gridSpan w:val="3"/>
            <w:vMerge w:val="continue"/>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7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Purchased (a)</w:t>
            </w:r>
          </w:p>
        </w:tc>
        <w:tc>
          <w:tcPr>
            <w:tcW w:w="340" w:type="dxa"/>
            <w:vAlign w:val="bottom"/>
          </w:tcPr>
          <w:p>
            <w:pPr>
              <w:spacing w:after="0"/>
              <w:rPr>
                <w:sz w:val="19"/>
                <w:szCs w:val="19"/>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Share (b)</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Programs (c)</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Plans or Programs (c)</w:t>
            </w:r>
          </w:p>
        </w:tc>
        <w:tc>
          <w:tcPr>
            <w:tcW w:w="0" w:type="dxa"/>
            <w:vAlign w:val="bottom"/>
          </w:tcPr>
          <w:p>
            <w:pPr>
              <w:spacing w:after="0"/>
              <w:rPr>
                <w:sz w:val="1"/>
                <w:szCs w:val="1"/>
                <w:color w:val="auto"/>
              </w:rPr>
            </w:pPr>
          </w:p>
        </w:tc>
      </w:tr>
      <w:tr>
        <w:trPr>
          <w:trHeight w:val="218"/>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478,383,954</w:t>
            </w:r>
          </w:p>
        </w:tc>
        <w:tc>
          <w:tcPr>
            <w:tcW w:w="0" w:type="dxa"/>
            <w:vAlign w:val="bottom"/>
          </w:tcPr>
          <w:p>
            <w:pPr>
              <w:spacing w:after="0"/>
              <w:rPr>
                <w:sz w:val="1"/>
                <w:szCs w:val="1"/>
                <w:color w:val="auto"/>
              </w:rPr>
            </w:pPr>
          </w:p>
        </w:tc>
      </w:tr>
      <w:tr>
        <w:trPr>
          <w:trHeight w:val="234"/>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436,565,881</w:t>
            </w:r>
          </w:p>
        </w:tc>
        <w:tc>
          <w:tcPr>
            <w:tcW w:w="0" w:type="dxa"/>
            <w:vAlign w:val="bottom"/>
          </w:tcPr>
          <w:p>
            <w:pPr>
              <w:spacing w:after="0"/>
              <w:rPr>
                <w:sz w:val="1"/>
                <w:szCs w:val="1"/>
                <w:color w:val="auto"/>
              </w:rPr>
            </w:pPr>
          </w:p>
        </w:tc>
      </w:tr>
      <w:tr>
        <w:trPr>
          <w:trHeight w:val="22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1,849,900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1,849,900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436,565,881</w:t>
            </w:r>
          </w:p>
        </w:tc>
        <w:tc>
          <w:tcPr>
            <w:tcW w:w="0" w:type="dxa"/>
            <w:vAlign w:val="bottom"/>
          </w:tcPr>
          <w:p>
            <w:pPr>
              <w:spacing w:after="0"/>
              <w:rPr>
                <w:sz w:val="1"/>
                <w:szCs w:val="1"/>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-333375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-633730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220" w:space="720"/>
            <w:col w:w="7300"/>
          </w:cols>
          <w:pgMar w:left="320" w:top="995" w:right="339" w:bottom="1440" w:gutter="0" w:footer="0" w:header="0"/>
          <w:type w:val="continuous"/>
        </w:sectPr>
      </w:pPr>
    </w:p>
    <w:p>
      <w:pPr>
        <w:ind w:left="260" w:hanging="252"/>
        <w:spacing w:after="0" w:line="261" w:lineRule="auto"/>
        <w:tabs>
          <w:tab w:leader="none" w:pos="21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excludes shares which were net-settled, and therefore not issued, to cover employee withholding taxes related to the vesting of certain restricted stock awards and exercise of certain stock option awards.</w:t>
      </w: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unpaid excise taxes.</w:t>
      </w:r>
    </w:p>
    <w:p>
      <w:pPr>
        <w:spacing w:after="0" w:line="14" w:lineRule="exact"/>
        <w:rPr>
          <w:rFonts w:ascii="Times New Roman" w:cs="Times New Roman" w:eastAsia="Times New Roman" w:hAnsi="Times New Roman"/>
          <w:sz w:val="14"/>
          <w:szCs w:val="14"/>
          <w:color w:val="auto"/>
        </w:rPr>
      </w:pPr>
    </w:p>
    <w:p>
      <w:pPr>
        <w:ind w:left="260" w:right="40" w:hanging="252"/>
        <w:spacing w:after="0" w:line="262" w:lineRule="auto"/>
        <w:tabs>
          <w:tab w:leader="none" w:pos="21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previously approved share repurchase program. As of January 31, 2026, approximately $436.6 million remained available for share repurchases pursuant to the 2024 Share Repurchase Program (see Note 2 to the accompanying financial statements). The 2024 Share Repurchase Program does not obligate the Company to acquire any particular number of common shares, and the program may be suspended, extended, modified or discontinued at any time.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10, 2026, there were 11 holders of record of ASO, Inc.'s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declared and paid our first quarterly cash dividend for the fourth quarter for fiscal 2021 and have paid a quarterly cash dividend consistently thereafter. See “Management’s Discussion and Analysis of Financial Condition and Results of Operations” for information regarding quarterly dividend payments for 2025. However, we are not required to declare dividends. Any determination to pay future dividends to holders of our common stock will be subject to the discretion and approval of the Board of Directors and will depend upon many factors, including the Company’s results of operations, liquidity, earnings, business strategy, legal requirements, covenant compliance, restrictions in our existing and any future debt agreements and other factors that our Board of Directors deems relevant.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100" w:firstLine="324"/>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year ended January 31, 2026 (“2025”) and the year ended February 1, 2025 (“2024”) should be read together with our consolidated financial statements and related notes included elsewhere in this Annual Report for the fiscal year ended January 31, 2026 (this “Annual Report”). Year-to-year comparisons between 2024 and 2023 have been omitted from this Annual Report, but may be found in “Management’s Discussion and Analysis of Financial Condition and Results of Operations” in Part II, Item 7 of the Company’s Annual Report on Form 10-K for the year ended February 1, 2025.</w:t>
      </w:r>
    </w:p>
    <w:p>
      <w:pPr>
        <w:spacing w:after="0" w:line="82"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“Part I. Item 1A. Risk Factors” section of this Annual Report.</w:t>
      </w:r>
    </w:p>
    <w:p>
      <w:pPr>
        <w:spacing w:after="0" w:line="75" w:lineRule="exact"/>
        <w:rPr>
          <w:sz w:val="20"/>
          <w:szCs w:val="20"/>
          <w:color w:val="auto"/>
        </w:rPr>
      </w:pPr>
    </w:p>
    <w:p>
      <w:pPr>
        <w:jc w:val="both"/>
        <w:ind w:firstLine="292"/>
        <w:spacing w:after="0" w:line="284" w:lineRule="auto"/>
        <w:rPr>
          <w:sz w:val="20"/>
          <w:szCs w:val="20"/>
          <w:color w:val="auto"/>
        </w:rPr>
      </w:pPr>
      <w:r>
        <w:rPr>
          <w:rFonts w:ascii="Times New Roman" w:cs="Times New Roman" w:eastAsia="Times New Roman" w:hAnsi="Times New Roman"/>
          <w:sz w:val="18"/>
          <w:szCs w:val="18"/>
          <w:i w:val="1"/>
          <w:iCs w:val="1"/>
          <w:color w:val="auto"/>
        </w:rPr>
        <w:t>Any reference in this Annual Report to “year” or any year in particular refers to our fiscal year, which represents the fifty-two or fifty-three week period ending on the Saturday closest to January 31. Unless otherwise specified, all comparisons or changes regarding 2025 are made to 2024.</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references in this discussion and analysis to “2025”, “2024” and “2023” or like terms relate to our fiscal years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7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Weeks</w:t>
            </w:r>
          </w:p>
        </w:tc>
      </w:tr>
      <w:tr>
        <w:trPr>
          <w:trHeight w:val="223"/>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top w:val="single" w:sz="8" w:color="CCEEFF"/>
            </w:tcBorders>
            <w:shd w:val="clear" w:color="auto" w:fill="CCEEFF"/>
          </w:tcPr>
          <w:p>
            <w:pPr>
              <w:spacing w:after="0"/>
              <w:rPr>
                <w:sz w:val="19"/>
                <w:szCs w:val="19"/>
                <w:color w:val="auto"/>
              </w:rPr>
            </w:pPr>
          </w:p>
        </w:tc>
        <w:tc>
          <w:tcPr>
            <w:tcW w:w="7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31, 2026</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29"/>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7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February 1, 2025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2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February 3, 2024</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outdoors, sports &amp; recreation, apparel, and footwear (representing 31%, 22%, 27% and 20% of our 2025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July/August back-to-school selling season during the second and third quarters, the November/December holiday selling season, and in part by the sales of cold weather sporting goods and apparel during the fourth quarter.</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January 31, 2026, we operated 322 stores that range in size from approximately 40,000 to 130,000 gross square feet, with an average size of approximately 70,000 gross square feet, throughout 21 contiguous states located primarily in the southern United States. Our stores are supported by approximately 23,000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0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298</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Q3 new stores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Q4 new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322</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298</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2140" w:type="dxa"/>
            <w:vAlign w:val="bottom"/>
            <w:gridSpan w:val="3"/>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Tariffs and Other Macroeconomic Trends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monitor global macroeconomic trends and uncertainties such as inflation, existing and potential tariffs, and other shifting trade policies, which have impacted consumer spending and could adversely affect our ability to grow sales and merchandise margin. The impact of the evolving macroeconomic environment on our financial results is uncertain. We have worked diligently to mitigate the impact of tariffs on our business. We are closely monitoring the evolving environment with respect to tariffs and other trade policy developments and will continue to adjust plans as needed, including, but not limited to, inventory purchase quantities and timing, strategic pricing and promotional adjustments to maintain value for our customers, diversifying sourcing to shift country of origin, and vendor negotiations.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Annual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 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other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unseasonal or extreme weather; a shift in the timing of a holiday between comparable periods; and the number of stores that have been in operation for more than thirteen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4" w:name="page45"/>
    <w:bookmarkEnd w:id="44"/>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sales divided by the number of transactions during a given period, which tells us the average amount the customer is spending on a purchase.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changes in product mix and pricing, including promotional activities.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deploy several tools to improve inventory handling and vendor management, including third-party programs to analyze our inventory stock, execute a disciplined markdown strategy and improve our inventory management throughout the year at every location. We have coupled these tools with the data we collect from our myAcademy Rewards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broad assortment gives us an advantage over mass general merchants who typically do not carry the full assortment of leading national brands sold at Academy. We have also continued to add private label brands to our assortment of products, which we generally price lower than the national brand products of comparable quality that we also offer. A shift in our sales mix in which we sell more units of our private label brand products and fewer units of the national brand products would generally have a positive impact on our gross margin rate but an adverse impact on our total net sales.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 rate.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have contributed to increased sales in recent years. We continue to invest in initiatives designed to drive traffic to our stores and e-commerce platforms, including our website and mobile application, improve conversion, and support our long-term objective of continuing to increase our e-commerce penetration of sales. These initiatives include investments in our customer data ecosystem (data lake and Customer Data Platform), enabling customer-level attributes and models that power personalization and deepen engagement.</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implementing enhancements to the online shopping experience, including a redesigned homepage, expanded BOPIS functionality, enhanced shipping notifications, and ongoing improvements in product discovery and site experience. Our e-commerce platform supports store operations by driving customer demand, providing real-time product discovery and inventory visibility, and enabling store-fulfilled transactions such as BOPIS, ship-to-store, and ship-from-store. During 2025, stores facilitated approximately 95% of our total sales, including ship-from-store, BOPIS, and in-store retail sales. We expect to continue investing in the expansion and enhancement of our omnichannel capabilities, including our mobile application, website experience optimization, fulfillment improvements, and emerging digital commerce capabilities such as artificial intelligence-enabled shopping experiences and social and marketplace commerce integrations. These initiatives are intended to support long-term growth and improve customer experience, and will require ongoing investment.</w:t>
      </w: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growth strategy encompasses both deepening our presence in legacy and existing markets as well as entering new markets, leveraging enhanced brand awareness and operational efficiencies. Our new store model favors off-mall locations within power centers or stand-alone buildings. We utilize comprehensive demographic and trade data to guide our real estate site selection. During the fiscal year 2025, we opened 24 new stores. We plan to open 20 to 25 stores in fiscal year 2026 and we are continuously evaluating available locations that meet our size requirements and market criteria. Our strategic real estate approach, including the 63 stores opened since fiscal year 2021, has positioned us effectively for continued expansion.</w:t>
      </w:r>
    </w:p>
    <w:p>
      <w:pPr>
        <w:spacing w:after="0" w:line="1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These costs consist primarily of tariffs, payroll and benefits, distribution center occupancy costs, depreciation and freight, and are generally variable in nature relative to our inventory receipts and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brand merchandise sales, and our ability to control cost of goods sold, such as inventory and logistics cost management. Our gross margin is also impacted by variables including tariffs,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A prolonged period of significant increased shrink could have a material negative impact on our gross margin and results of operations.</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24.8% in 2024 to 26.3% in 2025. The majority of the increase in SG&amp;A from the prior year was driven by investments in our growth initiatives, including costs related to new stores (such as additional property and facility fees, employee compensation costs and advertising costs). We track and measure operating expenses as a percentage of net sales in order to evaluate our performance against profitability targets. Management of SG&amp;A expenses depends on our ability to balance operating costs, such as store and corporate headcount, information technology infrastructure and marketing and advertising expenses, while efficiently and effectively servicing our customers. Selling, general, and administrative expenses on the Consolidated Statements of Income includes gains of approximately $15.4 million in 2025 and $7.1 million in 2024 related to multiple sale-leaseback transactions which qualified for sale accounting under ASC 606 (see Note 11).</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80" w:type="dxa"/>
            <w:vAlign w:val="bottom"/>
          </w:tcPr>
          <w:p>
            <w:pPr>
              <w:spacing w:after="0"/>
              <w:rPr>
                <w:sz w:val="19"/>
                <w:szCs w:val="19"/>
                <w:color w:val="auto"/>
              </w:rPr>
            </w:pP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7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(in millions)</w:t>
            </w:r>
          </w:p>
        </w:tc>
        <w:tc>
          <w:tcPr>
            <w:tcW w:w="1760" w:type="dxa"/>
            <w:vAlign w:val="bottom"/>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our deferred loan costs and original issuance discounts associated with the acquisition of the debt.</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 result of changes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discussion regarding Results of Operations and Analysis of Financial Condition for the fiscal year ended February 1, 2025, as compared to the fiscal year ended February 3, 2024, is included in “Part II – Item 7. Management’s Discussion and Analysis of Financial Condition and Results of Operations” to our Annual Report on Form 10-K for the fiscal year ended February 1,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(52 weeks) Compared to 2024 (52 weeks)</w:t>
      </w:r>
    </w:p>
    <w:p>
      <w:pPr>
        <w:spacing w:after="0" w:line="256" w:lineRule="exact"/>
        <w:rPr>
          <w:sz w:val="20"/>
          <w:szCs w:val="20"/>
          <w:color w:val="auto"/>
        </w:rPr>
      </w:pPr>
    </w:p>
    <w:p>
      <w:pPr>
        <w:ind w:right="48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23"/>
        </w:trPr>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80" w:type="dxa"/>
            <w:vAlign w:val="bottom"/>
          </w:tcPr>
          <w:p>
            <w:pPr>
              <w:spacing w:after="0"/>
              <w:rPr>
                <w:sz w:val="19"/>
                <w:szCs w:val="19"/>
                <w:color w:val="auto"/>
              </w:rPr>
            </w:pPr>
          </w:p>
        </w:tc>
        <w:tc>
          <w:tcPr>
            <w:tcW w:w="21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6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6,053,414</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5,933,450</w:t>
            </w: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119,964</w:t>
            </w:r>
          </w:p>
        </w:tc>
        <w:tc>
          <w:tcPr>
            <w:tcW w:w="3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3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3,947,801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3,921,990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2,105,613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2,011,460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3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1,593,429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1,472,821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120,608</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512,184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538,639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Write-off of deferred loan costs</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(26,821)</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23"/>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486,057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3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109,289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119,778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(10,489)</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3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376,768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(41,679)</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Percentages in table may not sum properly due to rounding.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increased $120.0 million, or 2.0%, in fiscal year 2025 compared to fiscal year 2024, which was driven by increased sales of 3.6%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sports and recreation merchandise division, 2.4% in the apparel merchandise division, 1.2% in the footwear merchandise division and 1.2% in the outdoor division.</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opened 24 new stores since the end of the 2024 fiscal year, 5 of which opened throughout the 2025 fourth quarter. During the 2025 fiscal year, these 24 stores generated $142.8 million of net sales, including e-commerce. Since re-launching our new store program in 2022, we have opened 63 new stores, 39 of which have been open for at least twelve months. Over the last twelve months, those 39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Comparable sales decreased 1.5% driven by lower comparable sales across all merchandise divisions, except the sports and recreation merchandise division, as a result of a 4.2% decrease in comparable transactions, partially offset by an increase in average ticket of 2.9%.</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E-commerce net sales represented 11.7% of merchandise sales for fiscal year 2025 compared to 10.5% for fiscal year 2024. E-commerce net sales increased 13.6% for fiscal year 2025 compared to fiscal year 2024.</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$94.2 million, or 4.7%, to $2,105.6 million for fiscal year 2025 from $2,011.5 million for fiscal year 2024.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net sales, gross margin increased 90 basis points from 33.9% in 2024 to 34.8% in 2025. The increase of 90 basis points in gross margin was primarily attributable to favorability in merchandise margin due to promotions and managing prices in response to increased tariff costs, while maintaining alignment with our value pricing strategy.</w:t>
      </w:r>
    </w:p>
    <w:p>
      <w:pPr>
        <w:spacing w:after="0" w:line="14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$120.6 million, or 8.2%, to $1,593.4 million in 2025 from $1,472.8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2024, primarily as a result of our increased strategic investments of $109.0 million, including $84.8 million in new stores and $13.1 million in technology.</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47" w:name="page48"/>
    <w:bookmarkEnd w:id="47"/>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Write-off of Deferred Loan Costs. </w:t>
      </w:r>
      <w:r>
        <w:rPr>
          <w:rFonts w:ascii="Times New Roman" w:cs="Times New Roman" w:eastAsia="Times New Roman" w:hAnsi="Times New Roman"/>
          <w:sz w:val="18"/>
          <w:szCs w:val="18"/>
          <w:color w:val="auto"/>
        </w:rPr>
        <w:t>Write-off of deferred loan costs decreased by $0.4 million for fiscal year 2025 when compared with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in connection with the amendment in the 2024 first quarter that led to the write-off of deferred loan costs on the ABL Facility.</w:t>
      </w:r>
    </w:p>
    <w:p>
      <w:pPr>
        <w:spacing w:after="0" w:line="11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$0.7 million, or 1.8%, to $36.2 million in 2025 from $36.9 million in 2024, primarily driven by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rates and a lower outstanding balance on our Term Loan.</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$26.8 million in 2025 when compared to 2024, primarily driven by the settlement of a legal matter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non-trade vendor that resulted in a net gain of approximately $15.0 million in 2024 (see Note 2) as well as lower interest rates in the current year.</w:t>
      </w:r>
    </w:p>
    <w:p>
      <w:pPr>
        <w:spacing w:after="0" w:line="182"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$10.5 million to $109.3 million in 2025 as compared to $119.8 million in 2024,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from a decrease in pre-tax income. ASO, Inc.'s effective tax rate for 2025 was 22.5% compared to 22.3% in 2024. The increase in effective tax rate was primarily driven by the decrease in pre-tax income in the current year.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Annual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8" w:name="page49"/>
    <w:bookmarkEnd w:id="4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right="7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4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376,768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519,190</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46,051</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143,966</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110,936</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(b)</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loan costs</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666,313</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720,246</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846,045</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(122,866)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(110,936)</w:t>
            </w: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543,447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602,176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735,109</w:t>
            </w: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00" w:right="20" w:hanging="374"/>
        <w:spacing w:after="0" w:line="291" w:lineRule="auto"/>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year ended February 1, 2025, includes a $15.0 million gain pertaining to a litigation settlement which occurred in the fourth quarter of 2024. Net income for the year ended February 3, 2024, includes a $15.9 million net gain relative to a credit card litigation settlement which occurred in the fourth quarter of 2023.</w:t>
      </w:r>
    </w:p>
    <w:p>
      <w:pPr>
        <w:spacing w:after="0" w:line="14" w:lineRule="exact"/>
        <w:rPr>
          <w:rFonts w:ascii="Times New Roman" w:cs="Times New Roman" w:eastAsia="Times New Roman" w:hAnsi="Times New Roman"/>
          <w:sz w:val="14"/>
          <w:szCs w:val="14"/>
          <w:color w:val="auto"/>
        </w:rPr>
      </w:pPr>
    </w:p>
    <w:p>
      <w:pPr>
        <w:ind w:left="400" w:right="20" w:hanging="374"/>
        <w:spacing w:after="0" w:line="302" w:lineRule="auto"/>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376,768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519,190</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(b)</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retirement of debt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loan costs</w:t>
            </w:r>
          </w:p>
        </w:tc>
        <w:tc>
          <w:tcPr>
            <w:tcW w:w="16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(c)</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r>
      <w:tr>
        <w:trPr>
          <w:trHeight w:val="22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393,183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539,471</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75"/>
        </w:trPr>
        <w:tc>
          <w:tcPr>
            <w:tcW w:w="58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75,389</w:t>
            </w:r>
          </w:p>
        </w:tc>
      </w:tr>
      <w:tr>
        <w:trPr>
          <w:trHeight w:val="23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77,469</w:t>
            </w:r>
          </w:p>
        </w:tc>
      </w:tr>
    </w:tbl>
    <w:p>
      <w:pPr>
        <w:spacing w:after="0" w:line="103" w:lineRule="exact"/>
        <w:rPr>
          <w:sz w:val="20"/>
          <w:szCs w:val="20"/>
          <w:color w:val="auto"/>
        </w:rPr>
      </w:pPr>
    </w:p>
    <w:p>
      <w:pPr>
        <w:ind w:left="400" w:right="20" w:hanging="374"/>
        <w:spacing w:after="0" w:line="291" w:lineRule="auto"/>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year ended February 1, 2025, includes a $15.0 million gain pertaining to a litigation settlement which occurred in the fourth quarter of 2024. Net income for the year ended February 3, 2024, includes a $15.9 million net gain relative to a credit card litigation settlement which occurred in the fourth quarter of 2023.</w:t>
      </w:r>
    </w:p>
    <w:p>
      <w:pPr>
        <w:spacing w:after="0" w:line="14" w:lineRule="exact"/>
        <w:rPr>
          <w:rFonts w:ascii="Times New Roman" w:cs="Times New Roman" w:eastAsia="Times New Roman" w:hAnsi="Times New Roman"/>
          <w:sz w:val="14"/>
          <w:szCs w:val="14"/>
          <w:color w:val="auto"/>
        </w:rPr>
      </w:pPr>
    </w:p>
    <w:p>
      <w:pPr>
        <w:ind w:left="400" w:right="20" w:hanging="374"/>
        <w:spacing w:after="0" w:line="291" w:lineRule="auto"/>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4" w:lineRule="exact"/>
        <w:rPr>
          <w:rFonts w:ascii="Times New Roman" w:cs="Times New Roman" w:eastAsia="Times New Roman" w:hAnsi="Times New Roman"/>
          <w:sz w:val="14"/>
          <w:szCs w:val="14"/>
          <w:color w:val="auto"/>
        </w:rPr>
      </w:pPr>
    </w:p>
    <w:p>
      <w:pPr>
        <w:ind w:left="400" w:hanging="374"/>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the total adjustments made to arrive at Adjusted Net Income at our historical tax rate.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ind w:right="62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434,798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528,082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535,779</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(172,037)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9"/>
              </w:rPr>
              <w:t>(186,120)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rPr>
              <w:t>(206,139)</w:t>
            </w:r>
          </w:p>
        </w:tc>
      </w:tr>
      <w:tr>
        <w:trPr>
          <w:trHeight w:val="248"/>
        </w:trPr>
        <w:tc>
          <w:tcPr>
            <w:tcW w:w="5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262,761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341,962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329,640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to repurchase our common stock. We may fund our liquidity requirements through cash and cash equivalents, cash generated from operating activities, and borrowings under our ABL Facility (as defined below). On January 31, 2026, our cash and cash equivalents totaled $330.3 million. We believe our existing cash and cash equivalents, cash flows from operations, as well as availability under the ABL Facility, will be sufficient to fund our cash requirements for the foreseeable future.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2026, the Company's long-term debt consists of:</w:t>
      </w:r>
    </w:p>
    <w:p>
      <w:pPr>
        <w:spacing w:after="0" w:line="11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- 7.72% variable rate term-loan with $85.8 million in principal outstanding maturing November 6, 2027 and requiring quarterly principal payments of $750 thousand through September 30, 2027;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8"/>
          <w:szCs w:val="18"/>
          <w:color w:val="auto"/>
        </w:rPr>
        <w:t>See Note 4 to the accompanying financial statements for further disclosure regarding our debt agreements. The following table summarizes our current debt obligations by fiscal year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92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96,884</w:t>
            </w:r>
          </w:p>
        </w:tc>
      </w:tr>
      <w:tr>
        <w:trPr>
          <w:trHeight w:val="230"/>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28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448,000</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268</w:t>
            </w:r>
          </w:p>
        </w:tc>
        <w:tc>
          <w:tcPr>
            <w:tcW w:w="920" w:type="dxa"/>
            <w:vAlign w:val="bottom"/>
            <w:tcBorders>
              <w:right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r>
    </w:tbl>
    <w:p>
      <w:pPr>
        <w:spacing w:after="0" w:line="72" w:lineRule="exact"/>
        <w:rPr>
          <w:sz w:val="20"/>
          <w:szCs w:val="20"/>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no balances drawn on our ABL Facility.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(amounts in thousands):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6"/>
        </w:trPr>
        <w:tc>
          <w:tcPr>
            <w:tcW w:w="574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5740" w:type="dxa"/>
            <w:vAlign w:val="bottom"/>
          </w:tcPr>
          <w:p>
            <w:pPr>
              <w:spacing w:after="0"/>
              <w:rPr>
                <w:sz w:val="19"/>
                <w:szCs w:val="19"/>
                <w:color w:val="auto"/>
              </w:rPr>
            </w:pPr>
          </w:p>
        </w:tc>
        <w:tc>
          <w:tcPr>
            <w:tcW w:w="1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953,921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881,445</w:t>
            </w:r>
          </w:p>
        </w:tc>
      </w:tr>
      <w:tr>
        <w:trPr>
          <w:trHeight w:val="545"/>
        </w:trPr>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6"/>
        </w:trPr>
        <w:tc>
          <w:tcPr>
            <w:tcW w:w="5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22"/>
                <w:szCs w:val="22"/>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1, 2025</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7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992,370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2026 and 2045. Operating lease obligations include future minimum lease payments under all of our non-cancelable operating leases at January 31, 2026. In the fiscal year ended January 31, 2026, we opened 24 new locations. The following table summarizes our operating lease obligations by fiscal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2030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266,461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248,658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1,141,396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2,367,764</w:t>
            </w:r>
          </w:p>
        </w:tc>
      </w:tr>
    </w:tbl>
    <w:p>
      <w:pPr>
        <w:spacing w:after="0" w:line="72"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$1.4 million due in the future under non-cancelable subleases.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January 31, 2026.</w:t>
      </w:r>
    </w:p>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previously approved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 As of January 31, 2026, the Company had $436.6 million remaining for share repurchases under the 2024 Share Repurchase Program. See Note 2 to the consolidated financial statements.</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share repurchases for the fiscal year ended January 31, 2026 (dollar amounts in thousands, except per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0"/>
        </w:trPr>
        <w:tc>
          <w:tcPr>
            <w:tcW w:w="566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360" w:type="dxa"/>
            <w:vAlign w:val="bottom"/>
          </w:tcPr>
          <w:p>
            <w:pPr>
              <w:spacing w:after="0"/>
              <w:rPr>
                <w:sz w:val="20"/>
                <w:szCs w:val="20"/>
                <w:color w:val="auto"/>
              </w:rPr>
            </w:pPr>
          </w:p>
        </w:tc>
        <w:tc>
          <w:tcPr>
            <w:tcW w:w="1540" w:type="dxa"/>
            <w:vAlign w:val="bottom"/>
            <w:gridSpan w:val="2"/>
          </w:tcPr>
          <w:p>
            <w:pPr>
              <w:ind w:left="24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20"/>
                <w:szCs w:val="20"/>
                <w:color w:val="auto"/>
              </w:rPr>
            </w:pPr>
          </w:p>
        </w:tc>
        <w:tc>
          <w:tcPr>
            <w:tcW w:w="1600" w:type="dxa"/>
            <w:vAlign w:val="bottom"/>
          </w:tcPr>
          <w:p>
            <w:pPr>
              <w:jc w:val="right"/>
              <w:ind w:right="23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2, 2025 to May 3, 2025)</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4, 2025 to August 2, 2025)</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3, 2025 to November 1, 2025)</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Fourth Quarter (November 2, 2025 to January 31, 2026) </w:t>
            </w:r>
            <w:r>
              <w:rPr>
                <w:rFonts w:ascii="Times New Roman" w:cs="Times New Roman" w:eastAsia="Times New Roman" w:hAnsi="Times New Roman"/>
                <w:sz w:val="23"/>
                <w:szCs w:val="23"/>
                <w:color w:val="auto"/>
                <w:vertAlign w:val="superscript"/>
              </w:rPr>
              <w:t>(2)</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1,849,900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99,947</w:t>
            </w:r>
          </w:p>
        </w:tc>
      </w:tr>
      <w:tr>
        <w:trPr>
          <w:trHeight w:val="248"/>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 Repurchase Activity</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3,930,672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20" w:hanging="212"/>
        <w:spacing w:after="0"/>
        <w:tabs>
          <w:tab w:leader="none" w:pos="2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impact of excise taxes.</w:t>
      </w:r>
    </w:p>
    <w:p>
      <w:pPr>
        <w:spacing w:after="0" w:line="68" w:lineRule="exact"/>
        <w:rPr>
          <w:rFonts w:ascii="Times New Roman" w:cs="Times New Roman" w:eastAsia="Times New Roman" w:hAnsi="Times New Roman"/>
          <w:sz w:val="14"/>
          <w:szCs w:val="14"/>
          <w:color w:val="auto"/>
        </w:rPr>
      </w:pPr>
    </w:p>
    <w:p>
      <w:pPr>
        <w:ind w:firstLine="8"/>
        <w:spacing w:after="0" w:line="271" w:lineRule="auto"/>
        <w:tabs>
          <w:tab w:leader="none" w:pos="21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Part II, Item 5 - Market for Registrant's Common Equity, Related Stockholder Matters and Issuer Purchases of Equity Securities for further detail on the 2025 fourth quarter share repurchases.</w:t>
      </w: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summarizes our quarterly dividend payments for the fiscal year ended January 31, 2026 (amounts in thousands, except per share amounts):</w:t>
      </w: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8"/>
                <w:szCs w:val="18"/>
                <w:b w:val="1"/>
                <w:bCs w:val="1"/>
                <w:color w:val="auto"/>
              </w:rPr>
              <w:t>Dividends Paid per</w:t>
            </w:r>
          </w:p>
        </w:tc>
        <w:tc>
          <w:tcPr>
            <w:tcW w:w="18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Dividends Paid</w:t>
            </w:r>
          </w:p>
        </w:tc>
        <w:tc>
          <w:tcPr>
            <w:tcW w:w="100" w:type="dxa"/>
            <w:vAlign w:val="bottom"/>
          </w:tcPr>
          <w:p>
            <w:pPr>
              <w:spacing w:after="0"/>
              <w:rPr>
                <w:sz w:val="16"/>
                <w:szCs w:val="16"/>
                <w:color w:val="auto"/>
              </w:rPr>
            </w:pPr>
          </w:p>
        </w:tc>
        <w:tc>
          <w:tcPr>
            <w:tcW w:w="180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2, 2025 to May 3,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4, 2025 to August 2,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19, 2025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(August 3, 2025 to November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11, 2025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 (November 2, 2025 to January 31, 2026)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ind w:firstLine="324"/>
        <w:spacing w:after="0" w:line="282" w:lineRule="auto"/>
        <w:rPr>
          <w:sz w:val="20"/>
          <w:szCs w:val="20"/>
          <w:color w:val="auto"/>
        </w:rPr>
      </w:pPr>
      <w:r>
        <w:rPr>
          <w:rFonts w:ascii="Times New Roman" w:cs="Times New Roman" w:eastAsia="Times New Roman" w:hAnsi="Times New Roman"/>
          <w:sz w:val="18"/>
          <w:szCs w:val="18"/>
          <w:color w:val="auto"/>
        </w:rPr>
        <w:t>On March 5, 2026, the Company announced that the Board of Directors declared a quarterly cash dividend with respect to the quarter ended January 31, 2026 of $0.15 per share of common stock, payable on April 10, 2026, to stockholders of record as of the close of business on March 20, 2026.</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for the periods shown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100,419</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81,992</w:t>
            </w: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25,359</w:t>
            </w:r>
          </w:p>
        </w:tc>
      </w:tr>
      <w:tr>
        <w:trPr>
          <w:trHeight w:val="22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212,668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199,589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207,770</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capital expenditures for fiscal year 2026 to be between $200 million and $240 million. The following table summarizes our forecasted allocation of capital expenditures for fiscal year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our capital expenditures based on business conditions at that time.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Consolidated Statements of Cash Flows are summarized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434,798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535,779</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(206,139)</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(318,865)</w:t>
            </w:r>
          </w:p>
        </w:tc>
      </w:tr>
      <w:tr>
        <w:trPr>
          <w:trHeight w:val="223"/>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inventory increase being the most significant.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in 2025 decreased $93.3 million compared to 2024. This decrease is attributable to:</w:t>
      </w:r>
    </w:p>
    <w:p>
      <w:pPr>
        <w:spacing w:after="0" w:line="25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 million decrease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$99.9 million net decrease in cash flows provided by operating assets and liabilities; partially offset by</w:t>
      </w:r>
    </w:p>
    <w:p>
      <w:pPr>
        <w:spacing w:after="0" w:line="6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 million net increase in non-cash charges, primarily related to increased deferred income taxes as a result of the enactment of the “OBBBA”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color w:val="auto"/>
        </w:rPr>
        <w:t>The decrease in cash flows from operating assets and liabilities was primarily attributable to:</w:t>
      </w:r>
    </w:p>
    <w:p>
      <w:pPr>
        <w:spacing w:after="0" w:line="252" w:lineRule="exact"/>
        <w:rPr>
          <w:sz w:val="20"/>
          <w:szCs w:val="20"/>
          <w:color w:val="auto"/>
        </w:rPr>
      </w:pPr>
    </w:p>
    <w:p>
      <w:pPr>
        <w:ind w:left="660" w:right="240" w:hanging="328"/>
        <w:spacing w:after="0" w:line="28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$118.7 million decrease in cash flows from working capital due to the pull-forward of inventory purchases at pre-tariff rates relative to the prior year period;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million decrease in cash flows from accounts receivable due to timing of payments received;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 million increase in cash flows from prepaid expenses and other current assets, largely driven by timing of construction reimbursement payments received.</w:t>
      </w:r>
    </w:p>
    <w:p>
      <w:pPr>
        <w:spacing w:after="0" w:line="23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decreased $14.1 million in 2025 compared to 2024. The decrease in cash used in investing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is primarily related to:</w:t>
      </w:r>
    </w:p>
    <w:p>
      <w:pPr>
        <w:spacing w:after="0" w:line="18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 million in additional proceeds from sale-leaseback transactions in 2025 compared to 2024 (see Note 11); partially offset by</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million increase in capital expenditures related to store properties purchased and subsequently sold as part of sale-leaseback transactions (see Note 11).</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decreased $179.6 million in 2025 compared to 2024. The primary drivers of the decrease were:</w:t>
      </w:r>
    </w:p>
    <w:p>
      <w:pPr>
        <w:spacing w:after="0" w:line="25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$165.9 million decrease in cash outflows for repurchases of common stock in 2025;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in proceeds received as of the end of fiscal year 2025 for the sale of a portion of rights to tariff relief litigation claims.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w:t>
      </w:r>
    </w:p>
    <w:p>
      <w:pPr>
        <w:spacing w:after="0" w:line="256"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expect our existing cash balances, internally generated cash flows and available borrowings under our ABL Facility to fulfill anticipated obligations such as capital expenditures, dividends, stock repurchases, working capital needs and scheduled debt maturities for the foreseeable future. As of January 31, 2026, we had $992.4 million of available capacity under our ABL Facility and $330.3 million of cash and cash equivalents. As discussed in Note 12, the Company previously sold a portion of its rights to potential tariff relief litigation claims and does not expect to receive refunds associated with the portion of the rights sold. Accordingly, the Company does not expect potential tariff refunds to represent a significant incremental future source of liquidity.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upon the Company's consolidated financial statements, which have been prepared in accordance with U.S. generally accepted accounting principles (U.S. GAAP). The preparation of these financial statements requires the Company to make estimates, judgments, and assumptions that can have a meaningful effect on the reporting of consolidated financial statements. See Note 2 to the accompanying financial statements for additional information.</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defined as those reflective of significant judgments, estimates and uncertainties, which may result in materially different results under different assumptions and conditions. The Company believes the following are its critical accounting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w:t>
      </w:r>
    </w:p>
    <w:p>
      <w:pPr>
        <w:spacing w:after="0" w:line="2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Merchandise inventories are stated at the lower of weighted average cost and net realizable value. Merchandise inventories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cost of merchandise (including tariffs), capitalized costs related to procurement, and warehousing and distribution. Merchandise inventories are reflected net of shrinkage, vendor allowances and other valuation reserves.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We record an inventory reserve for the estimated shrinkage between physical inventories on a location by location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perform a full physical inventory count for each store at least once a year, throughout the year, after which our shrinkage accrual rate to sales for each store is updated based on historical results. For vendor allowances based on contractual provisions, we develop accrual rates for receivables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For inventory shrinkage, our reserves may be inaccurate if our historical physical inventory shrinkage rates,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differ significantly from actual rates due to consistent misses to our accrual. However, due to the frequency with which we perform full physical inventory counts, our assumptions are regularly updated, and we regularly analyze the physical inventory results to our accruals and, where necessary, adjust our store accruals to compensate for consistent patterns identified. We have not had a history of significant differences to our reserves for vendor allowances, and the assumptions generally do not have a significant impact on reserves since they are typically short-term and contractual in nature. We book a reserve for inventory permanently marked down below the inventory’s historical cost. Additionally, for slow moving or obsolete inventory, we book reserves based on historical margins received for marked down inventory with similarly slow historical sell-through rates. A 20% decrease in assumed margins used in these reserves would not have a material impact to our financial statements. We believe our long history of operations has given us sufficient data to enable us to accurately predict these reserves.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We review the carrying value of long-lived assets, including property and equipment at our stores and right-of-use assets, for indicators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regularly and whenever events and circumstances indicate that the carrying value of an asset may not be recoverable.</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We test stores operating over a long enough time span, based on our previous store history for similar locations, to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meaningful analysis of future operating results.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The assumptions used to project store impairment loss is based on projected future store income and considers variables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historical and current trends, macroeconomic conditions, store location, and local economy and supply chain factors. Additionally, the long-term store income projections also contain a projection of future store specific costs such as store wages and advertising. Actual long-term income results could vary significantly from our projections due to a variety of reasons such as changes in the local retail environment or macroeconomic factors not used in our assumptions. In addition to variables considered in developing projected long-term store income, assumptions are made to develop the assumed discount rate based on company specific factors. There is significant judgment used in determining these assumptions used in the assessment of store impairment and variability in the assumptions could cause us to reach a materially different conclusion on impairment; however, we do not believe the net book value of any individual store assets are material to the Company’s operations. The Company has not recognized any long-lived asset impairment charges during 2025, 2024, or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 annual goodwill impairment test provides for the option of first performing a qualitative assessment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5" w:name="page56"/>
    <w:bookmarkEnd w:id="5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 as well as guideline transactions. These approaches use key input assumptions such as our projected future operating results, the discount rate, the weighting for each valuation approach and the comparable set of companies and transactions.</w:t>
      </w:r>
    </w:p>
    <w:p>
      <w:pPr>
        <w:spacing w:after="0" w:line="2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The assumptions used to project long-term company income consider variables such as historical and current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macroeconomic conditions, supply chain factors, projections consistent with the Company’s operating strategy, such as the future development of e-commerce and our assumptions used on future store openings, and other variables expected to impact future sales. Additionally, the long-term company income projections also contain a projection of future company costs such as wages, freight and transportation, and advertising. Actual long-term company income results could vary significantly from our projections due to a variety of reasons such as changes in the retail environment or macroeconomic factors not used in our assumptions. In addition to variables considered in developing projected long-term company income, assumptions are made to develop the discount rate, which is based on an assumed risk-free rate, and an equity risk premium developed from general historical market data and comparable companies. The earnings multiples and control premiums used in the market approach can vary dependent on which companies and guideline transactions are selected in our comparable set. A history of declining trends in our operating results such as comparable sales, gross margin, net income and cash flow from operations could impact these assumptions and serve as indicators of future impairment. There is significant judgment used in determining these assumptions used in the assessment of goodwill impairment and variability in the assumptions could cause us to reach a different conclusion on impairment. In 2025, we performed a qualitative impairment assessment and determined a quantitative assessment was not necessary. The Company has not recorded any impairment charges related to goodwill during 2025, 2024, or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4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Intangible assets primarily consists of the trade name “Academy Sports + Outdoors” (the “Trade Name”). The Trade Name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cash flows indefinitely and, therefore, is accounted for as an indefinite-lived asset not subject to amortization. The Trade Name is tested for impairment annually or whenever events or circumstances indicate that the carrying amount of the Trade Name may not be recoverable.</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Judgments and Uncertainties: </w:t>
      </w:r>
      <w:r>
        <w:rPr>
          <w:rFonts w:ascii="Times New Roman" w:cs="Times New Roman" w:eastAsia="Times New Roman" w:hAnsi="Times New Roman"/>
          <w:sz w:val="18"/>
          <w:szCs w:val="18"/>
          <w:color w:val="auto"/>
        </w:rPr>
        <w:t>The annual Trade Name impairment test provides for the option of first performing a qualitative assessment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w:t>
      </w:r>
    </w:p>
    <w:p>
      <w:pPr>
        <w:spacing w:after="0" w:line="2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Impact of Assumptions: </w:t>
      </w:r>
      <w:r>
        <w:rPr>
          <w:rFonts w:ascii="Times New Roman" w:cs="Times New Roman" w:eastAsia="Times New Roman" w:hAnsi="Times New Roman"/>
          <w:sz w:val="18"/>
          <w:szCs w:val="18"/>
          <w:color w:val="auto"/>
        </w:rPr>
        <w:t>The assumptions used to project long-term company sales consider variables such as historical and current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macroeconomic conditions, supply chain factors, projections consistent with the Company’s operating strategy, such as the future development of e-commerce and our assumptions used on future store openings, and other variables expected to impact future sales. Actual long-term income results could vary significantly from our projections due to a variety of reasons such as changes in the retail environment or macroeconomic factors not used in our assumptions. In addition to variables considered in developing projected long-term sales, assumptions are made to develop the royalty rates and discount rates. The royalty rates are based on market data where royalty rates are applicable and the discount rates are based on an assumed risk-free rate, and an equity risk premium based on general historical market data and comparable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on intangible asset impairment and variability in the assumptions could cause us to reach a different conclusion on impairment. In 2025, we performed a qualitative impairment assessment and determined a quantitative assessment was not necessary. The Company has not recorded any impairment charges related to intangible assets during fiscal 2025, fiscal 2024, or fiscal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discussion of recent accounting pronouncements, see Note 2 to the accompanying financial statements.</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Term Loan and ABL Facility, as these borrowings have variable interest rates. When appropriate, we also enter into fixed interest rate debt, such as the Notes, to limit the floating interest rate exposure on our long-term debt or historically we have used derivative financial instruments to mitigate the risk from such exposure. As of January 31, 2026, we do not have any derivative financial instruments outstanding. The detrimental effect of a hypothetical 100 basis point increase in interest rates on current borrowings under the Term Loan and ABL Facility would increase our interest expense by approximately $0.9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Results and Seasonality</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July/August back-to-school selling season during the second and third quarters,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financial statements required to be filed hereunder are set forth on pages 64 through 97 of this Annual Report on Form 10-K.</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accounting principles generally accepted in the United States of America. The Company's internal control over financial reporting includes:</w:t>
      </w:r>
    </w:p>
    <w:p>
      <w:pPr>
        <w:spacing w:after="0" w:line="7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records that in reasonable detail accurately and fairly reflect our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reasonable assurance that transactions are recorded as necessary for preparation of our financial statements;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reasonable assurance that receipts and expenditures of Company assets are made in accordance with management authorization;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reasonable assurance that unauthorized acquisition, use or disposition of Company assets that could have a material effect on our financial statements would be prevented or detected on a timely basis.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risk that controls may become inadequate because of change in conditions, or that the degree of compliance with the policies or procedures may deteriorate.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conducted an evaluation of the effectiveness of our internal control over financial reporting based on the framework and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concluded that the Company’s internal control over financial reporting was effective as of the end of the period covered by this Annual Report.</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has issued an attestation report on the Company’s internal control over financial reporting which is set forth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Academy Sports and Outdoors, Inc. and subsidiaries (the “Company”)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31, 2026, of the Company and our report dated March 17, 2026,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56"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During the quarter ended January 31, 2026, no director or officer (as defined by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3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32"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concerning our executive officers is set forth under the heading “Information about our Executive Officers” in Part I of this report. Further information required by this item will be included in our definitive proxy statement for the 2026 Annual Meeting of Stockholders and is incorporated herein by reference.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and/or other dispositions of our securities by our directors, officers, and employees, or the Company, that we believe is reasonably designed to promote compliance with insider trading laws, rules and regulations, and the exchange listing standards applicable to us. A copy of our insider trading policy is incorporated by reference to Exhibit 19.1 to this Annual Report on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The following table gives information about the Company's common stock that may be issued upon the exercise of options, warrants and rights under all of the Company's equity compensation plans as of January 31, 2026. The table includes the 2011 Unit Incentive Plan, the 2020 Omnibus Incentive Plan and the 2020 Employee Stock Purchase Plan.</w:t>
      </w: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80" w:type="dxa"/>
            <w:vAlign w:val="bottom"/>
          </w:tcPr>
          <w:p>
            <w:pPr>
              <w:spacing w:after="0"/>
              <w:rPr>
                <w:sz w:val="16"/>
                <w:szCs w:val="16"/>
                <w:color w:val="auto"/>
              </w:rPr>
            </w:pPr>
          </w:p>
        </w:tc>
        <w:tc>
          <w:tcPr>
            <w:tcW w:w="1640" w:type="dxa"/>
            <w:vAlign w:val="bottom"/>
          </w:tcPr>
          <w:p>
            <w:pPr>
              <w:jc w:val="center"/>
              <w:ind w:right="50"/>
              <w:spacing w:after="0" w:line="186"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32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(c)</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180" w:type="dxa"/>
            <w:vAlign w:val="bottom"/>
          </w:tcPr>
          <w:p>
            <w:pPr>
              <w:spacing w:after="0"/>
              <w:rPr>
                <w:sz w:val="16"/>
                <w:szCs w:val="16"/>
                <w:color w:val="auto"/>
              </w:rPr>
            </w:pPr>
          </w:p>
        </w:tc>
        <w:tc>
          <w:tcPr>
            <w:tcW w:w="16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3240" w:type="dxa"/>
            <w:vAlign w:val="bottom"/>
          </w:tcPr>
          <w:p>
            <w:pPr>
              <w:jc w:val="center"/>
              <w:ind w:lef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324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 under</w:t>
            </w:r>
          </w:p>
        </w:tc>
        <w:tc>
          <w:tcPr>
            <w:tcW w:w="0" w:type="dxa"/>
            <w:vAlign w:val="bottom"/>
          </w:tcPr>
          <w:p>
            <w:pPr>
              <w:spacing w:after="0"/>
              <w:rPr>
                <w:sz w:val="1"/>
                <w:szCs w:val="1"/>
                <w:color w:val="auto"/>
              </w:rPr>
            </w:pPr>
          </w:p>
        </w:tc>
      </w:tr>
      <w:tr>
        <w:trPr>
          <w:trHeight w:val="176"/>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8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324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rPr>
              <w:t>equity compensation plans (excluding</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vMerge w:val="continue"/>
          </w:tcPr>
          <w:p>
            <w:pPr>
              <w:spacing w:after="0"/>
              <w:rPr>
                <w:sz w:val="21"/>
                <w:szCs w:val="21"/>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32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securities reflected in column (a))</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Service-Based Stock Options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32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119,619</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Service-Based Restricted Stock Units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866,022</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481,810</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2020 Employee Stock Purchase Plan</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3,605,272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2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8"/>
        <w:spacing w:after="0" w:line="268" w:lineRule="auto"/>
        <w:tabs>
          <w:tab w:leader="none" w:pos="20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plans listed above, only the 2020 Omnibus Incentive Plan and the 2020 Employee Stock Purchase Plan allow for future grants of securities. The maximum number of shares that may be granted under the 2020 Omnibus Incentive Plan (inclusive of unissued shares that were carried over from the 2011 Unit Incentive Plan) is approximately 4,563,991. Stock options and restricted stock units are counted on a one-for-one basis. Total shares available for future issuance under the 2020 Omnibus Incentive Plan is 3,532,476. The total shares available for issuance under the 2020 Employee Stock Purchase Plan is 1,342,080.</w:t>
      </w:r>
    </w:p>
    <w:p>
      <w:pPr>
        <w:spacing w:after="0" w:line="2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exercise price of outstanding options only.</w:t>
      </w:r>
    </w:p>
    <w:p>
      <w:pPr>
        <w:spacing w:after="0" w:line="2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54" w:lineRule="exact"/>
        <w:rPr>
          <w:sz w:val="20"/>
          <w:szCs w:val="20"/>
          <w:color w:val="auto"/>
        </w:rPr>
      </w:pPr>
    </w:p>
    <w:p>
      <w:pPr>
        <w:ind w:left="400" w:hanging="374"/>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7" w:lineRule="exact"/>
        <w:rPr>
          <w:rFonts w:ascii="Times New Roman" w:cs="Times New Roman" w:eastAsia="Times New Roman" w:hAnsi="Times New Roman"/>
          <w:sz w:val="18"/>
          <w:szCs w:val="18"/>
          <w:color w:val="auto"/>
        </w:rPr>
      </w:pPr>
    </w:p>
    <w:p>
      <w:pPr>
        <w:ind w:left="940" w:right="220" w:hanging="550"/>
        <w:spacing w:after="0" w:line="234" w:lineRule="auto"/>
        <w:tabs>
          <w:tab w:leader="none" w:pos="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consolidated Financial Statements required to be filed hereunder are listed in the Index to Consolidated Financial Statements on page 65 of this Annual Report on Form 10-K.</w:t>
      </w:r>
    </w:p>
    <w:p>
      <w:pPr>
        <w:spacing w:after="0" w:line="226" w:lineRule="exact"/>
        <w:rPr>
          <w:rFonts w:ascii="Times New Roman" w:cs="Times New Roman" w:eastAsia="Times New Roman" w:hAnsi="Times New Roman"/>
          <w:sz w:val="18"/>
          <w:szCs w:val="18"/>
          <w:color w:val="auto"/>
        </w:rPr>
      </w:pPr>
    </w:p>
    <w:p>
      <w:pPr>
        <w:jc w:val="both"/>
        <w:ind w:left="940" w:hanging="550"/>
        <w:spacing w:after="0"/>
        <w:tabs>
          <w:tab w:leader="none" w:pos="940" w:val="left"/>
        </w:tabs>
        <w:numPr>
          <w:ilvl w:val="1"/>
          <w:numId w:val="4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Financial Statement Schedule. The consolidated financial statements schedule to be filed hereunder is included on page 103 of this Annual Report on Form 10-K. Other schedules have not been included because they are not applicable or because the information is included elsewhere in this report.</w:t>
      </w:r>
    </w:p>
    <w:p>
      <w:pPr>
        <w:spacing w:after="0" w:line="102" w:lineRule="exact"/>
        <w:rPr>
          <w:rFonts w:ascii="Times New Roman" w:cs="Times New Roman" w:eastAsia="Times New Roman" w:hAnsi="Times New Roman"/>
          <w:sz w:val="34"/>
          <w:szCs w:val="34"/>
          <w:color w:val="auto"/>
          <w:vertAlign w:val="superscript"/>
        </w:rPr>
      </w:pPr>
    </w:p>
    <w:p>
      <w:pPr>
        <w:jc w:val="both"/>
        <w:ind w:left="940" w:right="220" w:hanging="550"/>
        <w:spacing w:after="0" w:line="231" w:lineRule="auto"/>
        <w:tabs>
          <w:tab w:leader="none" w:pos="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Index to Exhibits, which appears on pages 98 to 101 and is incorporated herein by reference, are filed as part of this Annual Report on Form 10-K. Certain Exhibits are incorporated by reference from documents previously filed by the Company with the SEC pursuant to Rule 12b-32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3"/>
        </w:trPr>
        <w:tc>
          <w:tcPr>
            <w:tcW w:w="97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No. 34)</w:t>
            </w:r>
          </w:p>
        </w:tc>
        <w:tc>
          <w:tcPr>
            <w:tcW w:w="6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66</w:t>
            </w:r>
          </w:p>
        </w:tc>
        <w:tc>
          <w:tcPr>
            <w:tcW w:w="660" w:type="dxa"/>
            <w:vAlign w:val="bottom"/>
            <w:tcBorders>
              <w:bottom w:val="single" w:sz="8" w:color="CCEEFF"/>
            </w:tcBorders>
            <w:shd w:val="clear" w:color="auto" w:fill="CCEEFF"/>
          </w:tcPr>
          <w:p>
            <w:pPr>
              <w:spacing w:after="0"/>
              <w:rPr>
                <w:sz w:val="17"/>
                <w:szCs w:val="17"/>
                <w:color w:val="auto"/>
              </w:rPr>
            </w:pPr>
          </w:p>
        </w:tc>
      </w:tr>
      <w:tr>
        <w:trPr>
          <w:trHeight w:val="189"/>
        </w:trPr>
        <w:tc>
          <w:tcPr>
            <w:tcW w:w="9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January 31, 2026 and February 1, 2025</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660" w:type="dxa"/>
            <w:vAlign w:val="bottom"/>
          </w:tcPr>
          <w:p>
            <w:pPr>
              <w:spacing w:after="0"/>
              <w:rPr>
                <w:sz w:val="16"/>
                <w:szCs w:val="16"/>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Income for the fiscal years ended January 31, 2026, February 1, 2025 and February 3, 2024</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66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for the fiscal years ended January 31, 2026, February 1, 2025 and February 3, 2024</w:t>
            </w:r>
          </w:p>
        </w:tc>
        <w:tc>
          <w:tcPr>
            <w:tcW w:w="820" w:type="dxa"/>
            <w:vAlign w:val="bottom"/>
            <w:gridSpan w:val="2"/>
          </w:tcPr>
          <w:p>
            <w:pPr>
              <w:jc w:val="center"/>
              <w:ind w:left="550"/>
              <w:spacing w:after="0" w:line="189" w:lineRule="exact"/>
              <w:rPr>
                <w:sz w:val="20"/>
                <w:szCs w:val="20"/>
                <w:color w:val="auto"/>
              </w:rPr>
            </w:pPr>
            <w:r>
              <w:rPr>
                <w:rFonts w:ascii="Times New Roman" w:cs="Times New Roman" w:eastAsia="Times New Roman" w:hAnsi="Times New Roman"/>
                <w:sz w:val="18"/>
                <w:szCs w:val="18"/>
                <w:color w:val="0000FF"/>
                <w:w w:val="99"/>
              </w:rPr>
              <w:t>70</w:t>
            </w:r>
          </w:p>
        </w:tc>
        <w:tc>
          <w:tcPr>
            <w:tcW w:w="660" w:type="dxa"/>
            <w:vAlign w:val="bottom"/>
          </w:tcPr>
          <w:p>
            <w:pPr>
              <w:spacing w:after="0"/>
              <w:rPr>
                <w:sz w:val="16"/>
                <w:szCs w:val="16"/>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97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fiscal years ended January 31, 2026, February 1, 2025 and February 3, 2024</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660" w:type="dxa"/>
            <w:vAlign w:val="bottom"/>
            <w:tcBorders>
              <w:bottom w:val="single" w:sz="8" w:color="CCEEFF"/>
            </w:tcBorders>
            <w:shd w:val="clear" w:color="auto" w:fill="CCEEFF"/>
          </w:tcPr>
          <w:p>
            <w:pPr>
              <w:spacing w:after="0"/>
              <w:rPr>
                <w:sz w:val="18"/>
                <w:szCs w:val="18"/>
                <w:color w:val="auto"/>
              </w:rPr>
            </w:pPr>
          </w:p>
        </w:tc>
      </w:tr>
      <w:tr>
        <w:trPr>
          <w:trHeight w:val="189"/>
        </w:trPr>
        <w:tc>
          <w:tcPr>
            <w:tcW w:w="97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4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6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Academy Sports and Outdoors, Inc. and subsidiaries (the "Company") as of January 31, 2026 and February 1, 2025, the related consolidated statements of income, stockholders' equity, and cash flows, for each of the three years in the period ended January 31, 2026, and the related notes and schedule listed in the Index at Item 15 (collectively referred to as the “financial statements”). In our opinion, the financial statements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 United States of America.</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17, 2026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 Refer to Note 2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accounts for merchandise inventory at the lower of weighted average cost and net realizable value. Merchandise inventories include the direct cost of merchandise and capitalized costs related to procurement, warehousing and distribution. These costs include tariffs, payroll and benefits, distribution center occupancy costs, depreciation and freight. The total cost of merchandise inventories are recorded as a component of cost of goods sold at the time revenue is recognized.</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We identified the calculation of the capitalized costs of procurement, warehouse and distribution cost as well as the direct costs of tariffs and freight included in merchandise inventory purchased by the Company as a critical audit matter. The Company calculates capitalized costs for procurement, warehouse and distribution costs based upon an estimate of inventoriable costs based upon the cost required to bring merchandise inventory to its present location and condition. The estimates in calculating the amount of procurement, warehousing and distribution costs to capitalize to inventory lead to the inherent subjectivity in management's judgment in estimating the total inventoriable costs, and high degree of auditor judgment and an increased extent of effort to test the Company's cost capitalization. The Company determines direct costs of tariffs and freight based upon actual amounts incurred. The merchandise inventory computations for tariffs and freight utilize critical inputs dependent on multiple information systems that capture and process high volume transactions. As a result of the number of inputs used to capture the high volume of transactions processed by the Company, auditing inventory requires extensive audit effort including significant involvement of more experienced audit team members.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judgment included the following, among others:</w:t>
      </w:r>
    </w:p>
    <w:p>
      <w:pPr>
        <w:spacing w:after="0" w:line="117" w:lineRule="exact"/>
        <w:rPr>
          <w:sz w:val="20"/>
          <w:szCs w:val="20"/>
          <w:color w:val="auto"/>
        </w:rPr>
      </w:pPr>
    </w:p>
    <w:p>
      <w:pPr>
        <w:ind w:left="660" w:right="20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in place over capitalizing inventoriable costs of procurement, warehousing and distribution costs and management's process to evaluate the assumptions used in the process.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within the relevant business processes pertaining to tariffs and freight, including those in place to reconcile the various systems utilized to the Company’s general ledger.</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and consistency of management’s methodology used in determining inventoriable costs and non-inventoriable costs in line with applicable accounting for inventory guidance and the basis for allocations.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samples from the capitalized inventoriable cost pools to vouch to source documents for accuracy.</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amounts capitalized through our substantive analytical procedures by developing our independent expectation of the recorded amounts and comparing that with the actual balance.</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inventory purchase transactions, we performed detail testing by agreeing the amounts of tariff and freight costs recognized to source documents and tested the mathematical accuracy of the recorded capitalized amounts.</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costs capitalized for tariffs and freight through our substantive analytical procedures by developing our independent expectation of the recorded amounts and comparing that with the actual balance.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330,320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288,929</w:t>
            </w: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$1,792 and $2,752, respectively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1,503,756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1,308,840</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1,954,245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1,710,149</w:t>
            </w:r>
          </w:p>
        </w:tc>
        <w:tc>
          <w:tcPr>
            <w:tcW w:w="0" w:type="dxa"/>
            <w:vAlign w:val="bottom"/>
          </w:tcPr>
          <w:p>
            <w:pPr>
              <w:spacing w:after="0"/>
              <w:rPr>
                <w:sz w:val="1"/>
                <w:szCs w:val="1"/>
                <w:color w:val="auto"/>
              </w:rPr>
            </w:pPr>
          </w:p>
        </w:tc>
      </w:tr>
      <w:tr>
        <w:trPr>
          <w:trHeight w:val="148"/>
        </w:trPr>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525,136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1,173,075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579,766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579,007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62,756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51,676</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5,277,036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4,900,963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637,854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612,424</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243,908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230,323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115,134</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1,032,253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960,881</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482,679</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1,261,167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1,185,741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300,654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256,815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3,105,659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2,896,928</w:t>
            </w:r>
          </w:p>
        </w:tc>
        <w:tc>
          <w:tcPr>
            <w:tcW w:w="0" w:type="dxa"/>
            <w:vAlign w:val="bottom"/>
          </w:tcPr>
          <w:p>
            <w:pPr>
              <w:spacing w:after="0"/>
              <w:rPr>
                <w:sz w:val="1"/>
                <w:szCs w:val="1"/>
                <w:color w:val="auto"/>
              </w:rPr>
            </w:pPr>
          </w:p>
        </w:tc>
      </w:tr>
      <w:tr>
        <w:trPr>
          <w:trHeight w:val="128"/>
        </w:trPr>
        <w:tc>
          <w:tcPr>
            <w:tcW w:w="7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authorized 50,000,000 shares; none issued and outstanding</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6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$0.01 par value, authorized 300,000,000 shares; 64,945,953 and 68,332,961 issued</w:t>
            </w:r>
          </w:p>
        </w:tc>
        <w:tc>
          <w:tcPr>
            <w:tcW w:w="16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January 31, 2026 and February 1, 2025, respectively</w:t>
            </w:r>
          </w:p>
        </w:tc>
        <w:tc>
          <w:tcPr>
            <w:tcW w:w="160" w:type="dxa"/>
            <w:vAlign w:val="bottom"/>
            <w:shd w:val="clear" w:color="auto" w:fill="CCEEFF"/>
          </w:tcPr>
          <w:p>
            <w:pPr>
              <w:spacing w:after="0"/>
              <w:rPr>
                <w:sz w:val="20"/>
                <w:szCs w:val="20"/>
                <w:color w:val="auto"/>
              </w:rPr>
            </w:pPr>
          </w:p>
        </w:tc>
        <w:tc>
          <w:tcPr>
            <w:tcW w:w="16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256,351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247,094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1,914,377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1,756,258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2,171,377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2,004,035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5,277,036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4,900,963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6,053,414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5,933,450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6,159,291</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3,947,801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3,921,990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4,049,080</w:t>
            </w:r>
          </w:p>
        </w:tc>
      </w:tr>
      <w:tr>
        <w:trPr>
          <w:trHeight w:val="223"/>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2,110,211</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1,593,429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1,432,356</w:t>
            </w: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512,184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677,855</w:t>
            </w:r>
          </w:p>
        </w:tc>
      </w:tr>
      <w:tr>
        <w:trPr>
          <w:trHeight w:val="256"/>
        </w:trPr>
        <w:tc>
          <w:tcPr>
            <w:tcW w:w="5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46,051</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LOAN COSTS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32,877</w:t>
            </w:r>
          </w:p>
        </w:tc>
      </w:tr>
      <w:tr>
        <w:trPr>
          <w:trHeight w:val="223"/>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663,156</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143,966</w:t>
            </w: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376,768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519,190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75,389</w:t>
            </w: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77,469</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ACADEMY SPORTS AND OUTDOORS,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340" w:type="dxa"/>
            <w:vAlign w:val="bottom"/>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5"/>
                <w:szCs w:val="15"/>
                <w:color w:val="auto"/>
              </w:rPr>
            </w:pPr>
          </w:p>
        </w:tc>
        <w:tc>
          <w:tcPr>
            <w:tcW w:w="106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340" w:type="dxa"/>
            <w:vAlign w:val="bottom"/>
            <w:gridSpan w:val="5"/>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1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28,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1,411,330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1,628,306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declared, $0.09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1,711,809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1,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1,756,258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2,004,035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8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380" w:type="dxa"/>
            <w:vAlign w:val="bottom"/>
            <w:tcBorders>
              <w:top w:val="single" w:sz="8" w:color="CCEEFF"/>
            </w:tcBorders>
            <w:vMerge w:val="continue"/>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376,768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376,768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(3,931)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(183,992)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January 31,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1,914,377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2,171,377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720" w:type="dxa"/>
            <w:vAlign w:val="bottom"/>
            <w:gridSpan w:val="6"/>
          </w:tcPr>
          <w:p>
            <w:pPr>
              <w:ind w:left="402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9A9A9A"/>
            </w:tcBorders>
          </w:tcPr>
          <w:p>
            <w:pPr>
              <w:spacing w:after="0"/>
              <w:rPr>
                <w:sz w:val="17"/>
                <w:szCs w:val="17"/>
                <w:color w:val="auto"/>
              </w:rPr>
            </w:pPr>
          </w:p>
        </w:tc>
        <w:tc>
          <w:tcPr>
            <w:tcW w:w="53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2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376,768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0" w:type="dxa"/>
            <w:vAlign w:val="bottom"/>
          </w:tcPr>
          <w:p>
            <w:pPr>
              <w:spacing w:after="0"/>
              <w:rPr>
                <w:sz w:val="1"/>
                <w:szCs w:val="1"/>
                <w:color w:val="auto"/>
              </w:rPr>
            </w:pP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loss on early retirement of debt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29"/>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Write-off of Deferred Loan Costs</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30"/>
        </w:trPr>
        <w:tc>
          <w:tcPr>
            <w:tcW w:w="5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Merchandise inventories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(194,916)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89,358</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(50,225)</w:t>
            </w:r>
          </w:p>
        </w:tc>
        <w:tc>
          <w:tcPr>
            <w:tcW w:w="0" w:type="dxa"/>
            <w:vAlign w:val="bottom"/>
          </w:tcPr>
          <w:p>
            <w:pPr>
              <w:spacing w:after="0"/>
              <w:rPr>
                <w:sz w:val="1"/>
                <w:szCs w:val="1"/>
                <w:color w:val="auto"/>
              </w:rPr>
            </w:pPr>
          </w:p>
        </w:tc>
      </w:tr>
      <w:tr>
        <w:trPr>
          <w:trHeight w:val="229"/>
        </w:trPr>
        <w:tc>
          <w:tcPr>
            <w:tcW w:w="5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(142,346)</w:t>
            </w:r>
          </w:p>
        </w:tc>
        <w:tc>
          <w:tcPr>
            <w:tcW w:w="0" w:type="dxa"/>
            <w:vAlign w:val="bottom"/>
          </w:tcPr>
          <w:p>
            <w:pPr>
              <w:spacing w:after="0"/>
              <w:rPr>
                <w:sz w:val="1"/>
                <w:szCs w:val="1"/>
                <w:color w:val="auto"/>
              </w:rPr>
            </w:pPr>
          </w:p>
        </w:tc>
      </w:tr>
      <w:tr>
        <w:trPr>
          <w:trHeight w:val="229"/>
        </w:trPr>
        <w:tc>
          <w:tcPr>
            <w:tcW w:w="5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434,798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535,779</w:t>
            </w:r>
          </w:p>
        </w:tc>
        <w:tc>
          <w:tcPr>
            <w:tcW w:w="0" w:type="dxa"/>
            <w:vAlign w:val="bottom"/>
          </w:tcPr>
          <w:p>
            <w:pPr>
              <w:spacing w:after="0"/>
              <w:rPr>
                <w:sz w:val="1"/>
                <w:szCs w:val="1"/>
                <w:color w:val="auto"/>
              </w:rPr>
            </w:pPr>
          </w:p>
        </w:tc>
      </w:tr>
      <w:tr>
        <w:trPr>
          <w:trHeight w:val="75"/>
        </w:trPr>
        <w:tc>
          <w:tcPr>
            <w:tcW w:w="5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(172,037)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(206,139)</w:t>
            </w:r>
          </w:p>
        </w:tc>
        <w:tc>
          <w:tcPr>
            <w:tcW w:w="0" w:type="dxa"/>
            <w:vAlign w:val="bottom"/>
          </w:tcPr>
          <w:p>
            <w:pPr>
              <w:spacing w:after="0"/>
              <w:rPr>
                <w:sz w:val="1"/>
                <w:szCs w:val="1"/>
                <w:color w:val="auto"/>
              </w:rPr>
            </w:pPr>
          </w:p>
        </w:tc>
      </w:tr>
      <w:tr>
        <w:trPr>
          <w:trHeight w:val="74"/>
        </w:trPr>
        <w:tc>
          <w:tcPr>
            <w:tcW w:w="5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Reduction in Revolving Credit Facilities</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issuance fees</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0" w:type="dxa"/>
            <w:vAlign w:val="bottom"/>
          </w:tcPr>
          <w:p>
            <w:pPr>
              <w:spacing w:after="0"/>
              <w:rPr>
                <w:sz w:val="1"/>
                <w:szCs w:val="1"/>
                <w:color w:val="auto"/>
              </w:rPr>
            </w:pPr>
          </w:p>
        </w:tc>
      </w:tr>
      <w:tr>
        <w:trPr>
          <w:trHeight w:val="175"/>
        </w:trPr>
        <w:tc>
          <w:tcPr>
            <w:tcW w:w="59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under employee stock purchase</w:t>
            </w:r>
          </w:p>
        </w:tc>
        <w:tc>
          <w:tcPr>
            <w:tcW w:w="1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(202,796)</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(221,370)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(400,953)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(318,865)</w:t>
            </w:r>
          </w:p>
        </w:tc>
        <w:tc>
          <w:tcPr>
            <w:tcW w:w="0" w:type="dxa"/>
            <w:vAlign w:val="bottom"/>
          </w:tcPr>
          <w:p>
            <w:pPr>
              <w:spacing w:after="0"/>
              <w:rPr>
                <w:sz w:val="1"/>
                <w:szCs w:val="1"/>
                <w:color w:val="auto"/>
              </w:rPr>
            </w:pPr>
          </w:p>
        </w:tc>
      </w:tr>
      <w:tr>
        <w:trPr>
          <w:trHeight w:val="74"/>
        </w:trPr>
        <w:tc>
          <w:tcPr>
            <w:tcW w:w="59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337,145</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330,320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288,929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347,920</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9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45,446</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37,821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0" w:type="dxa"/>
            <w:vAlign w:val="bottom"/>
          </w:tcPr>
          <w:p>
            <w:pPr>
              <w:spacing w:after="0"/>
              <w:rPr>
                <w:sz w:val="1"/>
                <w:szCs w:val="1"/>
                <w:color w:val="auto"/>
              </w:rPr>
            </w:pPr>
          </w:p>
        </w:tc>
      </w:tr>
      <w:tr>
        <w:trPr>
          <w:trHeight w:val="94"/>
        </w:trPr>
        <w:tc>
          <w:tcPr>
            <w:tcW w:w="59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0" w:type="dxa"/>
            <w:vAlign w:val="bottom"/>
          </w:tcPr>
          <w:p>
            <w:pPr>
              <w:spacing w:after="0"/>
              <w:rPr>
                <w:sz w:val="1"/>
                <w:szCs w:val="1"/>
                <w:color w:val="auto"/>
              </w:rPr>
            </w:pPr>
          </w:p>
        </w:tc>
      </w:tr>
      <w:tr>
        <w:trPr>
          <w:trHeight w:val="238"/>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244,100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134,181</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441" w:right="339" w:bottom="1440" w:gutter="0" w:footer="0" w:header="0"/>
        </w:sectPr>
      </w:pP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All of the Company’s sales and business operations occur at Academy, Ltd., and Academy, Ltd. is also the borrower and/or issuer of the Company’s long-term debt and the lessee of the Company's facilities.</w:t>
      </w:r>
    </w:p>
    <w:p>
      <w:pPr>
        <w:spacing w:after="0" w:line="12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 retailer in the United States in terms of net sales. As of January 31, 2026, we operated 322 “Academy Sports + Outdoors” retail locations in 21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5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2025 relate to the 52-week fiscal year ended January 31, 2026, and references herein to 2024 and 2023 relate to the 52-week fiscal year ended February 1, 2025 and the 53-week fiscal year ended February 3, 2024, respectively.</w:t>
      </w:r>
    </w:p>
    <w:p>
      <w:pPr>
        <w:spacing w:after="0" w:line="199"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6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include the accounts of ASO, Inc. and its subsidiaries, New Academy Holding Company, LLC (“NAHC”), Academy Managing Co., LLC, Associated Investors, LLC, Academy, Ltd., the Company's operating company, Academy International Limited, Mason Creek Insurance Co., LLC, and Academy Procurement Co., LLC. NAHC, Academy Managing Co., LLC, and Associated Investors, LLC are intermediate holding companies. All intercompany balances and transactions have been eliminated in consolidation.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56"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and debt. The carrying amounts of cash and cash equivalents, accounts receivable, accounts payable and accrued liabilities approximate their fair values due to the short-term nature of those instruments. The fair value of debt is influenced by fluctuations in market conditions for interest rates (see Note 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believe that the financial risks associated with these financial instruments are minimal.</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purchase merchandise inventories from approximately 1,500 vendors. For 2025, 2024 and 2023, no vendor represented more than 12% of our total purchases. We typically do not enter into long-term inventory purchase commitments, and we did not have any such commitments as of January 31, 2026 or February 1, 2025.</w:t>
      </w:r>
    </w:p>
    <w:p>
      <w:pPr>
        <w:spacing w:after="0" w:line="203"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war or other disruptions affecting the business or operations of third-party manufacturers located outside of the United States.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geographic concentration in the southern United States subjects us to certain regional risks, such as the state of regional economies, including downturns in the housing market, increased unemployment and gas prices. Other regional risks include legislation, politics, cultural views, severe weather conditions or man-made disasters (such as an oil spill closing large areas of hunting or fishing), fires, heat waves, freezes, hurricanes, tornadoes, large storms and floods and other natural disasters specific to the states in which the Company operates.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Merchandise inventories are stated at the lower of weighted average cost and net realizable value. Merchandise inventories include the direct cost of merchandise and capitalized costs related to procurement, warehousing and distribution and are reflected net of shrinkage, vendor allowances and other valuation reserves. We record an inventory reserve for the estimated shrinkage between physical inventories on a by-location basis. We generally perform a full physical inventory count for each store at least once a year, throughout the year, after which our shrinkage accrual rate for each store is updated based on historical results. For vendor allowances based on contractual provisions, we develop accrual rates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spacing w:after="0" w:line="2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The following table shows our liability associated with these arrangements, which is presented within Accounts Payable on the Consolidated Balance Sheets, and the related activity for the periods presented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20" w:type="dxa"/>
            <w:vAlign w:val="bottom"/>
          </w:tcPr>
          <w:p>
            <w:pPr>
              <w:spacing w:after="0"/>
              <w:rPr>
                <w:sz w:val="20"/>
                <w:szCs w:val="20"/>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 1, 2025</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Invoices outstanding at the beginning of the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Invoices added</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29,190</w:t>
            </w:r>
          </w:p>
        </w:tc>
      </w:tr>
      <w:tr>
        <w:trPr>
          <w:trHeight w:val="22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Invoices paid</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outstanding at the end of the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1"/>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Cost includes interest capitalized on borrowings used to finance the construction of stores and other significant capital projects while under construction. Depreciation is computed using the straight-line method over the asset’s useful life, which is generally determined by asset category as follows:</w:t>
      </w:r>
    </w:p>
    <w:p>
      <w:pPr>
        <w:sectPr>
          <w:pgSz w:w="11900" w:h="16838" w:orient="portrait"/>
          <w:cols w:equalWidth="0" w:num="1">
            <w:col w:w="10900"/>
          </w:cols>
          <w:pgMar w:left="660" w:top="1130" w:right="339" w:bottom="1440" w:gutter="0" w:footer="0" w:header="0"/>
        </w:sect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asset useful life or lease term</w:t>
      </w:r>
    </w:p>
    <w:p>
      <w:pPr>
        <w:spacing w:after="0" w:line="75"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Software and computer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 years</w:t>
      </w:r>
    </w:p>
    <w:p>
      <w:pPr>
        <w:spacing w:after="0" w:line="75" w:lineRule="exact"/>
        <w:rPr>
          <w:sz w:val="20"/>
          <w:szCs w:val="20"/>
          <w:color w:val="auto"/>
        </w:rPr>
      </w:pPr>
    </w:p>
    <w:p>
      <w:pPr>
        <w:sectPr>
          <w:pgSz w:w="11900" w:h="16838" w:orient="portrait"/>
          <w:cols w:equalWidth="0" w:num="2">
            <w:col w:w="2820" w:space="60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Other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5–10 years</w:t>
      </w:r>
    </w:p>
    <w:p>
      <w:pPr>
        <w:spacing w:after="0" w:line="75"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7–10 years</w:t>
      </w:r>
    </w:p>
    <w:p>
      <w:pPr>
        <w:spacing w:after="0" w:line="75"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40 years</w:t>
      </w:r>
    </w:p>
    <w:p>
      <w:pPr>
        <w:spacing w:after="0" w:line="200" w:lineRule="exact"/>
        <w:rPr>
          <w:sz w:val="20"/>
          <w:szCs w:val="20"/>
          <w:color w:val="auto"/>
        </w:rPr>
      </w:pPr>
    </w:p>
    <w:p>
      <w:pPr>
        <w:sectPr>
          <w:pgSz w:w="11900" w:h="16838" w:orient="portrait"/>
          <w:cols w:equalWidth="0" w:num="2">
            <w:col w:w="2700" w:space="720"/>
            <w:col w:w="7480"/>
          </w:cols>
          <w:pgMar w:left="660" w:top="1130" w:right="339" w:bottom="1440" w:gutter="0" w:footer="0" w:header="0"/>
          <w:type w:val="continuous"/>
        </w:sectPr>
      </w:pPr>
    </w:p>
    <w:p>
      <w:pPr>
        <w:spacing w:after="0" w:line="1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or enhance the functionality of an asset are capitalized and amortized.</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may purchase or acquire land and stores to be sold to and leased from third party landlords. Assets that are not yet sold to and leased from third parties are classified as assets held for sale. As of January 31, 2026, Assets Held for Sale on the Consolidated Balance Sheets were comprised of $3.0 million of land that is expected to be sold within one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The amounts capitalized were $20.5 million, $29.0 million and $33.3 million in 2025, 2024 and 2023, respectively.</w:t>
      </w:r>
    </w:p>
    <w:p>
      <w:pPr>
        <w:spacing w:after="0" w:line="203"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Implementation costs for cloud-based information systems are capitalized in Other Noncurrent Assets. Amortization of cloud-based software implementation costs is recognized in Selling, General and Administrative Expenses and Cost of Goods Sold, which is amortized over the longer of the contract term or expected benefit. The amounts capitalized were $22.5 million, $20.6 million and $23.5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0"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store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which is generally projected based on historical results. If such assets are considered to be impaired, the impairment loss recognized is the amount by which the carrying amount of the assets exceeds its estimated fair value, which is calculated using discounted expected future cash flows. As a result of our assessment, we did not record an impairment of long-lived assets in 2025, 2024 and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operating segment with one reporting unit.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The market value approach is based on earnings multiples for a comparable set of public companies as well as guideline transactions.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did not record an impairment of goodwill for 2025, 2024 or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consists of the trade name “Academy Sports + Outdoors” (the “Trade Name”). The Trade Name is expected to generate cash flows indefinitely and, therefore, is accounted for as an indefinite-lived asset not subject to amortization.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Trade Name is tested for impairment annually or whenever events or circumstances indicate that the carrying amount of the Trade Name may not be recoverable. The annual Trade Name impairment test provides for the option of first performing a qualitative assessment to evaluate the existence of events and circumstances that would lead to a determination that it is more likely than not that the fair value of an intangible asset is less than its carrying amount. If such a conclusion is reached, we would then be required to perform a quantitative impairment assessment for the Trade Name. However, if the qualitative assessment leads to a determination that it is more likely than not that the fair value of an intangible asset is greater than its carrying amount, then no further assessments are required.</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did not record an impairment of intangible assets for 2025, 2024 or 2023.</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256" w:lineRule="exact"/>
        <w:rPr>
          <w:sz w:val="20"/>
          <w:szCs w:val="20"/>
          <w:color w:val="auto"/>
        </w:rPr>
      </w:pPr>
    </w:p>
    <w:p>
      <w:pPr>
        <w:jc w:val="both"/>
        <w:ind w:firstLine="381"/>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our term loan and senior notes are recorded in long-term debt, net of current maturities and amortized as a component of interest expense over the terms of the related debt agreement using the effective interest method. The costs related to the issuance of our revolving credit facility is recorded in Other Noncurrent Assets on the Consolidated Balance Sheets and amortized as a component of interest expense over the terms of the related debt agreements using the straight-line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self-insured retentions for workers' compensation, general liability and employee health benefits. The Company has a wholly owned captive insurance subsidiary (the “Captive”) with the primary purpose to enhance the Company's risk financing strategies by providing the Company the opportunity to negotiate insurance premiums in the non-retail insurance market. The Captive must maintain a sufficient level of liquidity to fund future reserve payments and secure the insurer's obligations for workers compensation, Texas non-subscriber, general liability, directors and officers liability, employment practices liability, and medical stop-loss programs.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account for our leases in accordance with Accounting Standards Codification (“ASC”) 842 which requires that lessees recognize assets and liabilities arising from operating leases on the balance sheet and disclose key information about leasing arrangements.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Nearly all of our store locations and all of our corporate office facilities, and warehouse and distribution centers are leased. We may receive reimbursement from a landlord for some or all of the cost of a construction project, which may be structured as a tenant improvement allowance or a construction allowance. Cash received from a landlord for tenant improvement allowances in store lease transactions is a reduction to the Right-of-Use Assets on the Consolidated Balance Sheets, which is amortized ratably over the remaining terms of the corresponding leases. Cash received for construction allowances is a reimbursement of certain spend incurred in the construction of the premises on behalf of the landlord, where the landlord owns the assets. In 2025 and 2024, we entered into multiple sale-leaseback transactions which qualified for sale accounting under ASC 606. Further, per ASC 842, a gain was recognized up to the fair value of the assets (see Note 11).</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account for each lease and non-lease components for our building leases as a single lease component which allows certain costs such as common area maintenance associated with these leases to be included as rent expense. Per ASC 842, costs associated with leases with contract terms of 12 months or less are recognized on a straight-line basis over the lease term with no associated balance sheet lease liability or right-of-use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may contain a material future right.</w:t>
      </w: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76" w:name="page77"/>
    <w:bookmarkEnd w:id="76"/>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Current Liabilities, respectively, in our Consolidated Balance Sheets. Merchandise returns are estimated based on historical experience.</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56"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These costs consist primarily of tariffs, payroll and benefits, distribution center occupancy costs, depreciation and freight.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5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256"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such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depreciation, advertising, credit card processing, information technology, pre-opening costs and other store and administrative expenses.</w:t>
      </w:r>
    </w:p>
    <w:p>
      <w:pPr>
        <w:spacing w:after="0" w:line="203"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on the Consolidated Statements of Income include gains of approximately $15.4 million in 2025 and $7.1 million in 2024 related to multiple sale-leaseback transactions which qualified for sale accounting under ASC 606 (see Note 11).</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5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$169.8 million, $155.7 million and $153.7 million in 2025, 2024 and 2023,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56" w:lineRule="exact"/>
        <w:rPr>
          <w:sz w:val="20"/>
          <w:szCs w:val="20"/>
          <w:color w:val="auto"/>
        </w:rPr>
      </w:pPr>
    </w:p>
    <w:p>
      <w:pPr>
        <w:jc w:val="both"/>
        <w:ind w:left="340" w:firstLine="324"/>
        <w:spacing w:after="0" w:line="264"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prior to sales generation or start of operations, which consist primarily of occupancy costs, marketing, payroll and recruiting costs, are expensed as incurred. The following table summarizes our pre-opening expense activity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February 1, 2025</w:t>
            </w:r>
          </w:p>
        </w:tc>
        <w:tc>
          <w:tcPr>
            <w:tcW w:w="1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Pre-opening expenses (in millions)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spacing w:after="0"/>
              <w:rPr>
                <w:sz w:val="20"/>
                <w:szCs w:val="20"/>
                <w:color w:val="auto"/>
              </w:rPr>
            </w:pPr>
          </w:p>
        </w:tc>
      </w:tr>
      <w:tr>
        <w:trPr>
          <w:trHeight w:val="616"/>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equity compensation in accordance with ASC 718,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recognize forfeitures as they occur.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previously approved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economic and market conditions. The 2024 Share Repurchase Program does not obligate the Company to acquire any particular number of common shares, and the program may be suspended, extended, modified or discontinued at any time.</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2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6,544,337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3,651,231</w:t>
            </w:r>
          </w:p>
        </w:tc>
      </w:tr>
      <w:tr>
        <w:trPr>
          <w:trHeight w:val="29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r>
    </w:tbl>
    <w:p>
      <w:pPr>
        <w:ind w:left="20"/>
        <w:spacing w:after="0"/>
        <w:rPr>
          <w:sz w:val="20"/>
          <w:szCs w:val="20"/>
          <w:color w:val="auto"/>
        </w:rPr>
      </w:pPr>
      <w:r>
        <w:rPr>
          <w:rFonts w:ascii="Times New Roman" w:cs="Times New Roman" w:eastAsia="Times New Roman" w:hAnsi="Times New Roman"/>
          <w:sz w:val="14"/>
          <w:szCs w:val="14"/>
          <w:color w:val="auto"/>
        </w:rPr>
        <w:t>(1) Includes excise tax fees of $1.8 million, $3.4 million, and $1.4 million in 2025, 2024 and 2023, respectively.</w:t>
      </w:r>
    </w:p>
    <w:p>
      <w:pPr>
        <w:spacing w:after="0" w:line="273" w:lineRule="exact"/>
        <w:rPr>
          <w:sz w:val="20"/>
          <w:szCs w:val="20"/>
          <w:color w:val="auto"/>
        </w:rPr>
      </w:pPr>
    </w:p>
    <w:p>
      <w:pPr>
        <w:jc w:val="both"/>
        <w:ind w:firstLine="401"/>
        <w:spacing w:after="0" w:line="261" w:lineRule="auto"/>
        <w:rPr>
          <w:sz w:val="20"/>
          <w:szCs w:val="20"/>
          <w:color w:val="auto"/>
        </w:rPr>
      </w:pPr>
      <w:r>
        <w:rPr>
          <w:rFonts w:ascii="Times New Roman" w:cs="Times New Roman" w:eastAsia="Times New Roman" w:hAnsi="Times New Roman"/>
          <w:sz w:val="18"/>
          <w:szCs w:val="18"/>
          <w:color w:val="auto"/>
        </w:rPr>
        <w:t>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January 31, 2026, we had $436.6 million available for share repurchases pursuant to the 2024 Share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2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in the current fiscal year amongst various categories and divisions, respectively, to better align with our current merchandising strategy and view of the business. As a result, we have reclassified sales between divisions for 2024 and 2023 for comparability purposes. This reclassification is in divisional presentation only and did not impact the overall net sales balances previously disclosed.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the Company settled a legal matter with credit card companies pertaining to the overcharge of credit card interchange fees for prior periods dating back to 2004. In connection with this settlement, we recognized a net gain of approximately $15.9 million in Other Income, Net on the Consolidated Statements of Income.</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the Company settled a legal matter with a non-trade vendor. In connection with this settlement, we recognized a net gain of approximately $15.0 million in Other Income, Net on the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no components of other comprehensive income (loss), and therefore, comprehensive income equals net income.</w:t>
      </w:r>
    </w:p>
    <w:p>
      <w:pPr>
        <w:spacing w:after="0" w:line="3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1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Income Tax Regulations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4, 2025, an Act to provide for reconciliation pursuant to title II of H. Con. Res. 14, commonly referred to as the One Big Beautiful Bill Act (“OBBBA”), was enacted into law in the United States. The OBBBA introduces significant changes to U.S. tax law, including full deductibility of qualified capital expenditures, full deductibility of domestic research and development expenditures, changes to the business interest limitation, and modifications to the international tax framework. For the fiscal year ending January 31, 2026, the Company recognized a material decrease to the current tax expense and corresponding increase to deferred tax expense that results in no net impact to the effective tax rate.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Adopted</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adopted ASU 2023-07 retrospectively effective February 1, 2025 (see Note 14). The adoption of this standard did not have a material impact on the Company’s consolidated financial statement disclosures.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fiscal years beginning after December 15, 2024 and should be applied on a prospective basis with the option to apply the standard retrospectively. The Company adopted ASU 2023-09 retrospectively, effective January 31, 2026 (see Note 10). The adoption of this standard did not have a material impact on the Company’s consolidated financial statement disclosures.</w:t>
      </w:r>
    </w:p>
    <w:p>
      <w:pPr>
        <w:spacing w:after="0" w:line="12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606): Derivatives Scope Refinements and Scope Clarifications for Share-Based Noncash Consideration from a Customer in a Revenue Contract.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pronouncement is intended to refine the scope of derivatives and clarify the scope for share-based noncash consideration from a customer in a revenue contract. The new guidance is effective for fiscal years beginning after December 15, 2026, and interim reporting periods within those annual reporting periods, and should be applied prospectively or on a modified retrospective basis. The Company has elected early adoption of ASU 2025-07 on a modified retrospective basis, effective November 1, 2025. The adoption of this standard did not have a material impact on the Company’s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disclosures about specific types of expenses included in the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presented on the face of the income statement as well as disclosures about selling expenses. The new guidance is effective for annual reporting periods beginning after December 15, 2026, and interim reporting periods beginning after December 15, 2027. The requirements will be applied prospectively with the option for retrospective application. The Company is evaluating the impact of adopting ASU 2024-03 on its consolidated financial statements.</w:t>
      </w:r>
    </w:p>
    <w:p>
      <w:pPr>
        <w:spacing w:after="0" w:line="1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requires removal of all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The new guidance is effective for annual reporting periods beginning after December 15, 2027, and interim reporting periods within those annual reporting periods, and should be applied on a prospective transition approach, a modified transition approach, or a retrospective transition approach. The Company is evaluating the impact of adopting ASU 2025-06 on its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0" w:right="339" w:bottom="1440" w:gutter="0" w:footer="0" w:header="0"/>
        </w:sectPr>
      </w:pPr>
    </w:p>
    <w:bookmarkStart w:id="80" w:name="page81"/>
    <w:bookmarkEnd w:id="80"/>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provides clarification of current interim disclosure requirements. The new guidance is effective for interim reporting periods within annual reporting periods beginning after December 15, 2027, and should be applied either prospectively or retrospectively to periods presented. The Company is evaluating the impact of adopting ASU 2025-11 on its condensed consolidated financial statements.</w:t>
      </w:r>
    </w:p>
    <w:p>
      <w:pPr>
        <w:spacing w:after="0" w:line="200" w:lineRule="exact"/>
        <w:rPr>
          <w:sz w:val="20"/>
          <w:szCs w:val="20"/>
          <w:color w:val="auto"/>
        </w:rPr>
      </w:pPr>
    </w:p>
    <w:p>
      <w:pPr>
        <w:spacing w:after="0" w:line="248"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ind w:left="340" w:right="54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09"/>
        </w:trPr>
        <w:tc>
          <w:tcPr>
            <w:tcW w:w="49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Outdoors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1,831,038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1,807,664</w:t>
            </w:r>
          </w:p>
        </w:tc>
      </w:tr>
      <w:tr>
        <w:trPr>
          <w:trHeight w:val="230"/>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Sports and recreation</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1,376,777</w:t>
            </w: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1,645,642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1,705,791</w:t>
            </w:r>
          </w:p>
        </w:tc>
      </w:tr>
      <w:tr>
        <w:trPr>
          <w:trHeight w:val="229"/>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Footwear</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1,201,545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1,235,644</w:t>
            </w:r>
          </w:p>
        </w:tc>
      </w:tr>
      <w:tr>
        <w:trPr>
          <w:trHeight w:val="223"/>
        </w:trPr>
        <w:tc>
          <w:tcPr>
            <w:tcW w:w="496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6,017,833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5,896,727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6,125,876</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r>
      <w:tr>
        <w:trPr>
          <w:trHeight w:val="223"/>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6,053,414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5,933,450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6,159,291</w:t>
            </w:r>
          </w:p>
        </w:tc>
      </w:tr>
      <w:tr>
        <w:trPr>
          <w:trHeight w:val="21"/>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660" w:hanging="328"/>
        <w:spacing w:after="0" w:line="271" w:lineRule="auto"/>
        <w:tabs>
          <w:tab w:leader="none" w:pos="65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in the current fiscal year amongst various categories and divisions, respectively, to better align with our current merchandising strategy and view of the business. As a result, we have reclassified sales between divisions for 2024 and 2023 for comparability purposes. This reclassification is in divisional presentation only and did not impact the overall net sales balances previously disclosed.</w:t>
      </w:r>
    </w:p>
    <w:p>
      <w:pPr>
        <w:spacing w:after="0" w:line="2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represented 11.7%, 10.5% and 10.7% of merchandise sales for 2025, 2024 and 2023, respectively.</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consists primarily of gift card breakage income, credit card bounties and royalties, shipping income, sales return allowance and other items.</w:t>
      </w:r>
    </w:p>
    <w:p>
      <w:pPr>
        <w:spacing w:after="0" w:line="181"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A liability for gift cards, which is recorded in Accrued Expenses and Other Current Liabilities on our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February 1, 2025</w:t>
            </w:r>
          </w:p>
        </w:tc>
        <w:tc>
          <w:tcPr>
            <w:tcW w:w="16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134,741</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94,155</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2025</w:t>
            </w:r>
          </w:p>
        </w:tc>
      </w:tr>
      <w:tr>
        <w:trPr>
          <w:trHeight w:val="223"/>
        </w:trPr>
        <w:tc>
          <w:tcPr>
            <w:tcW w:w="340" w:type="dxa"/>
            <w:vAlign w:val="bottom"/>
          </w:tcPr>
          <w:p>
            <w:pPr>
              <w:spacing w:after="0"/>
              <w:rPr>
                <w:sz w:val="19"/>
                <w:szCs w:val="19"/>
                <w:color w:val="auto"/>
              </w:rPr>
            </w:pPr>
          </w:p>
        </w:tc>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w:t>
            </w:r>
          </w:p>
        </w:tc>
      </w:tr>
      <w:tr>
        <w:trPr>
          <w:trHeight w:val="230"/>
        </w:trPr>
        <w:tc>
          <w:tcPr>
            <w:tcW w:w="3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November 2027</w:t>
            </w: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340" w:type="dxa"/>
            <w:vAlign w:val="bottom"/>
          </w:tcPr>
          <w:p>
            <w:pPr>
              <w:spacing w:after="0"/>
              <w:rPr>
                <w:sz w:val="19"/>
                <w:szCs w:val="19"/>
                <w:color w:val="auto"/>
              </w:rPr>
            </w:pPr>
          </w:p>
        </w:tc>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488,750</w:t>
            </w:r>
          </w:p>
        </w:tc>
      </w:tr>
      <w:tr>
        <w:trPr>
          <w:trHeight w:val="229"/>
        </w:trPr>
        <w:tc>
          <w:tcPr>
            <w:tcW w:w="3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3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340" w:type="dxa"/>
            <w:vAlign w:val="bottom"/>
          </w:tcPr>
          <w:p>
            <w:pPr>
              <w:spacing w:after="0"/>
              <w:rPr>
                <w:sz w:val="19"/>
                <w:szCs w:val="19"/>
                <w:color w:val="auto"/>
              </w:rPr>
            </w:pPr>
          </w:p>
        </w:tc>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23"/>
        </w:trPr>
        <w:tc>
          <w:tcPr>
            <w:tcW w:w="340" w:type="dxa"/>
            <w:vAlign w:val="bottom"/>
          </w:tcPr>
          <w:p>
            <w:pPr>
              <w:spacing w:after="0"/>
              <w:rPr>
                <w:sz w:val="19"/>
                <w:szCs w:val="19"/>
                <w:color w:val="auto"/>
              </w:rPr>
            </w:pPr>
          </w:p>
        </w:tc>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480,793</w:t>
            </w:r>
          </w:p>
        </w:tc>
        <w:tc>
          <w:tcPr>
            <w:tcW w:w="10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482,679</w:t>
            </w:r>
          </w:p>
        </w:tc>
      </w:tr>
      <w:tr>
        <w:trPr>
          <w:trHeight w:val="20"/>
        </w:trPr>
        <w:tc>
          <w:tcPr>
            <w:tcW w:w="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248"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of January 31, 2026 and February 1, 2025, the balance in deferred loan costs related to the ABL Facility (as defined below) was approximately $4.6 million and $6.1 million, respectively, and was included in Other Noncurrent Assets on our Consolidated Balance Sheets. Total amortization of deferred loan costs was $2.5 million, $2.4 million and $2.4 million in 2025, 2024 and 2023, respectively. Total expenses related to accretion of original issuance discount were $0.1 million, $0.2 million and $0.3 million in 2025, 2024 and 2023, respectively. The expenses related to amortization of deferred loan costs and accretion of original issuance discount are included in Interest Expense, Net on the Consolidated Statements of Income.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refer to the 2020 ABL Facility and the amendments thereto collectively as the “ABL Facility”.</w:t>
      </w:r>
    </w:p>
    <w:p>
      <w:pPr>
        <w:spacing w:after="0" w:line="171"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as borrower, and the Guarantors, as guarantors, amended the previously existing secured asset-based revolving credit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(the “2020 ABL Facility”), among other things, extended the maturity of Academy, Ltd.’s asset-based revolving credit facility thereunder to November 6, 2025. In connection with the 2020 ABL Facility, the Company capitalized related professional fees of $3.1 million as deferred loan costs.</w:t>
      </w:r>
    </w:p>
    <w:p>
      <w:pPr>
        <w:spacing w:after="0" w:line="120" w:lineRule="exact"/>
        <w:rPr>
          <w:sz w:val="20"/>
          <w:szCs w:val="20"/>
          <w:color w:val="auto"/>
        </w:rPr>
      </w:pPr>
    </w:p>
    <w:p>
      <w:pPr>
        <w:jc w:val="both"/>
        <w:ind w:left="340" w:firstLine="324"/>
        <w:spacing w:after="0" w:line="247" w:lineRule="auto"/>
        <w:rPr>
          <w:sz w:val="20"/>
          <w:szCs w:val="20"/>
          <w:color w:val="auto"/>
        </w:rPr>
      </w:pPr>
      <w:r>
        <w:rPr>
          <w:rFonts w:ascii="Times New Roman" w:cs="Times New Roman" w:eastAsia="Times New Roman" w:hAnsi="Times New Roman"/>
          <w:sz w:val="18"/>
          <w:szCs w:val="18"/>
          <w:color w:val="auto"/>
        </w:rPr>
        <w:t>On March 30, 2023, Academy, Ltd., as borrower, and the guarantors, amended the 2020 ABL Facility by entering into an amendment to the First Amended and Restated ABL Credit Agreement, dated as of July 2, 2015, with JP Morgan Chase Bank, N.A. as the ABL Agent and the several lenders party thereto, which ABL amendment updated its benchmark base interest rate from LIBOR to Adjusted Term SOFR.</w:t>
      </w:r>
    </w:p>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in support of insurance contracts and occasionally for the purchase of import goods. As of January 31, 2026, we had outstanding letters of credit of approximately $7.6 million, all of which were issued under the ABL Facility, and we had no borrowings outstanding under the ABL Facility, leaving the available borrowing capacity under the ABL Facility of $992.4 million.</w:t>
      </w:r>
    </w:p>
    <w:p>
      <w:pPr>
        <w:spacing w:after="0" w:line="214"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0.375%. The terms and conditions of the ABL Facility also require that we prepay outstanding loans under the ABL Facility under certain circumstances. As of January 31, 2026, no future prepayments of outstanding loans have been triggered under the terms and conditions of the ABL Facility.</w:t>
      </w: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2" w:name="page83"/>
    <w:bookmarkEnd w:id="8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8, 2024 Academy, Ltd. (“Academy”), a wholly-owned subsidiary of Academy Sports and Outdoors, Inc., as borrower, New Academy Holding Company, LLC, Associated Investors, L.L.C. and Academy Managing Co., L.L.C., each a direct or indirect, wholly-owned subsidiary of the Company,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if (i) more than $100 million of the aggregate principal amount of the 2027 Senior Notes (as defined in the ABL Amendment) or the Term Loans (as defined in the ABL Amendment), or any refinancing thereof, in each case, is outstanding on the date that is 91 days prior to the earliest maturity date of any such indebtedness or (ii) equal to or less than $100 million of the aggregate principal amount of the 2027 Senior Notes or the Term Loans, in either case, is outstanding on the date that is 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2027 Senior Notes and the Term Loans. In connection with the ABL Amendment and the reduction of two lenders who dropped out of the ABL Facility, the Company wrote off $0.4 million of deferred loan costs related to the ABL Facility.</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refer to the 2020 Term Loan and then amendments thereto collectively as the “Term Loan”.</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named therein.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In connection with the 2020 Term Loan, the Company capitalized related professional fees of $5.8 million as deferred loan costs.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17, 2023, Academy, Ltd. entered into a Conforming Changes Amendment (the “2023 Amendment”) to the Second Amended and Restated Credit Agreement, dated as of November 6, 2020, among Academy, Ltd., as Borrower, Credit Suisse AG, Cayman Islands Branch, as the administrative agent and collateral agent and the several lenders party thereto and the several other parties named therein, which updated the Term Loan benchmark base interest rate from LIBOR to Adjusted Term SOFR (as defined in the Conforming Changes Amendment to the Second Amended and Restated Credit Agreement). The transition of our Term Loan to Adjusted Term SOFR became effective on August 1, 2023. Borrowings under the Term Loan bear interest, at our election, at either (1) Adjusted Term SOFR with a floor of 0.75% rate plus a margin of 3.75% or (2) a base rate equal to the highest of (a) the federal funds rate plus 0.50%, (b) the U.S. “prime rate” announced by the administrative agent, or (c) the one-month Adjusted Term SOFR with a floor of 0.75% rate, plus a margin of 3.75%. As of January 31, 2026, the weighted average interest rate was 7.72%, with interest payable monthly. Quarterly principal payments of $750.0 thousand are required through September 30, 2027 and borrowings mature on November 6, 2027. The terms and conditions of the Term Loan also require that the outstanding balance under the Term Loan is prepaid under certain circumstances.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2024, the Company utilized cash on hand to voluntarily prepay $100.0 million of outstanding borrowings under the Term Loan. In connection with this principal payment, the Company recognized a non-cash loss on early retirement of debt of $1.5 million in 2023 from the write-off of deferred loan costs related to the original issuance discount associated with the Term Loan.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Amended Credit Agreement contains customary events of default such as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 As of January 31, 2026, no prepayment was due under the terms and conditions of the Term Loan.</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1"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(the “Indenture”), with Academy, Ltd. the Guarantors (as defined below) and The Bank of New York Mellon Trust Company, N.A., as trustee and collateral agent (in such capacity, the “Notes Collateral Agent”). The Notes pay interest semi-annually in arrears in cash on May 15 and November 15 of each year at a rate of 6.00% per year, which commenced on May 15, 2021. In connection with issuance of the Notes, the Company capitalized related professional fees of $5.2 million as deferred loan costs.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Notes are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constituting a Change of Control (as defined in the Indenture), Academy, Ltd. will be required to make an offer to repurchase all of the Notes at a price equal to 101% of the principal amount thereof, plus accrued and unpaid interest, if any, to, but excluding, the repurchase date.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Liens and guarantees.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has a first priority lien on all Academy, Ltd.'s cash, accounts receivable, inventory, deposit and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and proceeds therefrom (the “ABL Collateral”). Additionally, the ABL Facility has a second priority lien on all other collateral of the Term Loan. All obligations under the Term Loan and the guarantees of those obligations are secured by:</w:t>
      </w:r>
    </w:p>
    <w:p>
      <w:pPr>
        <w:spacing w:after="0" w:line="121" w:lineRule="exact"/>
        <w:rPr>
          <w:sz w:val="20"/>
          <w:szCs w:val="20"/>
          <w:color w:val="auto"/>
        </w:rPr>
      </w:pPr>
    </w:p>
    <w:p>
      <w:pPr>
        <w:ind w:left="720" w:hanging="323"/>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27" w:lineRule="exact"/>
        <w:rPr>
          <w:rFonts w:ascii="Times New Roman" w:cs="Times New Roman" w:eastAsia="Times New Roman" w:hAnsi="Times New Roman"/>
          <w:sz w:val="18"/>
          <w:szCs w:val="18"/>
          <w:color w:val="auto"/>
        </w:rPr>
      </w:pPr>
    </w:p>
    <w:p>
      <w:pPr>
        <w:ind w:left="720" w:right="20" w:hanging="323"/>
        <w:spacing w:after="0" w:line="250" w:lineRule="auto"/>
        <w:tabs>
          <w:tab w:leader="none" w:pos="7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 the Guarantors; and</w:t>
      </w:r>
    </w:p>
    <w:p>
      <w:pPr>
        <w:ind w:left="720" w:right="20" w:hanging="323"/>
        <w:spacing w:after="0" w:line="260" w:lineRule="auto"/>
        <w:tabs>
          <w:tab w:leader="none" w:pos="7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2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84" w:name="page85"/>
    <w:bookmarkEnd w:id="84"/>
    <w:p>
      <w:pPr>
        <w:ind w:left="332" w:firstLine="324"/>
        <w:spacing w:after="0" w:line="282" w:lineRule="auto"/>
        <w:rPr>
          <w:sz w:val="20"/>
          <w:szCs w:val="20"/>
          <w:color w:val="auto"/>
        </w:rPr>
      </w:pPr>
      <w:r>
        <w:rPr>
          <w:rFonts w:ascii="Times New Roman" w:cs="Times New Roman" w:eastAsia="Times New Roman" w:hAnsi="Times New Roman"/>
          <w:sz w:val="18"/>
          <w:szCs w:val="18"/>
          <w:color w:val="auto"/>
        </w:rPr>
        <w:t>The Term Loan is guaranteed by the Guarantors on a senior secured basis. All obligations under the Term Loan and the guarantees of those obligations will be secured by:</w:t>
      </w:r>
    </w:p>
    <w:p>
      <w:pPr>
        <w:spacing w:after="0" w:line="108" w:lineRule="exact"/>
        <w:rPr>
          <w:sz w:val="20"/>
          <w:szCs w:val="20"/>
          <w:color w:val="auto"/>
        </w:rPr>
      </w:pPr>
    </w:p>
    <w:p>
      <w:pPr>
        <w:ind w:left="1052" w:hanging="323"/>
        <w:spacing w:after="0"/>
        <w:tabs>
          <w:tab w:leader="none" w:pos="10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Priority Collateral;</w:t>
      </w:r>
    </w:p>
    <w:p>
      <w:pPr>
        <w:spacing w:after="0" w:line="27" w:lineRule="exact"/>
        <w:rPr>
          <w:rFonts w:ascii="Times New Roman" w:cs="Times New Roman" w:eastAsia="Times New Roman" w:hAnsi="Times New Roman"/>
          <w:sz w:val="18"/>
          <w:szCs w:val="18"/>
          <w:color w:val="auto"/>
        </w:rPr>
      </w:pPr>
    </w:p>
    <w:p>
      <w:pPr>
        <w:ind w:left="1052" w:hanging="323"/>
        <w:spacing w:after="0" w:line="250" w:lineRule="auto"/>
        <w:tabs>
          <w:tab w:leader="none" w:pos="10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and the Guarantors; and</w:t>
      </w:r>
    </w:p>
    <w:p>
      <w:pPr>
        <w:ind w:left="1052" w:hanging="323"/>
        <w:spacing w:after="0" w:line="260" w:lineRule="auto"/>
        <w:tabs>
          <w:tab w:leader="none" w:pos="10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and its domestic subsidiaries and 66% of the voting capital stock of each of Academy’s foreign subsidiaries, if any, that are directly owned by Academy or a future U.S. guarantor, if any.</w:t>
      </w:r>
    </w:p>
    <w:p>
      <w:pPr>
        <w:spacing w:after="0" w:line="127" w:lineRule="exact"/>
        <w:rPr>
          <w:sz w:val="20"/>
          <w:szCs w:val="20"/>
          <w:color w:val="auto"/>
        </w:rPr>
      </w:pPr>
    </w:p>
    <w:p>
      <w:pPr>
        <w:jc w:val="both"/>
        <w:ind w:left="332" w:firstLine="324"/>
        <w:spacing w:after="0" w:line="266" w:lineRule="auto"/>
        <w:rPr>
          <w:sz w:val="20"/>
          <w:szCs w:val="20"/>
          <w:color w:val="auto"/>
        </w:rPr>
      </w:pPr>
      <w:r>
        <w:rPr>
          <w:rFonts w:ascii="Times New Roman" w:cs="Times New Roman" w:eastAsia="Times New Roman" w:hAnsi="Times New Roman"/>
          <w:sz w:val="18"/>
          <w:szCs w:val="18"/>
          <w:color w:val="auto"/>
        </w:rPr>
        <w:t>In order to secure the Notes and the guarantees, Academy, Ltd. and the Guarantors entered into certain security documents with the Notes Collateral Agent, including a security agreement and a pledge agreement, each dated as of November 6, 2020. The Notes and the guarantees are secured by:</w:t>
      </w:r>
    </w:p>
    <w:p>
      <w:pPr>
        <w:spacing w:after="0" w:line="122" w:lineRule="exact"/>
        <w:rPr>
          <w:sz w:val="20"/>
          <w:szCs w:val="20"/>
          <w:color w:val="auto"/>
        </w:rPr>
      </w:pPr>
    </w:p>
    <w:p>
      <w:pPr>
        <w:ind w:left="1052" w:hanging="323"/>
        <w:spacing w:after="0"/>
        <w:tabs>
          <w:tab w:leader="none" w:pos="10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lien on all of Academy, Ltd.’s and the Guarantors’ personal property that secure the Term Loan on a first-priority basis; and</w:t>
      </w:r>
    </w:p>
    <w:p>
      <w:pPr>
        <w:spacing w:after="0" w:line="27" w:lineRule="exact"/>
        <w:rPr>
          <w:rFonts w:ascii="Times New Roman" w:cs="Times New Roman" w:eastAsia="Times New Roman" w:hAnsi="Times New Roman"/>
          <w:sz w:val="18"/>
          <w:szCs w:val="18"/>
          <w:color w:val="auto"/>
        </w:rPr>
      </w:pPr>
    </w:p>
    <w:p>
      <w:pPr>
        <w:jc w:val="both"/>
        <w:ind w:left="1052" w:hanging="323"/>
        <w:spacing w:after="0" w:line="255" w:lineRule="auto"/>
        <w:tabs>
          <w:tab w:leader="none" w:pos="104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lien on Academy, Ltd.’s and the Guarantors’ personal property consisting of accounts and all other rights to payment, inventory, tax refunds, cash, deposit accounts, securities and commodities accounts, and documents and supporting obligations, securing the ABL Facility on a first-priority basis and the Term Loan on a second-priority basis (the “ABL Priority Collateral”).</w:t>
      </w:r>
    </w:p>
    <w:p>
      <w:pPr>
        <w:spacing w:after="0" w:line="209" w:lineRule="exact"/>
        <w:rPr>
          <w:sz w:val="20"/>
          <w:szCs w:val="20"/>
          <w:color w:val="auto"/>
        </w:rPr>
      </w:pPr>
    </w:p>
    <w:p>
      <w:pPr>
        <w:jc w:val="both"/>
        <w:ind w:left="332"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January 31, 2026.</w:t>
      </w:r>
    </w:p>
    <w:p>
      <w:pPr>
        <w:spacing w:after="0" w:line="210"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of January 31, 2026, scheduled principal payments on our debt are as follows (amounts in thousands):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482,750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2" w:hanging="332"/>
        <w:spacing w:after="0"/>
        <w:tabs>
          <w:tab w:leader="none" w:pos="3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ind w:left="332" w:firstLine="324"/>
        <w:spacing w:after="0" w:line="255"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234" w:lineRule="exact"/>
        <w:rPr>
          <w:sz w:val="20"/>
          <w:szCs w:val="20"/>
          <w:color w:val="auto"/>
        </w:rPr>
      </w:pPr>
    </w:p>
    <w:p>
      <w:pPr>
        <w:ind w:left="892" w:right="580" w:hanging="244"/>
        <w:spacing w:after="0" w:line="261" w:lineRule="auto"/>
        <w:tabs>
          <w:tab w:leader="none" w:pos="8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jc w:val="both"/>
        <w:ind w:left="892" w:hanging="244"/>
        <w:spacing w:after="0" w:line="250" w:lineRule="auto"/>
        <w:tabs>
          <w:tab w:leader="none" w:pos="8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 w:lineRule="exact"/>
        <w:rPr>
          <w:rFonts w:ascii="Times New Roman" w:cs="Times New Roman" w:eastAsia="Times New Roman" w:hAnsi="Times New Roman"/>
          <w:sz w:val="18"/>
          <w:szCs w:val="18"/>
          <w:color w:val="auto"/>
        </w:rPr>
      </w:pPr>
    </w:p>
    <w:p>
      <w:pPr>
        <w:ind w:left="892" w:hanging="244"/>
        <w:spacing w:after="0" w:line="260" w:lineRule="auto"/>
        <w:tabs>
          <w:tab w:leader="none" w:pos="8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200" w:lineRule="exact"/>
        <w:rPr>
          <w:sz w:val="20"/>
          <w:szCs w:val="20"/>
          <w:color w:val="auto"/>
        </w:rPr>
      </w:pPr>
    </w:p>
    <w:p>
      <w:pPr>
        <w:spacing w:after="0" w:line="319"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53" w:right="339" w:bottom="1440" w:gutter="0" w:footer="0" w:header="0"/>
        </w:sectPr>
      </w:pPr>
    </w:p>
    <w:bookmarkStart w:id="85" w:name="page86"/>
    <w:bookmarkEnd w:id="85"/>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25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$277.7 million and $256.9 million as of January 31, 2026 and February 1, 2025, respectively.</w:t>
      </w:r>
    </w:p>
    <w:p>
      <w:pPr>
        <w:spacing w:after="0" w:line="12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January 31, 2026 and February 1, 2025, the estimated fair value of the Term Loan and Notes was $0.5 billion and $0.5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99"/>
        </w:trPr>
        <w:tc>
          <w:tcPr>
            <w:tcW w:w="3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1, 2025</w:t>
            </w:r>
          </w:p>
        </w:tc>
      </w:tr>
      <w:tr>
        <w:trPr>
          <w:trHeight w:val="223"/>
        </w:trPr>
        <w:tc>
          <w:tcPr>
            <w:tcW w:w="340" w:type="dxa"/>
            <w:vAlign w:val="bottom"/>
          </w:tcPr>
          <w:p>
            <w:pPr>
              <w:spacing w:after="0"/>
              <w:rPr>
                <w:sz w:val="19"/>
                <w:szCs w:val="19"/>
                <w:color w:val="auto"/>
              </w:rPr>
            </w:pPr>
          </w:p>
        </w:tc>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777,207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663,869</w:t>
            </w:r>
          </w:p>
        </w:tc>
      </w:tr>
      <w:tr>
        <w:trPr>
          <w:trHeight w:val="229"/>
        </w:trPr>
        <w:tc>
          <w:tcPr>
            <w:tcW w:w="3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782,547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733,939</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431,577</w:t>
            </w:r>
          </w:p>
        </w:tc>
      </w:tr>
      <w:tr>
        <w:trPr>
          <w:trHeight w:val="230"/>
        </w:trPr>
        <w:tc>
          <w:tcPr>
            <w:tcW w:w="34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r>
      <w:tr>
        <w:trPr>
          <w:trHeight w:val="223"/>
        </w:trPr>
        <w:tc>
          <w:tcPr>
            <w:tcW w:w="34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2,075,466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1,899,631</w:t>
            </w:r>
          </w:p>
        </w:tc>
      </w:tr>
      <w:tr>
        <w:trPr>
          <w:trHeight w:val="230"/>
        </w:trPr>
        <w:tc>
          <w:tcPr>
            <w:tcW w:w="340" w:type="dxa"/>
            <w:vAlign w:val="bottom"/>
          </w:tcPr>
          <w:p>
            <w:pPr>
              <w:spacing w:after="0"/>
              <w:rPr>
                <w:sz w:val="19"/>
                <w:szCs w:val="19"/>
                <w:color w:val="auto"/>
              </w:rPr>
            </w:pP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(1,491,363)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(1,374,495)</w:t>
            </w:r>
          </w:p>
        </w:tc>
      </w:tr>
      <w:tr>
        <w:trPr>
          <w:trHeight w:val="223"/>
        </w:trPr>
        <w:tc>
          <w:tcPr>
            <w:tcW w:w="34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584,103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525,136</w:t>
            </w:r>
          </w:p>
        </w:tc>
      </w:tr>
      <w:tr>
        <w:trPr>
          <w:trHeight w:val="20"/>
        </w:trPr>
        <w:tc>
          <w:tcPr>
            <w:tcW w:w="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$122.9 million, $118.1 million and $110.9 million in 2025, 2024 and 2023, respectively.</w:t>
      </w:r>
    </w:p>
    <w:p>
      <w:pPr>
        <w:spacing w:after="0" w:line="252"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2026, Assets Held for Sale on the Consolidated Balance Sheets were comprised of $3.0 million of land that is expected to be sold within one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ind w:left="332" w:hanging="332"/>
        <w:spacing w:after="0"/>
        <w:tabs>
          <w:tab w:leader="none" w:pos="33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5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89"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1, 2025</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98,641</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17,104</w:t>
            </w:r>
          </w:p>
        </w:tc>
      </w:tr>
      <w:tr>
        <w:trPr>
          <w:trHeight w:val="248"/>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332" w:hanging="332"/>
        <w:spacing w:after="0"/>
        <w:tabs>
          <w:tab w:leader="none" w:pos="33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ind w:left="332"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January 31, 2026, there were 3,532,476 shares that were authorized and available for grant under the 2020 Omnibus Incentive Plan.</w:t>
      </w:r>
    </w:p>
    <w:p>
      <w:pPr>
        <w:spacing w:after="0" w:line="129" w:lineRule="exact"/>
        <w:rPr>
          <w:sz w:val="20"/>
          <w:szCs w:val="20"/>
          <w:color w:val="auto"/>
        </w:rPr>
      </w:pPr>
    </w:p>
    <w:p>
      <w:pPr>
        <w:jc w:val="both"/>
        <w:ind w:left="332"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and as of January 31, 2026, there were 1,342,080 shares authorized and available for future issuance under the ESPP.</w:t>
      </w:r>
    </w:p>
    <w:p>
      <w:pPr>
        <w:spacing w:after="0" w:line="12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provides total stock-based compensation recognized in the Consolidated Statements of Income (amounts in thousands):</w:t>
      </w:r>
    </w:p>
    <w:p>
      <w:pPr>
        <w:spacing w:after="0" w:line="46"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60" w:type="dxa"/>
            <w:vAlign w:val="bottom"/>
          </w:tcPr>
          <w:p>
            <w:pPr>
              <w:spacing w:after="0"/>
              <w:rPr>
                <w:sz w:val="19"/>
                <w:szCs w:val="19"/>
                <w:color w:val="auto"/>
              </w:rPr>
            </w:pP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40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Equity compensation expense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related tax benefit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r>
    </w:tbl>
    <w:p>
      <w:pPr>
        <w:ind w:left="492" w:hanging="168"/>
        <w:spacing w:after="0" w:line="236" w:lineRule="auto"/>
        <w:tabs>
          <w:tab w:leader="none" w:pos="492"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These costs are included within SG&amp;A expenses in the Consolidated Statements of Income.</w:t>
      </w:r>
    </w:p>
    <w:p>
      <w:pPr>
        <w:spacing w:after="0" w:line="235" w:lineRule="exact"/>
        <w:rPr>
          <w:sz w:val="20"/>
          <w:szCs w:val="20"/>
          <w:color w:val="auto"/>
        </w:rPr>
      </w:pPr>
    </w:p>
    <w:p>
      <w:pPr>
        <w:jc w:val="both"/>
        <w:ind w:left="332"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2026, unrecognized compensation cost related to non-vested share-based compensation awards of $27.2 million is expected to be recognized over a weighted average life of approximately 2 years. The grant date fair value of Restricted Units and Restricted Stock Units vested was $17.9 million, $13.9 million and $11.7 million for 2025, 2024 and 2023, respectively.</w:t>
      </w:r>
    </w:p>
    <w:p>
      <w:pPr>
        <w:spacing w:after="0" w:line="270"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0" w:right="339" w:bottom="1440" w:gutter="0" w:footer="0" w:header="0"/>
        </w:sectPr>
      </w:pPr>
    </w:p>
    <w:bookmarkStart w:id="87" w:name="page88"/>
    <w:bookmarkEnd w:id="87"/>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2011 Unit Incentive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Concurrent with the adoption of the 2020 Omnibus Incentive Plan on October 1, 2020, no further Awards are authorized to be granted under the 2011 Unit Incentive Plan.</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2020 Omnibus Incentive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Omnibus Incentive Plan consist of Stock Options that vest upon the satisfaction of time-based requirements, each, a “Service Stock Option” (Service Unit Options and Service Stock Options together are “Service Options”).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and/or market-based requirements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 Option Fair Value Assumptions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granted was estimated using a Black-Scholes option-pricing model. The expected lives of the Service Options granted were based on the “SEC simplified” method. Expected price volatility was determined based on our own volatility and the implied volatilities of comparable companies over a historical period that matches the expected life of the Service Options. The risk-free interest rate was based on the expected U.S. Treasury rate over the expected life. In 2023, the dividend yield was based on the most recent annualized quarterly dividend and the valuation date closing stock price. The assumptions used to calculate the fair value of Service Options granted are evaluated and modified, as necessary, to reflect current market conditions and experience.</w:t>
      </w:r>
    </w:p>
    <w:p>
      <w:pPr>
        <w:spacing w:after="0" w:line="2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49" w:right="339"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granted in 2023 (the Company did not grant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Options in 2024 or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5"/>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8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46% to 51%</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47.8%</w:t>
            </w:r>
          </w:p>
        </w:tc>
        <w:tc>
          <w:tcPr>
            <w:tcW w:w="720" w:type="dxa"/>
            <w:vAlign w:val="bottom"/>
            <w:shd w:val="clear" w:color="auto" w:fill="CCEEFF"/>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3.7% to 4.4%</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5"/>
              </w:rPr>
              <w:t>0.6%</w:t>
            </w:r>
          </w:p>
        </w:tc>
        <w:tc>
          <w:tcPr>
            <w:tcW w:w="720" w:type="dxa"/>
            <w:vAlign w:val="bottom"/>
            <w:shd w:val="clear" w:color="auto" w:fill="CCEEFF"/>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 Service 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6"/>
              </w:rPr>
              <w:t>$27.60</w:t>
            </w: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 activity is as follows: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Service Options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80" w:type="dxa"/>
            <w:vAlign w:val="bottom"/>
            <w:tcBorders>
              <w:top w:val="single" w:sz="8" w:color="auto"/>
            </w:tcBorders>
          </w:tcPr>
          <w:p>
            <w:pPr>
              <w:spacing w:after="0"/>
              <w:rPr>
                <w:sz w:val="21"/>
                <w:szCs w:val="21"/>
                <w:color w:val="auto"/>
              </w:rPr>
            </w:pPr>
          </w:p>
        </w:tc>
        <w:tc>
          <w:tcPr>
            <w:tcW w:w="2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0" w:type="dxa"/>
            <w:vAlign w:val="bottom"/>
          </w:tcPr>
          <w:p>
            <w:pPr>
              <w:spacing w:after="0"/>
              <w:rPr>
                <w:sz w:val="21"/>
                <w:szCs w:val="21"/>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76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76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Intrinsic Value (in</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28,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3,570,694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112,050</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36,277</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February 3,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2,615,798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8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95,479</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(201,479)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February 1, 2025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2,362,108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(175,351)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Outstanding as of January 31, 2026 </w:t>
            </w:r>
            <w:r>
              <w:rPr>
                <w:rFonts w:ascii="Times New Roman" w:cs="Times New Roman" w:eastAsia="Times New Roman" w:hAnsi="Times New Roman"/>
                <w:sz w:val="23"/>
                <w:szCs w:val="23"/>
                <w:b w:val="1"/>
                <w:bCs w:val="1"/>
                <w:color w:val="auto"/>
                <w:vertAlign w:val="superscript"/>
              </w:rPr>
              <w:t>(1)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2,137,821</w:t>
            </w:r>
          </w:p>
        </w:tc>
        <w:tc>
          <w:tcPr>
            <w:tcW w:w="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58,149</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January 31, 2026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2,001,700</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56,880</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Company has elected to recognize forfeitures as they occur. Therefore, the number of awards vested and expected to vest is equal to the awards outstanding.</w:t>
      </w:r>
    </w:p>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 Options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9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Unit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Contractual Life (in</w:t>
            </w:r>
          </w:p>
        </w:tc>
        <w:tc>
          <w:tcPr>
            <w:tcW w:w="240" w:type="dxa"/>
            <w:vAlign w:val="bottom"/>
          </w:tcPr>
          <w:p>
            <w:pPr>
              <w:spacing w:after="0"/>
              <w:rPr>
                <w:sz w:val="16"/>
                <w:szCs w:val="16"/>
                <w:color w:val="auto"/>
              </w:rPr>
            </w:pPr>
          </w:p>
        </w:tc>
        <w:tc>
          <w:tcPr>
            <w:tcW w:w="13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Value (in</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19"/>
                <w:szCs w:val="19"/>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January 28,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February 3,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February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gridSpan w:val="2"/>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Outstanding as of January 31, 2026 </w:t>
            </w:r>
            <w:r>
              <w:rPr>
                <w:rFonts w:ascii="Times New Roman" w:cs="Times New Roman" w:eastAsia="Times New Roman" w:hAnsi="Times New Roman"/>
                <w:sz w:val="23"/>
                <w:szCs w:val="23"/>
                <w:b w:val="1"/>
                <w:bCs w:val="1"/>
                <w:color w:val="auto"/>
                <w:vertAlign w:val="superscript"/>
              </w:rPr>
              <w:t>(1)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119,619</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January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Company has elected to recognize forfeitures as they occur. Therefore, the number of awards vested and expected to vest is equal to the awards outstanding.</w:t>
      </w:r>
    </w:p>
    <w:p>
      <w:pPr>
        <w:spacing w:after="0" w:line="16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total income tax benefit recognized from the exercise of stock options was $0.5 million, $1.3 million and $3.9 million for the fiscal years ended January 31, 2026, February 1, 2025 and February 3, 2024, respectively.</w:t>
      </w:r>
    </w:p>
    <w:p>
      <w:pPr>
        <w:spacing w:after="0" w:line="2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18" w:right="339" w:bottom="1440" w:gutter="0" w:footer="0" w:header="0"/>
        </w:sectPr>
      </w:pPr>
    </w:p>
    <w:bookmarkStart w:id="90" w:name="page91"/>
    <w:bookmarkEnd w:id="90"/>
    <w:tbl>
      <w:tblPr>
        <w:tblLayout w:type="fixed"/>
        <w:tblInd w:w="8" w:type="dxa"/>
        <w:tblCellMar>
          <w:top w:w="0" w:type="dxa"/>
          <w:left w:w="0" w:type="dxa"/>
          <w:bottom w:w="0" w:type="dxa"/>
          <w:right w:w="0" w:type="dxa"/>
        </w:tblCellMar>
      </w:tblPr>
      <w:tr>
        <w:trPr>
          <w:trHeight w:val="238"/>
        </w:trPr>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Unit activity is as follows: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980" w:type="dxa"/>
            <w:vAlign w:val="bottom"/>
          </w:tcPr>
          <w:p>
            <w:pPr>
              <w:spacing w:after="0"/>
              <w:rPr>
                <w:sz w:val="24"/>
                <w:szCs w:val="24"/>
                <w:color w:val="auto"/>
              </w:rPr>
            </w:pPr>
          </w:p>
        </w:tc>
        <w:tc>
          <w:tcPr>
            <w:tcW w:w="32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Service Restricted Units</w:t>
            </w:r>
          </w:p>
        </w:tc>
        <w:tc>
          <w:tcPr>
            <w:tcW w:w="31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Performance Restricted Units</w:t>
            </w: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300" w:type="dxa"/>
            <w:vAlign w:val="bottom"/>
            <w:tcBorders>
              <w:top w:val="single" w:sz="8" w:color="auto"/>
            </w:tcBorders>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4"/>
                <w:szCs w:val="14"/>
                <w:color w:val="auto"/>
              </w:rPr>
            </w:pPr>
          </w:p>
        </w:tc>
        <w:tc>
          <w:tcPr>
            <w:tcW w:w="130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January 28,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437,108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29"/>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February 3,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564,863</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311,822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0" w:type="dxa"/>
            <w:vAlign w:val="bottom"/>
          </w:tcPr>
          <w:p>
            <w:pPr>
              <w:spacing w:after="0"/>
              <w:rPr>
                <w:sz w:val="1"/>
                <w:szCs w:val="1"/>
                <w:color w:val="auto"/>
              </w:rPr>
            </w:pPr>
          </w:p>
        </w:tc>
      </w:tr>
      <w:tr>
        <w:trPr>
          <w:trHeight w:val="229"/>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February 1, 2025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676,509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384,162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571,629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165,055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(81,559)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January 31,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866,022</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481,810</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175" w:lineRule="exact"/>
        <w:rPr>
          <w:sz w:val="20"/>
          <w:szCs w:val="20"/>
          <w:color w:val="auto"/>
        </w:rPr>
      </w:pPr>
    </w:p>
    <w:p>
      <w:pPr>
        <w:jc w:val="both"/>
        <w:ind w:left="8"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three or four-year period, on each anniversary of their grant date.</w:t>
      </w:r>
    </w:p>
    <w:p>
      <w:pPr>
        <w:spacing w:after="0" w:line="108"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Restricted Units generally vest ratably over a three or four-year period on each anniversary of their grant date. In more limited grants, Service Restricted Units vest 100% on the first anniversary of the grant date, or, if earlier, the business day immediately preceding the following annual meeting of stockholders.</w:t>
      </w:r>
    </w:p>
    <w:p>
      <w:pPr>
        <w:spacing w:after="0" w:line="122"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The Company’s outstanding and unvested Performance Restricted Units typically vest either (i) if granted during 2023, 2024 or 2025, on the third anniversary of the Performance Restricted Unit's performance period if the Company achieves the performance metrics for the performance period, or</w:t>
      </w:r>
    </w:p>
    <w:p>
      <w:pPr>
        <w:ind w:left="8" w:hanging="8"/>
        <w:spacing w:after="0" w:line="260" w:lineRule="auto"/>
        <w:tabs>
          <w:tab w:leader="none" w:pos="2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granted prior to 2023, annually each year on the vesting commencement date, so long as the Company achieved (a) the performance metric for the performance period or (b) achieves a stated target share price.</w:t>
      </w:r>
    </w:p>
    <w:p>
      <w:pPr>
        <w:spacing w:after="0" w:line="127" w:lineRule="exact"/>
        <w:rPr>
          <w:sz w:val="20"/>
          <w:szCs w:val="20"/>
          <w:color w:val="auto"/>
        </w:rPr>
      </w:pPr>
    </w:p>
    <w:p>
      <w:pPr>
        <w:jc w:val="both"/>
        <w:ind w:left="8" w:firstLine="324"/>
        <w:spacing w:after="0" w:line="258" w:lineRule="auto"/>
        <w:rPr>
          <w:sz w:val="20"/>
          <w:szCs w:val="20"/>
          <w:color w:val="auto"/>
        </w:rPr>
      </w:pPr>
      <w:r>
        <w:rPr>
          <w:rFonts w:ascii="Times New Roman" w:cs="Times New Roman" w:eastAsia="Times New Roman" w:hAnsi="Times New Roman"/>
          <w:sz w:val="18"/>
          <w:szCs w:val="18"/>
          <w:color w:val="auto"/>
        </w:rPr>
        <w:t>In the event of certain Company change of control transactions, the Company's then-outstanding and unvested Awards will become fully vested and exercisable subject to certain criteria (as defined in the award agreements). For certain Awards granted in 2022 and all Awards granted in 2023,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278"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30" w:right="339" w:bottom="1440" w:gutter="0" w:footer="0" w:header="0"/>
        </w:sectPr>
      </w:pPr>
    </w:p>
    <w:bookmarkStart w:id="91" w:name="page92"/>
    <w:bookmarkEnd w:id="91"/>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Common Share</w:t>
      </w:r>
    </w:p>
    <w:p>
      <w:pPr>
        <w:spacing w:after="0" w:line="175"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ind w:left="340" w:right="500" w:firstLine="324"/>
        <w:spacing w:after="0" w:line="271" w:lineRule="auto"/>
        <w:rPr>
          <w:sz w:val="20"/>
          <w:szCs w:val="20"/>
          <w:color w:val="auto"/>
        </w:rPr>
      </w:pPr>
      <w:r>
        <w:rPr>
          <w:rFonts w:ascii="Times New Roman" w:cs="Times New Roman" w:eastAsia="Times New Roman" w:hAnsi="Times New Roman"/>
          <w:sz w:val="18"/>
          <w:szCs w:val="18"/>
          <w:color w:val="auto"/>
        </w:rPr>
        <w:t>Basic and dilutive weighted average common shares outstanding and basic and diluted earnings per common share are calculated as follows (amounts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4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February 1, 2025</w:t>
            </w:r>
          </w:p>
        </w:tc>
        <w:tc>
          <w:tcPr>
            <w:tcW w:w="240" w:type="dxa"/>
            <w:vAlign w:val="bottom"/>
          </w:tcPr>
          <w:p>
            <w:pPr>
              <w:spacing w:after="0"/>
              <w:rPr>
                <w:sz w:val="19"/>
                <w:szCs w:val="19"/>
                <w:color w:val="auto"/>
              </w:rPr>
            </w:pPr>
          </w:p>
        </w:tc>
        <w:tc>
          <w:tcPr>
            <w:tcW w:w="1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376,768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519,190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24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24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1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24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Units</w:t>
            </w:r>
          </w:p>
        </w:tc>
        <w:tc>
          <w:tcPr>
            <w:tcW w:w="240" w:type="dxa"/>
            <w:vAlign w:val="bottom"/>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1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4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68,034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77,469</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24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24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r>
      <w:tr>
        <w:trPr>
          <w:trHeight w:val="223"/>
        </w:trPr>
        <w:tc>
          <w:tcPr>
            <w:tcW w:w="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1, 2025</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10"/>
        </w:trPr>
        <w:tc>
          <w:tcPr>
            <w:tcW w:w="34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expense:</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125,325</w:t>
            </w:r>
          </w:p>
        </w:tc>
      </w:tr>
      <w:tr>
        <w:trPr>
          <w:trHeight w:val="229"/>
        </w:trPr>
        <w:tc>
          <w:tcPr>
            <w:tcW w:w="34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r>
      <w:tr>
        <w:trPr>
          <w:trHeight w:val="230"/>
        </w:trPr>
        <w:tc>
          <w:tcPr>
            <w:tcW w:w="340" w:type="dxa"/>
            <w:vAlign w:val="bottom"/>
          </w:tcPr>
          <w:p>
            <w:pPr>
              <w:spacing w:after="0"/>
              <w:rPr>
                <w:sz w:val="19"/>
                <w:szCs w:val="19"/>
                <w:color w:val="auto"/>
              </w:rPr>
            </w:pPr>
          </w:p>
        </w:tc>
        <w:tc>
          <w:tcPr>
            <w:tcW w:w="49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40" w:type="dxa"/>
            <w:vAlign w:val="bottom"/>
          </w:tcPr>
          <w:p>
            <w:pPr>
              <w:spacing w:after="0"/>
              <w:rPr>
                <w:sz w:val="19"/>
                <w:szCs w:val="19"/>
                <w:color w:val="auto"/>
              </w:rPr>
            </w:pPr>
          </w:p>
        </w:tc>
        <w:tc>
          <w:tcPr>
            <w:tcW w:w="4900" w:type="dxa"/>
            <w:vAlign w:val="bottom"/>
            <w:shd w:val="clear" w:color="auto" w:fill="CCEEFF"/>
          </w:tcPr>
          <w:p>
            <w:pPr>
              <w:ind w:left="300"/>
              <w:spacing w:after="0" w:line="223" w:lineRule="exact"/>
              <w:rPr>
                <w:sz w:val="20"/>
                <w:szCs w:val="20"/>
                <w:color w:val="auto"/>
              </w:rPr>
            </w:pPr>
            <w:r>
              <w:rPr>
                <w:rFonts w:ascii="Times New Roman" w:cs="Times New Roman" w:eastAsia="Times New Roman" w:hAnsi="Times New Roman"/>
                <w:sz w:val="18"/>
                <w:szCs w:val="18"/>
                <w:color w:val="auto"/>
              </w:rPr>
              <w:t xml:space="preserve">Total current expense </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148,213</w:t>
            </w:r>
          </w:p>
        </w:tc>
      </w:tr>
      <w:tr>
        <w:trPr>
          <w:trHeight w:val="128"/>
        </w:trPr>
        <w:tc>
          <w:tcPr>
            <w:tcW w:w="3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30"/>
        </w:trPr>
        <w:tc>
          <w:tcPr>
            <w:tcW w:w="340" w:type="dxa"/>
            <w:vAlign w:val="bottom"/>
          </w:tcPr>
          <w:p>
            <w:pPr>
              <w:spacing w:after="0"/>
              <w:rPr>
                <w:sz w:val="19"/>
                <w:szCs w:val="19"/>
                <w:color w:val="auto"/>
              </w:rPr>
            </w:pPr>
          </w:p>
        </w:tc>
        <w:tc>
          <w:tcPr>
            <w:tcW w:w="4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expense (benefit):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30"/>
        </w:trPr>
        <w:tc>
          <w:tcPr>
            <w:tcW w:w="34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34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340" w:type="dxa"/>
            <w:vAlign w:val="bottom"/>
          </w:tcPr>
          <w:p>
            <w:pPr>
              <w:spacing w:after="0"/>
              <w:rPr>
                <w:sz w:val="19"/>
                <w:szCs w:val="19"/>
                <w:color w:val="auto"/>
              </w:rPr>
            </w:pPr>
          </w:p>
        </w:tc>
        <w:tc>
          <w:tcPr>
            <w:tcW w:w="4900" w:type="dxa"/>
            <w:vAlign w:val="bottom"/>
            <w:tcBorders>
              <w:top w:val="single" w:sz="8" w:color="CCEEFF"/>
            </w:tcBorders>
            <w:shd w:val="clear" w:color="auto" w:fill="CCEEFF"/>
          </w:tcPr>
          <w:p>
            <w:pPr>
              <w:ind w:left="300"/>
              <w:spacing w:after="0" w:line="223" w:lineRule="exact"/>
              <w:rPr>
                <w:sz w:val="20"/>
                <w:szCs w:val="20"/>
                <w:color w:val="auto"/>
              </w:rPr>
            </w:pPr>
            <w:r>
              <w:rPr>
                <w:rFonts w:ascii="Times New Roman" w:cs="Times New Roman" w:eastAsia="Times New Roman" w:hAnsi="Times New Roman"/>
                <w:sz w:val="18"/>
                <w:szCs w:val="18"/>
                <w:color w:val="auto"/>
              </w:rPr>
              <w:t xml:space="preserve">Total deferred expense (benefit) </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23"/>
        </w:trPr>
        <w:tc>
          <w:tcPr>
            <w:tcW w:w="340" w:type="dxa"/>
            <w:vAlign w:val="bottom"/>
          </w:tcPr>
          <w:p>
            <w:pPr>
              <w:spacing w:after="0"/>
              <w:rPr>
                <w:sz w:val="19"/>
                <w:szCs w:val="19"/>
                <w:color w:val="auto"/>
              </w:rPr>
            </w:pPr>
          </w:p>
        </w:tc>
        <w:tc>
          <w:tcPr>
            <w:tcW w:w="4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143,966</w:t>
            </w:r>
          </w:p>
        </w:tc>
      </w:tr>
    </w:tbl>
    <w:p>
      <w:pPr>
        <w:ind w:left="640"/>
        <w:spacing w:after="0" w:line="227" w:lineRule="auto"/>
        <w:rPr>
          <w:sz w:val="20"/>
          <w:szCs w:val="20"/>
          <w:color w:val="auto"/>
        </w:rPr>
      </w:pPr>
      <w:r>
        <w:rPr>
          <w:rFonts w:ascii="Times New Roman" w:cs="Times New Roman" w:eastAsia="Times New Roman" w:hAnsi="Times New Roman"/>
          <w:sz w:val="14"/>
          <w:szCs w:val="14"/>
          <w:color w:val="auto"/>
        </w:rPr>
        <w:t>The Company purchased $47.7 million of energy credits under the Inflation Reduction Act related to the tax year ending January 31, 2026 for a total purchase price of $44.1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-78740</wp:posOffset>
            </wp:positionV>
            <wp:extent cx="3557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1" w:lineRule="exact"/>
        <w:rPr>
          <w:sz w:val="20"/>
          <w:szCs w:val="20"/>
          <w:color w:val="auto"/>
        </w:rPr>
      </w:pPr>
    </w:p>
    <w:p>
      <w:pPr>
        <w:ind w:left="640" w:right="20" w:hanging="158"/>
        <w:spacing w:after="0" w:line="223" w:lineRule="auto"/>
        <w:tabs>
          <w:tab w:leader="none" w:pos="640"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million, resulting in a net tax benefit of $3.6 million during fiscal year 2025. During fiscal year 2024, the Company purchased $38.1 million of energy credits under the Inflation Reduction Act related to tax years ending February 3, 2024 and February 1, 2025 for a total purchase price of $35.8 million, resulting in a net tax benefit of $2.3 million.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includes the following components (amounts in thousands):</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00" w:type="dxa"/>
            <w:vAlign w:val="bottom"/>
          </w:tcPr>
          <w:p>
            <w:pPr>
              <w:spacing w:after="0"/>
              <w:rPr>
                <w:sz w:val="19"/>
                <w:szCs w:val="19"/>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45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483,419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662,980</w:t>
            </w: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663,156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statutory U.S. federal income tax rate to our effective income tax rate is as follows (dollar amounts in thousands):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60" w:type="dxa"/>
            <w:vAlign w:val="bottom"/>
          </w:tcPr>
          <w:p>
            <w:pPr>
              <w:spacing w:after="0"/>
              <w:rPr>
                <w:sz w:val="19"/>
                <w:szCs w:val="19"/>
                <w:color w:val="auto"/>
              </w:rPr>
            </w:pPr>
          </w:p>
        </w:tc>
        <w:tc>
          <w:tcPr>
            <w:tcW w:w="2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February 1, 2025</w:t>
            </w:r>
          </w:p>
        </w:tc>
        <w:tc>
          <w:tcPr>
            <w:tcW w:w="240" w:type="dxa"/>
            <w:vAlign w:val="bottom"/>
          </w:tcPr>
          <w:p>
            <w:pPr>
              <w:spacing w:after="0"/>
              <w:rPr>
                <w:sz w:val="19"/>
                <w:szCs w:val="19"/>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102,072</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113,027</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139,263</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181"/>
        </w:trPr>
        <w:tc>
          <w:tcPr>
            <w:tcW w:w="3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11,683</w:t>
            </w:r>
          </w:p>
        </w:tc>
        <w:tc>
          <w:tcPr>
            <w:tcW w:w="100" w:type="dxa"/>
            <w:vAlign w:val="bottom"/>
          </w:tcPr>
          <w:p>
            <w:pPr>
              <w:spacing w:after="0"/>
              <w:rPr>
                <w:sz w:val="15"/>
                <w:szCs w:val="15"/>
                <w:color w:val="auto"/>
              </w:rPr>
            </w:pPr>
          </w:p>
        </w:tc>
        <w:tc>
          <w:tcPr>
            <w:tcW w:w="11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income tax rate </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16,936</w:t>
            </w:r>
          </w:p>
        </w:tc>
        <w:tc>
          <w:tcPr>
            <w:tcW w:w="1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 border tax laws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(4,764)</w:t>
            </w:r>
          </w:p>
        </w:tc>
        <w:tc>
          <w:tcPr>
            <w:tcW w:w="10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1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109,289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119,778</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 State taxes in Texas, Louisiana, Georgia, and Tennessee made up the majority (greater than 50 percent)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-86995</wp:posOffset>
            </wp:positionV>
            <wp:extent cx="45002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30" w:right="73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8"/>
          <w:szCs w:val="18"/>
          <w:color w:val="auto"/>
        </w:rPr>
        <w:t>Components of deferred tax assets and liabilities consist of the following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1, 2025</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29"/>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363,303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31,790</w:t>
            </w:r>
          </w:p>
        </w:tc>
      </w:tr>
      <w:tr>
        <w:trPr>
          <w:trHeight w:val="250"/>
        </w:trPr>
        <w:tc>
          <w:tcPr>
            <w:tcW w:w="6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(21,199)</w:t>
            </w: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items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30"/>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(249,804)</w:t>
            </w: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(663,957)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(288,605)</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(256,815)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As of January 31, 2026, based on current facts and circumstances, management believes that it is more likely than not that the Company will realize benefit for its gross deferred tax assets.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January 31, 2026,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2023 through 2025, and 2022 through 2025, respectively.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an Act to provide for reconciliation pursuant to title II of H. Con. Res. 14, commonly referred to as the One Big Beautiful Bill Act (“OBBBA”), was enacted into law in the United States. The OBBBA introduces significant changes to U.S. tax law, including full deductibility of qualified capital expenditures, full deductibility of domestic research and development expenditures, changes to the business interest limitation, and modifications to the international tax framework. For the fiscal year ending January 31, 2026, the Company recognized a material decrease to the current tax expense and corresponding increase to deferred tax expense that results in no net impact to the effective tax rate.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paid for income taxes, net of refunds, consists of the following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February 1, 2025</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49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federal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110,328</w:t>
            </w:r>
          </w:p>
        </w:tc>
      </w:tr>
      <w:tr>
        <w:trPr>
          <w:trHeight w:val="229"/>
        </w:trPr>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 state and local:</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30"/>
        </w:trPr>
        <w:tc>
          <w:tcPr>
            <w:tcW w:w="4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Tennessee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30"/>
        </w:trPr>
        <w:tc>
          <w:tcPr>
            <w:tcW w:w="4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w:t>
            </w:r>
          </w:p>
        </w:tc>
      </w:tr>
      <w:tr>
        <w:trPr>
          <w:trHeight w:val="223"/>
        </w:trPr>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U.S. state and local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w:t>
            </w:r>
          </w:p>
        </w:tc>
      </w:tr>
      <w:tr>
        <w:trPr>
          <w:trHeight w:val="229"/>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Non-U.S.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132,126</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9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56"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With the exception of one retail store which we own, 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such events require a re-measurement of the lease liability at current discount rates. The useful life of leasehold improvement assets are limited by the expected lease term. Additionally, we have certain agreements for equipment rentals, which are typically 12 months or less in duration. As of January 31, 2026, all of our leases are classified as operating leases. In addition, in certain situations, we may sublease real estate to third parties. Historically, our sublease portfolio consists mainly of former store locations for which we are still under lease and existing store leases in which we have excess or unused space.</w:t>
      </w:r>
    </w:p>
    <w:p>
      <w:pPr>
        <w:spacing w:after="0" w:line="216"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During 2024, we closed on a sale-leaseback agreement involving a store property. During 2025, we closed on sale-leaseback agreements involving four store properties, three of which were previously classified as assets held for sale on the Consolidated Balance Sheet as of the third quarter of 2025. We determined that the transactions met the accounting criteria for sale-leaseback treatment and we recognized net gains of approximately $7.1 million and $15.4 million in SG&amp;A expenses on the Consolidated Statements of Income for 2024 and 2025, respectively.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and sublease income included in SG&amp;A expenses and Cost of Goods Sold on our Consolidated Statements of</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is as follows (amounts in thousands):</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20" w:type="dxa"/>
            <w:vAlign w:val="bottom"/>
          </w:tcPr>
          <w:p>
            <w:pPr>
              <w:spacing w:after="0"/>
              <w:rPr>
                <w:sz w:val="19"/>
                <w:szCs w:val="19"/>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3, 2024</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239,853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214,672</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48"/>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lease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251,851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224,614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8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0" w:type="dxa"/>
            <w:vAlign w:val="bottom"/>
          </w:tcPr>
          <w:p>
            <w:pPr>
              <w:spacing w:after="0"/>
              <w:rPr>
                <w:sz w:val="1"/>
                <w:szCs w:val="1"/>
                <w:color w:val="auto"/>
              </w:rPr>
            </w:pPr>
          </w:p>
        </w:tc>
      </w:tr>
      <w:tr>
        <w:trPr>
          <w:trHeight w:val="155"/>
        </w:trPr>
        <w:tc>
          <w:tcPr>
            <w:tcW w:w="50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244,100</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vMerge w:val="continue"/>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214,747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134,181</w:t>
            </w: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244,974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224,942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213,860</w:t>
            </w:r>
          </w:p>
        </w:tc>
        <w:tc>
          <w:tcPr>
            <w:tcW w:w="0" w:type="dxa"/>
            <w:vAlign w:val="bottom"/>
          </w:tcPr>
          <w:p>
            <w:pPr>
              <w:spacing w:after="0"/>
              <w:rPr>
                <w:sz w:val="1"/>
                <w:szCs w:val="1"/>
                <w:color w:val="auto"/>
              </w:rPr>
            </w:pPr>
          </w:p>
        </w:tc>
      </w:tr>
      <w:tr>
        <w:trPr>
          <w:trHeight w:val="499"/>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80" w:type="dxa"/>
            <w:vAlign w:val="bottom"/>
          </w:tcPr>
          <w:p>
            <w:pPr>
              <w:spacing w:after="0"/>
              <w:rPr>
                <w:sz w:val="24"/>
                <w:szCs w:val="24"/>
                <w:color w:val="auto"/>
              </w:rPr>
            </w:pP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5" w:name="page96"/>
    <w:bookmarkEnd w:id="95"/>
    <w:p>
      <w:pPr>
        <w:ind w:left="652"/>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January 31, 2026 are as follows (amounts in thousands):</w:t>
      </w:r>
    </w:p>
    <w:p>
      <w:pPr>
        <w:spacing w:after="0" w:line="54" w:lineRule="exact"/>
        <w:rPr>
          <w:sz w:val="20"/>
          <w:szCs w:val="20"/>
          <w:color w:val="auto"/>
        </w:rPr>
      </w:pPr>
    </w:p>
    <w:tbl>
      <w:tblPr>
        <w:tblLayout w:type="fixed"/>
        <w:tblInd w:w="332" w:type="dxa"/>
        <w:tblCellMar>
          <w:top w:w="0" w:type="dxa"/>
          <w:left w:w="0" w:type="dxa"/>
          <w:bottom w:w="0" w:type="dxa"/>
          <w:right w:w="0" w:type="dxa"/>
        </w:tblCellMar>
      </w:tblP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255,492</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246,058</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228,670</w:t>
            </w:r>
          </w:p>
        </w:tc>
      </w:tr>
      <w:tr>
        <w:trPr>
          <w:trHeight w:val="229"/>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211,970</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193,471</w:t>
            </w:r>
          </w:p>
        </w:tc>
      </w:tr>
      <w:tr>
        <w:trPr>
          <w:trHeight w:val="22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2030</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914,873</w:t>
            </w:r>
          </w:p>
        </w:tc>
      </w:tr>
      <w:tr>
        <w:trPr>
          <w:trHeight w:val="223"/>
        </w:trPr>
        <w:tc>
          <w:tcPr>
            <w:tcW w:w="866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2,050,534</w:t>
            </w:r>
          </w:p>
        </w:tc>
      </w:tr>
      <w:tr>
        <w:trPr>
          <w:trHeight w:val="229"/>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(641,876)</w:t>
            </w:r>
          </w:p>
        </w:tc>
      </w:tr>
      <w:tr>
        <w:trPr>
          <w:trHeight w:val="248"/>
        </w:trPr>
        <w:tc>
          <w:tcPr>
            <w:tcW w:w="8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1,408,658</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left="572" w:right="20" w:hanging="167"/>
        <w:spacing w:after="0" w:line="215" w:lineRule="auto"/>
        <w:tabs>
          <w:tab w:leader="none" w:pos="591" w:val="left"/>
        </w:tabs>
        <w:numPr>
          <w:ilvl w:val="1"/>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Minimum lease payments have not been reduced by sublease rentals of $1.4 million due in the future under non-cancelable subleases. The Company has entered into operating leases related to future store locations for which we have not yet taken possession of the location. As of January 31, 2026, the future minimum lease payments on these leases approximated $317.0 million.</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90" w:lineRule="exact"/>
        <w:rPr>
          <w:rFonts w:ascii="Times New Roman" w:cs="Times New Roman" w:eastAsia="Times New Roman" w:hAnsi="Times New Roman"/>
          <w:sz w:val="23"/>
          <w:szCs w:val="23"/>
          <w:color w:val="auto"/>
          <w:vertAlign w:val="superscript"/>
        </w:rPr>
      </w:pPr>
    </w:p>
    <w:p>
      <w:pPr>
        <w:ind w:left="332" w:right="7580" w:hanging="332"/>
        <w:spacing w:after="0" w:line="483" w:lineRule="auto"/>
        <w:tabs>
          <w:tab w:leader="none" w:pos="327"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jc w:val="both"/>
        <w:ind w:left="332"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2026, we have obligations under technology-related, construction and other contractual commitments in the amount of $183.3 million. Of such commitments, approximately $72.5 million is payable in the next 12 months.</w:t>
      </w:r>
    </w:p>
    <w:p>
      <w:pPr>
        <w:spacing w:after="0" w:line="18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21" w:lineRule="exact"/>
        <w:rPr>
          <w:sz w:val="20"/>
          <w:szCs w:val="20"/>
          <w:color w:val="auto"/>
        </w:rPr>
      </w:pPr>
    </w:p>
    <w:p>
      <w:pPr>
        <w:jc w:val="both"/>
        <w:ind w:left="332" w:firstLine="324"/>
        <w:spacing w:after="0" w:line="255" w:lineRule="auto"/>
        <w:rPr>
          <w:sz w:val="20"/>
          <w:szCs w:val="20"/>
          <w:color w:val="auto"/>
        </w:rPr>
      </w:pPr>
      <w:r>
        <w:rPr>
          <w:rFonts w:ascii="Times New Roman" w:cs="Times New Roman" w:eastAsia="Times New Roman" w:hAnsi="Times New Roman"/>
          <w:sz w:val="18"/>
          <w:szCs w:val="18"/>
          <w:color w:val="auto"/>
        </w:rPr>
        <w:t>During 2025, the Company entered into an agreement to sell a portion of the rights to potential tariff relief litigation claims, which was determined to be accounted for under ASC 470. As of January 31, 2026, the $10.5 million proceeds from the sale are recorded within Other Long-term Liabilities on the Consolidated Balance Sheets and are presented as Other Financing Activities on the Consolidated Statements of Cash Flows. Subsequent to January 31, 2026, the Supreme Court issued a ruling striking down certain tariffs previously imposed under the International Emergency Economic Powers Act. The ultimate availability, timing, and amount of any potential refunds of such tariffs, or releasing the $10.5 million of proceeds mentioned above from the Consolidated Balance Sheet, remain highly uncertain and are subject to further legal, regulatory, and administrative developments. To the extent any tariff refunds are ultimately realized, the Company does not expect to receive refunds associated with the portion of rights sold.</w:t>
      </w:r>
    </w:p>
    <w:p>
      <w:pPr>
        <w:spacing w:after="0" w:line="21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jc w:val="both"/>
        <w:ind w:left="332"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19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left="332"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negligence, and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96" w:name="page97"/>
    <w:bookmarkEnd w:id="96"/>
    <w:p>
      <w:pPr>
        <w:ind w:left="340" w:right="9100" w:hanging="332"/>
        <w:spacing w:after="0" w:line="534" w:lineRule="auto"/>
        <w:tabs>
          <w:tab w:leader="none" w:pos="33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i w:val="1"/>
          <w:iCs w:val="1"/>
          <w:color w:val="auto"/>
        </w:rPr>
        <w:t>401(k) Plan</w:t>
      </w:r>
    </w:p>
    <w:p>
      <w:pPr>
        <w:spacing w:after="0" w:line="1" w:lineRule="exact"/>
        <w:rPr>
          <w:sz w:val="20"/>
          <w:szCs w:val="20"/>
          <w:color w:val="auto"/>
        </w:rPr>
      </w:pPr>
    </w:p>
    <w:p>
      <w:pPr>
        <w:jc w:val="both"/>
        <w:ind w:left="500" w:firstLine="324"/>
        <w:spacing w:after="0" w:line="256" w:lineRule="auto"/>
        <w:rPr>
          <w:sz w:val="20"/>
          <w:szCs w:val="20"/>
          <w:color w:val="auto"/>
        </w:rPr>
      </w:pPr>
      <w:r>
        <w:rPr>
          <w:rFonts w:ascii="Times New Roman" w:cs="Times New Roman" w:eastAsia="Times New Roman" w:hAnsi="Times New Roman"/>
          <w:sz w:val="18"/>
          <w:szCs w:val="18"/>
          <w:color w:val="auto"/>
        </w:rPr>
        <w:t>We sponsor a safe harbor defined contribution 401(k) profit sharing plan (the “401(k) Plan”) for our eligible employees. The 401(k) Plan includes an eligible employee compensation deferral feature and Company matching contributions. Eligible employees are permitted to contribute up to 75% of their eligible compensation on a pretax basis to the 401(k) Plan, subject to Internal Revenue Service limitations. We match 100% of the money contributed by eligible plan participants to the 401(k) Plan each pay period, on a dollar-for-dollar basis, up to 6% of a plan participant’s eligible compensation during such pay period. The 401(k) Plan may be amended or terminated at our discretion. Employer contributions related to the 401(k) Plan totaled $16.9 million, $15.7 million and $15.5 million in 2025, 2024 and 2023,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56" w:lineRule="exact"/>
        <w:rPr>
          <w:sz w:val="20"/>
          <w:szCs w:val="20"/>
          <w:color w:val="auto"/>
        </w:rPr>
      </w:pPr>
    </w:p>
    <w:p>
      <w:pPr>
        <w:jc w:val="both"/>
        <w:ind w:left="500" w:firstLine="324"/>
        <w:spacing w:after="0" w:line="256" w:lineRule="auto"/>
        <w:rPr>
          <w:sz w:val="20"/>
          <w:szCs w:val="20"/>
          <w:color w:val="auto"/>
        </w:rPr>
      </w:pPr>
      <w:r>
        <w:rPr>
          <w:rFonts w:ascii="Times New Roman" w:cs="Times New Roman" w:eastAsia="Times New Roman" w:hAnsi="Times New Roman"/>
          <w:sz w:val="18"/>
          <w:szCs w:val="18"/>
          <w:color w:val="auto"/>
        </w:rPr>
        <w:t>The Company’s retail operations represent one operating segment and one reportable segment, which derives revenues from customers by selling full-line sporting goods and outdoor recreational products. The Company’s retail stores and online selling channels sell similar products and services, use similar selling processes, and sell to similar classes of customers. See Note 1 to the consolidated financial statements for information related to the products and services offered as well as business operations. The accounting policies of the Company's single reportable segment are the same as those described in the summary of significant accounting policies in Note 2 to the consolidated financial statements. All intercompany transactions within the single reportable segment are eliminated upon consolidation.</w:t>
      </w:r>
    </w:p>
    <w:p>
      <w:pPr>
        <w:spacing w:after="0" w:line="214" w:lineRule="exact"/>
        <w:rPr>
          <w:sz w:val="20"/>
          <w:szCs w:val="20"/>
          <w:color w:val="auto"/>
        </w:rPr>
      </w:pPr>
    </w:p>
    <w:p>
      <w:pPr>
        <w:jc w:val="both"/>
        <w:ind w:left="500"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Chief Executive Officer. The CODM allocates resources and assesses performance at a Company level using consolidated net income, which is a GAAP measure, as reported on the Consolidated Statements of Income. The CODM evaluates the Company's assets as reported on the Company's Consolidated Balance Sheets. The CODM evaluates significant segment expenses and makes decisions about the retail business based on the cost of goods we sell and the selling, general, and administrative expenses needed to sell those goods as reported on the Consolidated Statements of Income. See the Company's consolidated financial statements included in Part IV Item 15 for more information.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56"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January 31, 2026 through March 17, 2026, the issuance date of the consolidated financial statements, and identified the following matter to report:</w:t>
      </w:r>
    </w:p>
    <w:p>
      <w:pPr>
        <w:spacing w:after="0" w:line="189"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On March 5, 2026, the Company's Board of Directors declared a quarterly cash dividend in the amount of $0.15 per share on the Company's common stock, payable on April 10, 2026 to stockholders of record as of the close of business on March 20, 2026.</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January 31, 2026, the U.S. Supreme Court issued a decision related to certain tariffs that were previously subject to legal challenge.</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for further discussion.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2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Index to Exhibits</w:t>
            </w:r>
          </w:p>
        </w:tc>
        <w:tc>
          <w:tcPr>
            <w:tcW w:w="882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340" w:type="dxa"/>
            <w:vAlign w:val="bottom"/>
            <w:tcBorders>
              <w:top w:val="single" w:sz="8" w:color="auto"/>
            </w:tcBorders>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to Exhibit 3.2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filed on June 5, 2025).</w:t>
            </w: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3.1 to the Registrant’s Current</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8-K filed on March 7, 2025).</w:t>
            </w: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Indenture, dated as of November 6, 2020, by and among Academy, Ltd., as issuer, the guarantors named therein and The</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Bank of New York Mellon Trust Company, N.A., as trustee and notes collateral agent (incorporated by reference to</w:t>
            </w:r>
          </w:p>
        </w:tc>
      </w:tr>
      <w:tr>
        <w:trPr>
          <w:trHeight w:val="234"/>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4.1 to the Registrant’s Current Report on Form 8-K filed on November 6, 2020).</w:t>
            </w:r>
          </w:p>
        </w:tc>
      </w:tr>
      <w:tr>
        <w:trPr>
          <w:trHeight w:val="189"/>
        </w:trPr>
        <w:tc>
          <w:tcPr>
            <w:tcW w:w="23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Description of Securities Registered Under Section 12 of the Exchange Act.</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189"/>
        </w:trPr>
        <w:tc>
          <w:tcPr>
            <w:tcW w:w="23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Second Amended and Restated Credit Agreement, dated as of November 6, 2020, among Academy, Ltd., as Borrower,</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New Academy Holding Company, LLC, as Holdings, Associated Investors L.L.C. and Academy Managing Co., L.L.C.,</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as Texas Intermediate Holdcos, the several lenders from time to time party thereto, Credit Suisse AG, Cayman Islands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Branch, as the administrative agent and collateral agent and the several other parties named therein (incorporated by</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Registrant’s Current Report on Form 8-K filed on November 6, 2020).</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4, dated May 25, 2021, to the Second Amended and Restated Credit Agreement among Academy, Ltd.,</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as Borrower, Credit Suisse AG, Cayman Islands Branch, as the administrative agent and collateral agent, the several</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lenders party thereto and the several other parties named therein (incorporated by reference to Exhibit 10.1 to the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Current Report on Form 8-K filed on May 25, 2021).</w:t>
            </w:r>
          </w:p>
        </w:tc>
      </w:tr>
      <w:tr>
        <w:trPr>
          <w:trHeight w:val="189"/>
        </w:trPr>
        <w:tc>
          <w:tcPr>
            <w:tcW w:w="23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Conforming Changes Amendment to the Credit Agreement, dated May 17, 2023, which amends that certain Second</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Amended and Restated Credit Agreement, dated November 6, 2020 (as amended, restated, amended and restated,</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supplemented or otherwise modified from time to time), by and among Academy, Ltd., as Borrower, New Academy</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Holding Company, LLC, as Holdings, Associated Investors, L.L.C. and Academy Managing Co., L.L.C., as Texas</w:t>
            </w:r>
          </w:p>
        </w:tc>
      </w:tr>
      <w:tr>
        <w:trPr>
          <w:trHeight w:val="184"/>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Intermediate Holdcos, the lending institutions from time to time party thereto and Credit Suisse AG, Cayman Island</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Branch, as the Administrative Agent and the Collateral Agent and the several other parties named therein (incorporated</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reference to Exhibit 10.1 to the Registrant’s Quarterly Report on Form 10-Q filed on August 31, 2023).</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Term Loan Security Agreement, dated as of July 2, 2015, among Academy, Ltd., as Borrower,</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each of the subsidiaries listed on the signature pages thereto, and Morgan Stanley Senior Funding, Inc., as collateral agent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 the benefit of the secured parties (incorporated by reference to Exhibit 10.2 to the Registrant’s Registration Statement</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Form S-1 filed on September 23, 2020).</w:t>
            </w:r>
          </w:p>
        </w:tc>
      </w:tr>
      <w:tr>
        <w:trPr>
          <w:trHeight w:val="189"/>
        </w:trPr>
        <w:tc>
          <w:tcPr>
            <w:tcW w:w="23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Term Loan Pledge Agreement, dated as of July 2, 2015, among New Academy Holding</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Company, LLC, as Holdings, Associated Investors L.L.C. and Academy Managing Co., L.L.C, as Texas Intermediate</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Holdcos, Academy, Ltd., as Borrower, each of the subsidiaries listed on the signature pages thereto and Morgan Stanley</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Funding, Inc., as collateral agent for the benefit of the secured parties (incorporated by reference to Exhibit 10.3 to</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Registrant’s Registration Statement on Form S-1 filed on September 23, 2020).</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ABL Intercreditor Agreement, dated July 2, 2015, among JPMorgan Chase Bank, N.A., as agent for the ABL Secured</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Parties referred to therein, Morgan Stanley Senior Funding, Inc., as administrative agent and collateral agent for the Term</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Loan Secured Parties referred to therein, New Academy Holding Company, LLC, as Holdings, Associated Investors</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L.L.C. and Academy Managing Co., L.L.C, as Texas Intermediate Holdcos, Academy, Ltd., as Borrower, and each of the</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subsidiaries of the Borrower listed on the signature pages thereto (incorporated by reference to Exhibit 10.4 to the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189"/>
        </w:trPr>
        <w:tc>
          <w:tcPr>
            <w:tcW w:w="23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Joinder to ABL Intercreditor Agreement, dated November 6, 2020, among JPMorgan Chase Bank, N.A., as agent for the</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ABL Secured Parties referred to therein, Credit Suisse AG, Cayman Islands Branch, as agent for the Term Loan Secured</w:t>
            </w:r>
          </w:p>
        </w:tc>
      </w:tr>
      <w:tr>
        <w:trPr>
          <w:trHeight w:val="180"/>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Parties referred to therein, and The Bank of New York Mellon Trust Company, N.A., as collateral agent for the</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Additional Debt Secured Parties referred to therein (incorporated by reference to Exhibit 10.5 to the Registrant’s</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January 25, 2021).</w:t>
            </w:r>
          </w:p>
        </w:tc>
      </w:tr>
      <w:tr>
        <w:trPr>
          <w:trHeight w:val="189"/>
        </w:trPr>
        <w:tc>
          <w:tcPr>
            <w:tcW w:w="23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Joinder to ABL Intercreditor Agreement, dated November 6, 2020, among JPMorgan Chase Bank, N.A., as agent for the</w:t>
            </w:r>
          </w:p>
        </w:tc>
      </w:tr>
      <w:tr>
        <w:trPr>
          <w:trHeight w:val="171"/>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ABL Secured Parties referred to therein, and Credit Suisse AG, Cayman Islands Branch, as agent for the Term Loan</w:t>
            </w:r>
          </w:p>
        </w:tc>
      </w:tr>
    </w:tbl>
    <w:p>
      <w:pPr>
        <w:ind w:left="2440" w:right="20"/>
        <w:spacing w:after="0" w:line="226" w:lineRule="auto"/>
        <w:rPr>
          <w:sz w:val="20"/>
          <w:szCs w:val="20"/>
          <w:color w:val="auto"/>
        </w:rPr>
      </w:pPr>
      <w:r>
        <w:rPr>
          <w:rFonts w:ascii="Times New Roman" w:cs="Times New Roman" w:eastAsia="Times New Roman" w:hAnsi="Times New Roman"/>
          <w:sz w:val="18"/>
          <w:szCs w:val="18"/>
          <w:color w:val="auto"/>
        </w:rPr>
        <w:t>Secured Parties referred to therein (incorporated by reference to Exhibit 10.6 to the Registrant’s Registration Statement on Form S-1 filed on January 25, 2021).</w:t>
      </w:r>
    </w:p>
    <w:p>
      <w:pPr>
        <w:spacing w:after="0" w:line="3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20" w:type="dxa"/>
            <w:vAlign w:val="bottom"/>
            <w:tcBorders>
              <w:top w:val="single" w:sz="8" w:color="auto"/>
            </w:tcBorders>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First Lien Intercreditor Agreement, dated November 6, 2020, among Credit Suisse AG, Cayman Islands Branch, as First</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Lien Collateral Agent and Authorized Representative for the Credit Agreement Secured Parties referred to therein, The</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of New York Mellon Trust (incorporated by reference to Exhibit 10.7 to the Registrant’s Registration Statement on</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S-1 filed on January 25, 2021).</w:t>
            </w:r>
          </w:p>
        </w:tc>
      </w:tr>
      <w:tr>
        <w:trPr>
          <w:trHeight w:val="189"/>
        </w:trPr>
        <w:tc>
          <w:tcPr>
            <w:tcW w:w="5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ABL Security Agreement, dated as of July 2, 2015, among Academy, Ltd., as Borrower, each of</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the subsidiaries listed on the signature pages thereto, and JPMorgan Chase Bank, N.A., as collateral agent for the benefit</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of the secured parties (incorporated by reference to Exhibit 10.7 to the Registrant’s Registration Statement on Form S-1</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September 23, 2020).</w:t>
            </w:r>
          </w:p>
        </w:tc>
      </w:tr>
      <w:tr>
        <w:trPr>
          <w:trHeight w:val="189"/>
        </w:trPr>
        <w:tc>
          <w:tcPr>
            <w:tcW w:w="44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Amended and Restated ABL Pledge Agreement, dated July 2, 2015, among New Academy Holding Company, LLC, as</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Holdings, Associated Investors L.L.C. and Academy Managing Co., L.L.C, as Texas Intermediate Holdcos, Academy,</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Ltd., as Borrower, each of the subsidiaries listed on the signature pages thereto and JPMorgan Chase Bank, N.A., as</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collateral agent for the benefit of the secured parties (incorporated by reference to Exhibit 10.8 to the Registrant’s</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September 23, 2020).</w:t>
            </w:r>
          </w:p>
        </w:tc>
      </w:tr>
      <w:tr>
        <w:trPr>
          <w:trHeight w:val="189"/>
        </w:trPr>
        <w:tc>
          <w:tcPr>
            <w:tcW w:w="5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First Amended and Restated ABL Credit Agreement, dated July 2, 2015, among Academy, Ltd., as Borrower, New</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Academy Holding Company, LLC, as Holdings, Associated Investors L.L.C. and Academy Managing Co., L.L.C, as</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Texas Intermediate Holdcos, the lending institutions from time to time party thereto and JPMorgan Chase Bank, N.A., as</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Administrative Agent, the Collateral Agent, the Letter of Credit Issuer and the Swingline Lender (incorporated by</w:t>
            </w:r>
          </w:p>
        </w:tc>
      </w:t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10.5 to the Registrant’s Registration Statement on Form S-1 filed on September 23, 2020).</w:t>
            </w:r>
          </w:p>
        </w:tc>
      </w:tr>
      <w:tr>
        <w:trPr>
          <w:trHeight w:val="193"/>
        </w:trPr>
        <w:tc>
          <w:tcPr>
            <w:tcW w:w="520" w:type="dxa"/>
            <w:vAlign w:val="bottom"/>
            <w:gridSpan w:val="5"/>
            <w:shd w:val="clear" w:color="auto" w:fill="CCEEFF"/>
          </w:tcPr>
          <w:p>
            <w:pPr>
              <w:ind w:left="20"/>
              <w:spacing w:after="0" w:line="19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Amendment No. 1 to First Amended and Restated ABL Credit Agreement, dated as of May 22, 2018, among Academy,</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Ltd., as Borrower, New Academy Holding Company, LLC, as Holdings, Associated Investors L.L.C. and Academy</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Managing Co., L.L.C, as Texas Intermediate Holdcos, each of the Guarantors party thereto, each of the lenders party</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thereto and JPMorgan Chase Bank, N.A., as the Administrative Agent, the Collateral Agent, the Letter of Credit Issuer</w:t>
            </w:r>
          </w:p>
        </w:tc>
      </w:tr>
      <w:tr>
        <w:trPr>
          <w:trHeight w:val="184"/>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the Swingline Lender (incorporated by reference to Exhibit 10.6 to the Registrant’s Registration Statement on Form</w:t>
            </w:r>
          </w:p>
        </w:tc>
      </w:tr>
      <w:tr>
        <w:trPr>
          <w:trHeight w:val="234"/>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S-1 filed on September 23, 2020).</w:t>
            </w:r>
          </w:p>
        </w:tc>
      </w:tr>
      <w:tr>
        <w:trPr>
          <w:trHeight w:val="189"/>
        </w:trPr>
        <w:tc>
          <w:tcPr>
            <w:tcW w:w="5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2 to First Amended and Restated ABL Credit Agreement, dated as of November 6, 2020, among</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Academy, Ltd., as Borrower, New Academy Holding Company, LLC, as Holdings, Associated Investors, L.L.C. and</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Academy Managing Co., L.L.C., as Texas Intermediate Holdcos, the several lenders from time to time party thereto,</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the letter of credit issuer, administrative agent and collateral agent (incorporated by</w:t>
            </w:r>
          </w:p>
        </w:tc>
      </w:t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10.2 to the Registrant’s Current Report on Form 8-K filed on November 6, 2020).</w:t>
            </w:r>
          </w:p>
        </w:tc>
      </w:tr>
      <w:tr>
        <w:trPr>
          <w:trHeight w:val="193"/>
        </w:trPr>
        <w:tc>
          <w:tcPr>
            <w:tcW w:w="520" w:type="dxa"/>
            <w:vAlign w:val="bottom"/>
            <w:gridSpan w:val="5"/>
            <w:shd w:val="clear" w:color="auto" w:fill="CCEEFF"/>
          </w:tcPr>
          <w:p>
            <w:pPr>
              <w:ind w:left="20"/>
              <w:spacing w:after="0" w:line="19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Amendment No. 3, dated March 30, 2023, to First Amended and Restated ABL Credit Agreement, among Academy,</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Ltd., as Borrower, New Academy Holding Company, LLC, as Holdings, Associated Investors, L.L.C. and Academy</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Managing Co., L.L.C., as Texas Intermediate Holdcos, the lending institutions from time to time party thereto and</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the Administrative Agent, the Collateral Agent, the Letter of Credit Issuer and the</w:t>
            </w:r>
          </w:p>
        </w:tc>
      </w:tr>
      <w:tr>
        <w:trPr>
          <w:trHeight w:val="184"/>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Swingline Lender (incorporated by reference to Exhibit 10.1 to the Registrant’s Quarterly Report on Form 10-Q filed on</w:t>
            </w:r>
          </w:p>
        </w:tc>
      </w:tr>
      <w:tr>
        <w:trPr>
          <w:trHeight w:val="234"/>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6, 2023)</w:t>
            </w:r>
          </w:p>
        </w:tc>
      </w:tr>
      <w:tr>
        <w:trPr>
          <w:trHeight w:val="189"/>
        </w:trPr>
        <w:tc>
          <w:tcPr>
            <w:tcW w:w="5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Amendment No. 4, dated March 8, 2024, to the First Amended and Restated ABL Credit agreement, dated as of July 2,</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2015, among Academy, Ltd., as borrower, New Academy Holding Company, LLC, Associated Investors, L.L.C., and</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Academy Managing Co., L.L.C., as guarantors, the several lenders from time to time party thereto and JPMorgan Chase</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the letter of credit issuer, swingline lender, administrative agent and collateral agent (incorporated by</w:t>
            </w:r>
          </w:p>
        </w:tc>
      </w:t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on March 8, 2024).</w:t>
            </w:r>
          </w:p>
        </w:tc>
      </w:tr>
      <w:tr>
        <w:trPr>
          <w:trHeight w:val="193"/>
        </w:trPr>
        <w:tc>
          <w:tcPr>
            <w:tcW w:w="520" w:type="dxa"/>
            <w:vAlign w:val="bottom"/>
            <w:gridSpan w:val="5"/>
            <w:shd w:val="clear" w:color="auto" w:fill="CCEEFF"/>
          </w:tcPr>
          <w:p>
            <w:pPr>
              <w:ind w:left="20"/>
              <w:spacing w:after="0" w:line="194"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Notes Security Agreement, dated as of November 6, 2020, among Academy, Ltd., as Issuer, each of the guarantors listed</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on the signature pages thereto, and The Bank of New York Mellon Trust Company, N.A., as collateral agent for the</w:t>
            </w:r>
          </w:p>
        </w:tc>
      </w:tr>
      <w:tr>
        <w:trPr>
          <w:trHeight w:val="180"/>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benefit of the Secured Parties referred to therein (incorporated by reference to Exhibit 10.13 to the Registrant’s</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January 25, 2021).</w:t>
            </w:r>
          </w:p>
        </w:tc>
      </w:tr>
      <w:tr>
        <w:trPr>
          <w:trHeight w:val="189"/>
        </w:trPr>
        <w:tc>
          <w:tcPr>
            <w:tcW w:w="520" w:type="dxa"/>
            <w:vAlign w:val="bottom"/>
            <w:gridSpan w:val="5"/>
          </w:tcPr>
          <w:p>
            <w:pPr>
              <w:ind w:left="20"/>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Pledge Agreement, dated as of November 6, 2020, among Academy, Ltd., as Issuer, each of the guarantors listed</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on the signature pages thereto, and The Bank of New York Mellon Trust Company, N.A., as collateral agent for the</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benefit of the Secured Parties referred to therein (incorporated by reference to Exhibit 10.14 to the Registrant’s</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January 25,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Non-Employee Director Time-Based Restricted Stock Unit Agreement (incorporated by reference to Exhibit</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 to the Registrant’s Quarterly Report on Form 10-Q filed on September 7, 2022).</w:t>
            </w:r>
          </w:p>
        </w:tc>
      </w:tr>
      <w:tr>
        <w:trPr>
          <w:trHeight w:val="189"/>
        </w:trPr>
        <w:tc>
          <w:tcPr>
            <w:tcW w:w="20" w:type="dxa"/>
            <w:vAlign w:val="bottom"/>
          </w:tcPr>
          <w:p>
            <w:pPr>
              <w:spacing w:after="0"/>
              <w:rPr>
                <w:sz w:val="16"/>
                <w:szCs w:val="16"/>
                <w:color w:val="auto"/>
              </w:rPr>
            </w:pPr>
          </w:p>
        </w:tc>
        <w:tc>
          <w:tcPr>
            <w:tcW w:w="2400" w:type="dxa"/>
            <w:vAlign w:val="bottom"/>
            <w:gridSpan w:val="6"/>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2025 Executive Performance-Based Restricted Stock Unit Agreement (incorporated by reference to Exhibit 10.1</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Quarterly Report on Form 10-Q filed on June 10, 2025).</w:t>
            </w:r>
          </w:p>
        </w:tc>
      </w:tr>
      <w:tr>
        <w:trPr>
          <w:trHeight w:val="61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99</w:t>
            </w: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2300" w:type="dxa"/>
            <w:vAlign w:val="bottom"/>
            <w:tcBorders>
              <w:top w:val="single" w:sz="8" w:color="auto"/>
            </w:tcBorders>
            <w:gridSpan w:val="4"/>
            <w:shd w:val="clear" w:color="auto" w:fill="CCEEFF"/>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21†</w:t>
            </w: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Form of 2025 Executive Time-Based Restricted Stock Unit Agreement (incorporated by reference to Exhibit 10.2 to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Quarterly Report on Form 10-Q filed on June 10, 2025).</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FF"/>
              </w:rPr>
              <w:t>22</w:t>
            </w:r>
            <w:hyperlink r:id="rId145">
              <w:r>
                <w:rPr>
                  <w:rFonts w:ascii="Times New Roman" w:cs="Times New Roman" w:eastAsia="Times New Roman" w:hAnsi="Times New Roman"/>
                  <w:sz w:val="18"/>
                  <w:szCs w:val="18"/>
                  <w:color w:val="0000FF"/>
                  <w:highlight w:val="white"/>
                </w:rPr>
                <w:t>†</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2025 Executive Time-Based Option Agreement (incorporated by reference to Exhibit 10.3 to the Registrant’s</w:t>
            </w:r>
          </w:p>
        </w:tc>
      </w:tr>
      <w:tr>
        <w:trPr>
          <w:trHeight w:val="210"/>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June 10, 2025).</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23†</w:t>
            </w: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CEO Time-Based Option Agreement (incorporated by reference to Exhibit 10.2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June 7, 2022).</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24†</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Q2 2023 Executive Time-Based Restricted Stock Unit Agreement (incorporated by reference to Exhibit 10.3 to</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Registrant’s Quarterly Report on Form 10-Q filed on August 31,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25†</w:t>
            </w: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Q2 2023 Executive Time-Based Option Agreement (incorporated by reference to Exhibit 10.4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August 31, 2023).</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26†</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2023 Executive Time-Based Restricted Stock Unit Agreement (incorporated by reference to Exhibit 10.3 to the</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Quarterly Report on Form 10-Q filed on June 6,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2023 Executive Time-Based Option Agreement (incorporated by reference to Exhibit 10.4 to the Registrant’s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June 6, 2023).</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10.28</w:t>
              </w:r>
              <w:r>
                <w:rPr>
                  <w:rFonts w:ascii="Times New Roman" w:cs="Times New Roman" w:eastAsia="Times New Roman" w:hAnsi="Times New Roman"/>
                  <w:sz w:val="18"/>
                  <w:szCs w:val="18"/>
                  <w:color w:val="0000FF"/>
                  <w:highlight w:val="white"/>
                </w:rPr>
                <w:t>†</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Executive Time-Based Restricted Stock Unit Agreement (incorporated by reference to Exhibit 10.4 to the</w:t>
            </w:r>
          </w:p>
        </w:tc>
      </w:tr>
      <w:tr>
        <w:trPr>
          <w:trHeight w:val="210"/>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Quarterly Report on Form 10-Q filed on June 7, 2022).</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2022 Executive Time-Based Option Agreement (incorporated by reference to Exhibit 10.5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filed on June 7, 2022).</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30†</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2020 Omnibus Incentive Plan, as amended by the First Amendment (incorporated by reference to Exhibit 10.1 to the</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Current Report on Form 8-K filed on June 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31†</w:t>
            </w: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Time-Based Option Agreement under 2020 Omnibus Incentive Plan (incorporated by reference to Exhibit 10.10</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Amendment No. 1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2011 Unit Incentive Plan (incorporated by reference to Exhibit 10.13 to the Registrant’s Registration Statement on Form</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2020 CEO Option Agreement under 2011 Unit Incentive Plan (incorporated by reference to Exhibit 10.14 to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34†</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2020 Executive Option Agreement under 2011 Unit Incentive Plan (incorporated by reference to Exhibit 10.15</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2019 CEO Option Agreement under 2011 Unit Incentive Plan (incorporated by reference to Exhibit 10.16 to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2019 Executive Option Agreement under 2011 Unit Incentive Plan (incorporated by reference to Exhibit 10.17</w:t>
            </w:r>
          </w:p>
        </w:tc>
      </w:tr>
      <w:tr>
        <w:trPr>
          <w:trHeight w:val="210"/>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CEO Option Agreement under 2011 Unit Incentive Plan (incorporated by reference to Exhibit 10.18 to the</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38†</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Non Executive Option Agreement under 2011 Unit Incentive Plan (incorporated by reference to Exhibit</w:t>
            </w:r>
          </w:p>
        </w:tc>
      </w:tr>
      <w:tr>
        <w:trPr>
          <w:trHeight w:val="210"/>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 to the Registrant’s Annual Report on Form 10-K filed on April 7,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2016 Executive Option Agreement under 2011 Unit Incentive Plan (incorporated by reference to Exhibit 10.21</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40†</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Independent Non-Employee Director Restricted Unit Agreement under 2011 Unit Incentive Plan (incorporated</w:t>
            </w: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10.27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41†</w:t>
            </w: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2018 Executive Restricted Unit Agreement under 2011 Unit Incentive Plan (incorporated by reference to Exhibit</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10.28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42†</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Steven (Steve) P. Lawrence Amended and Restated Employment Agreement, dated April 26, 2023 (incorporated by</w:t>
            </w:r>
          </w:p>
        </w:tc>
      </w:tr>
      <w:tr>
        <w:trPr>
          <w:trHeight w:val="214"/>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10.2 to the Registrant’s Current Report on Form 8-K filed on April 27, 2023).</w:t>
            </w:r>
          </w:p>
        </w:tc>
      </w:tr>
      <w:tr>
        <w:trPr>
          <w:trHeight w:val="61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100</w:t>
            </w:r>
          </w:p>
        </w:tc>
      </w:tr>
      <w:tr>
        <w:trPr>
          <w:trHeight w:val="358"/>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2300" w:type="dxa"/>
            <w:vAlign w:val="bottom"/>
            <w:tcBorders>
              <w:top w:val="single" w:sz="8" w:color="auto"/>
            </w:tcBorders>
            <w:gridSpan w:val="4"/>
            <w:shd w:val="clear" w:color="auto" w:fill="CCEEFF"/>
          </w:tcPr>
          <w:p>
            <w:pPr>
              <w:spacing w:after="0" w:line="18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43†</w:t>
            </w: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Samuel (Sam) J. Johnson Amended and Restated Employment Agreement, dated October 23, 2023 (incorporated by</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Registrant’s Current Report on Form 8-K filed on October 23, 2023).</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44†</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Earl Carlton (Carl) Ford, IV Employment Agreement, dated July 6, 2023 (incorporated by reference to Exhibit 10.1 to the</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Current Report on Form 8-K filed on July 11, 2023).</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45†</w:t>
            </w: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2020 Employee Stock Purchase Plan (incorporated by reference to Exhibit 10.34 to Amendment No. 1 to the Registrant’s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46†</w:t>
            </w: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of Director and Officer Indemnification Agreement (incorporated by reference to Exhibit 10.37 to Amendment No.</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47†</w:t>
            </w:r>
          </w:p>
        </w:tc>
        <w:tc>
          <w:tcPr>
            <w:tcW w:w="8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Non-Employee Director Compensation Policy, effective June 5, 2025 (incorporated by reference to Exhibit 10.1 to the</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Registrant's Quarterly Report on Form 10-Q filed on September 2, 2025).</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48†</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Matt McCabe Amended and Restated Employment Agreement, dated June 25, 2023 (incorporated by reference to Exhibit</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 to the Registrant’s Quarterly Report on Form 10-Q filed on June 11, 2024).</w:t>
            </w: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Insider Trading Policy (incorporated by reference to Exhibit 19.1 to the Registrant’s Annual Report on Form 10-K filed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March 20, 2025).</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Subsidiaries of the Registrant.</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Consent of Deloitte &amp; Touche LLP (with respect to the financial statements of Academy Sports and Outdoors, Inc.).</w:t>
            </w:r>
          </w:p>
        </w:tc>
      </w:tr>
      <w:tr>
        <w:trPr>
          <w:trHeight w:val="189"/>
        </w:trPr>
        <w:tc>
          <w:tcPr>
            <w:tcW w:w="5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232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89"/>
        </w:trPr>
        <w:tc>
          <w:tcPr>
            <w:tcW w:w="232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8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Policy Relating to Recovery of Erroneously Awarded Compensation (incorporated by reference to Exhibit 97.1 to the</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Registrant's Annual Report on Form 10-K filed on March 21, 2024).</w:t>
            </w: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30"/>
        </w:trPr>
        <w:tc>
          <w:tcPr>
            <w:tcW w:w="20" w:type="dxa"/>
            <w:vAlign w:val="bottom"/>
          </w:tcPr>
          <w:p>
            <w:pPr>
              <w:spacing w:after="0"/>
              <w:rPr>
                <w:sz w:val="19"/>
                <w:szCs w:val="19"/>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29"/>
        </w:trPr>
        <w:tc>
          <w:tcPr>
            <w:tcW w:w="20" w:type="dxa"/>
            <w:vAlign w:val="bottom"/>
          </w:tcPr>
          <w:p>
            <w:pPr>
              <w:spacing w:after="0"/>
              <w:rPr>
                <w:sz w:val="19"/>
                <w:szCs w:val="19"/>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30"/>
        </w:trPr>
        <w:tc>
          <w:tcPr>
            <w:tcW w:w="20" w:type="dxa"/>
            <w:vAlign w:val="bottom"/>
          </w:tcPr>
          <w:p>
            <w:pPr>
              <w:spacing w:after="0"/>
              <w:rPr>
                <w:sz w:val="19"/>
                <w:szCs w:val="19"/>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175"/>
        </w:trPr>
        <w:tc>
          <w:tcPr>
            <w:tcW w:w="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cover page for the Company’s Annual Report on Form 10-K for the fiscal year ended January 31, 2026 has been</w:t>
            </w:r>
          </w:p>
        </w:tc>
      </w:tr>
      <w:tr>
        <w:trPr>
          <w:trHeight w:val="243"/>
        </w:trPr>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formatted in Inline XBRL.</w:t>
            </w:r>
          </w:p>
        </w:tc>
      </w:tr>
      <w:tr>
        <w:trPr>
          <w:trHeight w:val="23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75"/>
        </w:trPr>
        <w:tc>
          <w:tcPr>
            <w:tcW w:w="3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w:t>
            </w:r>
          </w:p>
        </w:tc>
      </w:tr>
      <w:tr>
        <w:trPr>
          <w:trHeight w:val="184"/>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except to the extent required by the Sarbanes-Oxley Act of 2002, be deemed filed by the Company for purposes of</w:t>
            </w:r>
          </w:p>
        </w:tc>
      </w:tr>
      <w:tr>
        <w:trPr>
          <w:trHeight w:val="234"/>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18 of the Securities Exchange Act of 1934, as amended.</w:t>
            </w:r>
          </w:p>
        </w:tc>
      </w:tr>
      <w:tr>
        <w:trPr>
          <w:trHeight w:val="234"/>
        </w:trPr>
        <w:tc>
          <w:tcPr>
            <w:tcW w:w="2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tc>
      </w:tr>
    </w:tbl>
    <w:p>
      <w:pPr>
        <w:spacing w:after="0" w:line="200" w:lineRule="exact"/>
        <w:rPr>
          <w:sz w:val="20"/>
          <w:szCs w:val="20"/>
          <w:color w:val="auto"/>
        </w:rPr>
      </w:pPr>
    </w:p>
    <w:p>
      <w:pPr>
        <w:spacing w:after="0" w:line="35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March 17, 2026 on its behalf by the undersigned, thereto duly authorized.</w:t>
      </w:r>
    </w:p>
    <w:p>
      <w:pPr>
        <w:spacing w:after="0" w:line="229"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4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/s/ EARL CARLTON FORD, IV</w:t>
            </w:r>
          </w:p>
        </w:tc>
      </w:tr>
      <w:tr>
        <w:trPr>
          <w:trHeight w:val="218"/>
        </w:trPr>
        <w:tc>
          <w:tcPr>
            <w:tcW w:w="2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r>
      <w:tr>
        <w:trPr>
          <w:trHeight w:val="180"/>
        </w:trPr>
        <w:tc>
          <w:tcPr>
            <w:tcW w:w="2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184"/>
        </w:trPr>
        <w:tc>
          <w:tcPr>
            <w:tcW w:w="2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ACADEMY SPORTS AND</w:t>
            </w:r>
          </w:p>
        </w:tc>
        <w:tc>
          <w:tcPr>
            <w:tcW w:w="820" w:type="dxa"/>
            <w:vAlign w:val="bottom"/>
          </w:tcPr>
          <w:p>
            <w:pPr>
              <w:spacing w:after="0"/>
              <w:rPr>
                <w:sz w:val="16"/>
                <w:szCs w:val="16"/>
                <w:color w:val="auto"/>
              </w:rPr>
            </w:pPr>
          </w:p>
        </w:tc>
        <w:tc>
          <w:tcPr>
            <w:tcW w:w="3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w:t>
            </w:r>
          </w:p>
        </w:tc>
      </w:tr>
      <w:tr>
        <w:trPr>
          <w:trHeight w:val="23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OUTDOORS, INC.</w:t>
            </w:r>
          </w:p>
        </w:tc>
        <w:tc>
          <w:tcPr>
            <w:tcW w:w="8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3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1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00" w:type="dxa"/>
            <w:vAlign w:val="bottom"/>
          </w:tcPr>
          <w:p>
            <w:pPr>
              <w:spacing w:after="0"/>
              <w:rPr>
                <w:sz w:val="17"/>
                <w:szCs w:val="17"/>
                <w:color w:val="auto"/>
              </w:rPr>
            </w:pPr>
          </w:p>
        </w:tc>
        <w:tc>
          <w:tcPr>
            <w:tcW w:w="19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20"/>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STEVEN LAWRENCE</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Steven Lawrence</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EARL CARLTON FORD, IV</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Earl Carlton Ford, IV</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KEN C. HICKS</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Ken C. Hicks</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WENDY A. BECK</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Wendy A. Beck</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MICHAEL P. DASTUGUE</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Michael P. Dastugue</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SHANNON HENNESSY</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Shannon Hennessy</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CLAY M. JOHNSON</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Clay M. Johnson</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BRIAN T. MARLEY</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Brian T. Marley</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TOM M. NEALON</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Tom M. Nealon</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THERESA E. PALERMO</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Theresa E. Palermo</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MONIQUE PICOU</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Monique Picou</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BERYL B. RAFF</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Beryl B. Raff</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JEFF C. TWEEDY</w:t>
            </w: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March 17, 2026</w:t>
            </w:r>
          </w:p>
        </w:tc>
      </w:tr>
      <w:tr>
        <w:trPr>
          <w:trHeight w:val="228"/>
        </w:trPr>
        <w:tc>
          <w:tcPr>
            <w:tcW w:w="300" w:type="dxa"/>
            <w:vAlign w:val="bottom"/>
          </w:tcPr>
          <w:p>
            <w:pPr>
              <w:spacing w:after="0"/>
              <w:rPr>
                <w:sz w:val="19"/>
                <w:szCs w:val="19"/>
                <w:color w:val="auto"/>
              </w:rPr>
            </w:pPr>
          </w:p>
        </w:tc>
        <w:tc>
          <w:tcPr>
            <w:tcW w:w="3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Jeff C. Tweedy</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81"/>
        </w:trPr>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60" w:type="dxa"/>
            <w:vAlign w:val="bottom"/>
          </w:tcPr>
          <w:p>
            <w:pPr>
              <w:spacing w:after="0"/>
              <w:rPr>
                <w:sz w:val="17"/>
                <w:szCs w:val="17"/>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Charged to costs</w:t>
            </w:r>
          </w:p>
        </w:tc>
        <w:tc>
          <w:tcPr>
            <w:tcW w:w="540" w:type="dxa"/>
            <w:vAlign w:val="bottom"/>
          </w:tcPr>
          <w:p>
            <w:pPr>
              <w:spacing w:after="0"/>
              <w:rPr>
                <w:sz w:val="17"/>
                <w:szCs w:val="17"/>
                <w:color w:val="auto"/>
              </w:rPr>
            </w:pPr>
          </w:p>
        </w:tc>
        <w:tc>
          <w:tcPr>
            <w:tcW w:w="14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 at end of</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5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2,752</w:t>
            </w:r>
          </w:p>
        </w:tc>
        <w:tc>
          <w:tcPr>
            <w:tcW w:w="26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1,069</w:t>
            </w:r>
          </w:p>
        </w:tc>
        <w:tc>
          <w:tcPr>
            <w:tcW w:w="5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1,792</w:t>
            </w:r>
          </w:p>
        </w:tc>
        <w:tc>
          <w:tcPr>
            <w:tcW w:w="0" w:type="dxa"/>
            <w:vAlign w:val="bottom"/>
          </w:tcPr>
          <w:p>
            <w:pPr>
              <w:spacing w:after="0"/>
              <w:rPr>
                <w:sz w:val="1"/>
                <w:szCs w:val="1"/>
                <w:color w:val="auto"/>
              </w:rPr>
            </w:pPr>
          </w:p>
        </w:tc>
      </w:tr>
      <w:tr>
        <w:trPr>
          <w:trHeight w:val="142"/>
        </w:trPr>
        <w:tc>
          <w:tcPr>
            <w:tcW w:w="3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4,400</w:t>
            </w:r>
          </w:p>
        </w:tc>
        <w:tc>
          <w:tcPr>
            <w:tcW w:w="26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4,300</w:t>
            </w:r>
          </w:p>
        </w:tc>
        <w:tc>
          <w:tcPr>
            <w:tcW w:w="5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(2)</w:t>
            </w: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16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0" w:type="dxa"/>
            <w:vAlign w:val="bottom"/>
          </w:tcPr>
          <w:p>
            <w:pPr>
              <w:spacing w:after="0"/>
              <w:rPr>
                <w:sz w:val="1"/>
                <w:szCs w:val="1"/>
                <w:color w:val="auto"/>
              </w:rPr>
            </w:pPr>
          </w:p>
        </w:tc>
      </w:tr>
      <w:tr>
        <w:trPr>
          <w:trHeight w:val="87"/>
        </w:trPr>
        <w:tc>
          <w:tcPr>
            <w:tcW w:w="36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260" w:type="dxa"/>
            <w:vAlign w:val="bottom"/>
          </w:tcPr>
          <w:p>
            <w:pPr>
              <w:spacing w:after="0"/>
              <w:rPr>
                <w:sz w:val="12"/>
                <w:szCs w:val="12"/>
                <w:color w:val="auto"/>
              </w:rPr>
            </w:pP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18,937</w:t>
            </w:r>
          </w:p>
        </w:tc>
        <w:tc>
          <w:tcPr>
            <w:tcW w:w="260" w:type="dxa"/>
            <w:vAlign w:val="bottom"/>
          </w:tcPr>
          <w:p>
            <w:pPr>
              <w:spacing w:after="0"/>
              <w:rPr>
                <w:sz w:val="12"/>
                <w:szCs w:val="12"/>
                <w:color w:val="auto"/>
              </w:rPr>
            </w:pPr>
          </w:p>
        </w:tc>
        <w:tc>
          <w:tcPr>
            <w:tcW w:w="1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89,360</w:t>
            </w:r>
          </w:p>
        </w:tc>
        <w:tc>
          <w:tcPr>
            <w:tcW w:w="540" w:type="dxa"/>
            <w:vAlign w:val="bottom"/>
          </w:tcPr>
          <w:p>
            <w:pPr>
              <w:spacing w:after="0"/>
              <w:rPr>
                <w:sz w:val="12"/>
                <w:szCs w:val="12"/>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(100,576)</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7,721</w:t>
            </w:r>
          </w:p>
        </w:tc>
        <w:tc>
          <w:tcPr>
            <w:tcW w:w="0" w:type="dxa"/>
            <w:vAlign w:val="bottom"/>
          </w:tcPr>
          <w:p>
            <w:pPr>
              <w:spacing w:after="0"/>
              <w:rPr>
                <w:sz w:val="1"/>
                <w:szCs w:val="1"/>
                <w:color w:val="auto"/>
              </w:rPr>
            </w:pPr>
          </w:p>
        </w:tc>
      </w:tr>
      <w:tr>
        <w:trPr>
          <w:trHeight w:val="87"/>
        </w:trPr>
        <w:tc>
          <w:tcPr>
            <w:tcW w:w="3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25,232</w:t>
            </w:r>
          </w:p>
        </w:tc>
        <w:tc>
          <w:tcPr>
            <w:tcW w:w="26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91,124</w:t>
            </w:r>
          </w:p>
        </w:tc>
        <w:tc>
          <w:tcPr>
            <w:tcW w:w="5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(87,131)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16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29,225</w:t>
            </w:r>
          </w:p>
        </w:tc>
        <w:tc>
          <w:tcPr>
            <w:tcW w:w="0" w:type="dxa"/>
            <w:vAlign w:val="bottom"/>
          </w:tcPr>
          <w:p>
            <w:pPr>
              <w:spacing w:after="0"/>
              <w:rPr>
                <w:sz w:val="1"/>
                <w:szCs w:val="1"/>
                <w:color w:val="auto"/>
              </w:rPr>
            </w:pPr>
          </w:p>
        </w:tc>
      </w:tr>
      <w:tr>
        <w:trPr>
          <w:trHeight w:val="87"/>
        </w:trPr>
        <w:tc>
          <w:tcPr>
            <w:tcW w:w="36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1,936</w:t>
            </w: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140"/>
        </w:trPr>
        <w:tc>
          <w:tcPr>
            <w:tcW w:w="3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6,400</w:t>
            </w:r>
          </w:p>
        </w:tc>
        <w:tc>
          <w:tcPr>
            <w:tcW w:w="26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10,500</w:t>
            </w:r>
          </w:p>
        </w:tc>
        <w:tc>
          <w:tcPr>
            <w:tcW w:w="5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1"/>
                <w:szCs w:val="11"/>
                <w:color w:val="auto"/>
              </w:rPr>
              <w:t>(2)</w:t>
            </w: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89"/>
        </w:trPr>
        <w:tc>
          <w:tcPr>
            <w:tcW w:w="36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260" w:type="dxa"/>
            <w:vAlign w:val="bottom"/>
          </w:tcPr>
          <w:p>
            <w:pPr>
              <w:spacing w:after="0"/>
              <w:rPr>
                <w:sz w:val="12"/>
                <w:szCs w:val="12"/>
                <w:color w:val="auto"/>
              </w:rPr>
            </w:pP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11,822</w:t>
            </w:r>
          </w:p>
        </w:tc>
        <w:tc>
          <w:tcPr>
            <w:tcW w:w="260" w:type="dxa"/>
            <w:vAlign w:val="bottom"/>
          </w:tcPr>
          <w:p>
            <w:pPr>
              <w:spacing w:after="0"/>
              <w:rPr>
                <w:sz w:val="12"/>
                <w:szCs w:val="12"/>
                <w:color w:val="auto"/>
              </w:rPr>
            </w:pPr>
          </w:p>
        </w:tc>
        <w:tc>
          <w:tcPr>
            <w:tcW w:w="1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82,233</w:t>
            </w:r>
          </w:p>
        </w:tc>
        <w:tc>
          <w:tcPr>
            <w:tcW w:w="540" w:type="dxa"/>
            <w:vAlign w:val="bottom"/>
          </w:tcPr>
          <w:p>
            <w:pPr>
              <w:spacing w:after="0"/>
              <w:rPr>
                <w:sz w:val="12"/>
                <w:szCs w:val="12"/>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(75,118)</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18,937</w:t>
            </w:r>
          </w:p>
        </w:tc>
        <w:tc>
          <w:tcPr>
            <w:tcW w:w="0" w:type="dxa"/>
            <w:vAlign w:val="bottom"/>
          </w:tcPr>
          <w:p>
            <w:pPr>
              <w:spacing w:after="0"/>
              <w:rPr>
                <w:sz w:val="1"/>
                <w:szCs w:val="1"/>
                <w:color w:val="auto"/>
              </w:rPr>
            </w:pPr>
          </w:p>
        </w:tc>
      </w:tr>
      <w:tr>
        <w:trPr>
          <w:trHeight w:val="89"/>
        </w:trPr>
        <w:tc>
          <w:tcPr>
            <w:tcW w:w="3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25,010</w:t>
            </w:r>
          </w:p>
        </w:tc>
        <w:tc>
          <w:tcPr>
            <w:tcW w:w="26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74,941</w:t>
            </w:r>
          </w:p>
        </w:tc>
        <w:tc>
          <w:tcPr>
            <w:tcW w:w="5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(74,719)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25,232</w:t>
            </w:r>
          </w:p>
        </w:tc>
        <w:tc>
          <w:tcPr>
            <w:tcW w:w="0" w:type="dxa"/>
            <w:vAlign w:val="bottom"/>
          </w:tcPr>
          <w:p>
            <w:pPr>
              <w:spacing w:after="0"/>
              <w:rPr>
                <w:sz w:val="1"/>
                <w:szCs w:val="1"/>
                <w:color w:val="auto"/>
              </w:rPr>
            </w:pPr>
          </w:p>
        </w:tc>
      </w:tr>
      <w:tr>
        <w:trPr>
          <w:trHeight w:val="89"/>
        </w:trPr>
        <w:tc>
          <w:tcPr>
            <w:tcW w:w="36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1,107</w:t>
            </w:r>
          </w:p>
        </w:tc>
        <w:tc>
          <w:tcPr>
            <w:tcW w:w="540" w:type="dxa"/>
            <w:vAlign w:val="bottom"/>
          </w:tcPr>
          <w:p>
            <w:pPr>
              <w:spacing w:after="0"/>
              <w:rPr>
                <w:sz w:val="19"/>
                <w:szCs w:val="19"/>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140"/>
        </w:trPr>
        <w:tc>
          <w:tcPr>
            <w:tcW w:w="3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6,100</w:t>
            </w:r>
          </w:p>
        </w:tc>
        <w:tc>
          <w:tcPr>
            <w:tcW w:w="26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11,200</w:t>
            </w:r>
          </w:p>
        </w:tc>
        <w:tc>
          <w:tcPr>
            <w:tcW w:w="5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1"/>
                <w:szCs w:val="11"/>
                <w:color w:val="auto"/>
              </w:rPr>
              <w:t>(2)</w:t>
            </w: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89"/>
        </w:trPr>
        <w:tc>
          <w:tcPr>
            <w:tcW w:w="36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260" w:type="dxa"/>
            <w:vAlign w:val="bottom"/>
          </w:tcPr>
          <w:p>
            <w:pPr>
              <w:spacing w:after="0"/>
              <w:rPr>
                <w:sz w:val="12"/>
                <w:szCs w:val="12"/>
                <w:color w:val="auto"/>
              </w:rPr>
            </w:pP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4,960</w:t>
            </w:r>
          </w:p>
        </w:tc>
        <w:tc>
          <w:tcPr>
            <w:tcW w:w="260" w:type="dxa"/>
            <w:vAlign w:val="bottom"/>
          </w:tcPr>
          <w:p>
            <w:pPr>
              <w:spacing w:after="0"/>
              <w:rPr>
                <w:sz w:val="12"/>
                <w:szCs w:val="12"/>
                <w:color w:val="auto"/>
              </w:rPr>
            </w:pPr>
          </w:p>
        </w:tc>
        <w:tc>
          <w:tcPr>
            <w:tcW w:w="1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99,444</w:t>
            </w:r>
          </w:p>
        </w:tc>
        <w:tc>
          <w:tcPr>
            <w:tcW w:w="540" w:type="dxa"/>
            <w:vAlign w:val="bottom"/>
          </w:tcPr>
          <w:p>
            <w:pPr>
              <w:spacing w:after="0"/>
              <w:rPr>
                <w:sz w:val="12"/>
                <w:szCs w:val="12"/>
                <w:color w:val="auto"/>
              </w:rPr>
            </w:pPr>
          </w:p>
        </w:tc>
        <w:tc>
          <w:tcPr>
            <w:tcW w:w="14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(92,582)</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0" w:type="dxa"/>
            <w:vAlign w:val="bottom"/>
          </w:tcPr>
          <w:p>
            <w:pPr>
              <w:spacing w:after="0"/>
              <w:rPr>
                <w:sz w:val="1"/>
                <w:szCs w:val="1"/>
                <w:color w:val="auto"/>
              </w:rPr>
            </w:pPr>
          </w:p>
        </w:tc>
      </w:tr>
      <w:tr>
        <w:trPr>
          <w:trHeight w:val="89"/>
        </w:trPr>
        <w:tc>
          <w:tcPr>
            <w:tcW w:w="3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Self-insurance reserves</w:t>
            </w:r>
          </w:p>
        </w:tc>
        <w:tc>
          <w:tcPr>
            <w:tcW w:w="26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30,170</w:t>
            </w:r>
          </w:p>
        </w:tc>
        <w:tc>
          <w:tcPr>
            <w:tcW w:w="260" w:type="dxa"/>
            <w:vAlign w:val="bottom"/>
            <w:shd w:val="clear" w:color="auto" w:fill="CCEEFF"/>
          </w:tcPr>
          <w:p>
            <w:pPr>
              <w:spacing w:after="0"/>
              <w:rPr>
                <w:sz w:val="12"/>
                <w:szCs w:val="12"/>
                <w:color w:val="auto"/>
              </w:rPr>
            </w:pPr>
          </w:p>
        </w:tc>
        <w:tc>
          <w:tcPr>
            <w:tcW w:w="15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70,509</w:t>
            </w:r>
          </w:p>
        </w:tc>
        <w:tc>
          <w:tcPr>
            <w:tcW w:w="54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(75,669)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89"/>
        </w:trPr>
        <w:tc>
          <w:tcPr>
            <w:tcW w:w="36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8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write-offs to the reserve.</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monthly increase (decrease) in the required reserve based on the Company's evaluation of anticipated merchandise returns.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actual inventory shrinkage experienced at stores.</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claim payments for self-insured claims.</w:t>
      </w: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80"/>
          </w:cols>
          <w:pgMar w:left="320" w:top="887" w:right="39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24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Academy Sports and Outdoors, Inc. (“Academy,” “we,” “us,” “our,” or the “Company”) has one class of securities registered under Section 12 of the Securities Exchange Act of 1934, as amended (the “Exchange Act”):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43" w:lineRule="exact"/>
        <w:rPr>
          <w:sz w:val="20"/>
          <w:szCs w:val="20"/>
          <w:color w:val="auto"/>
        </w:rPr>
      </w:pPr>
    </w:p>
    <w:p>
      <w:pPr>
        <w:ind w:right="180" w:firstLine="441"/>
        <w:spacing w:after="0" w:line="262" w:lineRule="auto"/>
        <w:rPr>
          <w:sz w:val="20"/>
          <w:szCs w:val="20"/>
          <w:color w:val="auto"/>
        </w:rPr>
      </w:pPr>
      <w:r>
        <w:rPr>
          <w:rFonts w:ascii="Times New Roman" w:cs="Times New Roman" w:eastAsia="Times New Roman" w:hAnsi="Times New Roman"/>
          <w:sz w:val="17"/>
          <w:szCs w:val="17"/>
          <w:color w:val="auto"/>
        </w:rPr>
        <w:t>The following summary description of the material terms of our capital stock is qualified in its entirety by our Restated Certificate of Incorporation (our “</w:t>
      </w:r>
      <w:r>
        <w:rPr>
          <w:rFonts w:ascii="Times New Roman" w:cs="Times New Roman" w:eastAsia="Times New Roman" w:hAnsi="Times New Roman"/>
          <w:sz w:val="20"/>
          <w:szCs w:val="20"/>
          <w:color w:val="auto"/>
        </w:rPr>
        <w:t>Certificate of Incorporation</w:t>
      </w:r>
      <w:r>
        <w:rPr>
          <w:rFonts w:ascii="Times New Roman" w:cs="Times New Roman" w:eastAsia="Times New Roman" w:hAnsi="Times New Roman"/>
          <w:sz w:val="17"/>
          <w:szCs w:val="17"/>
          <w:color w:val="auto"/>
        </w:rPr>
        <w:t>”) and our Amended and Restated Bylaws (as amended and/or restated from time to time, our “Bylaws”). The summary is not complete, and is qualified in its entirety by reference to our Certificate of Incorporation and our Bylaws, each as in effect as of the date of</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Annual Report, copies of which are filed as exhibits to this Annual Report and are incorporated by reference herein. Any person or entity purchasing or otherwise acquiring any interest in shares of capital stock of the Company is deemed to have notice of and consented to the provisions in our Certificate of</w:t>
      </w:r>
    </w:p>
    <w:p>
      <w:pPr>
        <w:spacing w:after="0" w:line="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Incorporation and our Bylaws. We encourage you to read our Certificate of Incorporation and our Bylaws and the applicable provisions of the Delaware General Corporation Law (the “DGCL”)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20" w:lineRule="exact"/>
        <w:rPr>
          <w:sz w:val="20"/>
          <w:szCs w:val="20"/>
          <w:color w:val="auto"/>
        </w:rPr>
      </w:pPr>
    </w:p>
    <w:p>
      <w:pPr>
        <w:ind w:right="100" w:firstLine="441"/>
        <w:spacing w:after="0" w:line="243" w:lineRule="auto"/>
        <w:rPr>
          <w:sz w:val="20"/>
          <w:szCs w:val="20"/>
          <w:color w:val="auto"/>
        </w:rPr>
      </w:pPr>
      <w:r>
        <w:rPr>
          <w:rFonts w:ascii="Times New Roman" w:cs="Times New Roman" w:eastAsia="Times New Roman" w:hAnsi="Times New Roman"/>
          <w:sz w:val="18"/>
          <w:szCs w:val="18"/>
          <w:color w:val="auto"/>
        </w:rPr>
        <w:t>Our authorized capital stock consists of 300 million shares of common stock, par value $0.01 per share, and 50 million shares of preferred stock, par value $0.01 per share.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43" w:lineRule="exact"/>
        <w:rPr>
          <w:sz w:val="20"/>
          <w:szCs w:val="20"/>
          <w:color w:val="auto"/>
        </w:rPr>
      </w:pPr>
    </w:p>
    <w:p>
      <w:pPr>
        <w:ind w:right="140" w:firstLine="441"/>
        <w:spacing w:after="0" w:line="265"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stockholders. The holders of our common stock vote to elect our directors by a plurality of the votes cast. Except as otherwise required by Delaware law or expressly provided in our Certificate of Incorporation or our Bylaws, the affirmative vote of a majority of the votes cast by the holders of our common stock present</w:t>
      </w:r>
    </w:p>
    <w:p>
      <w:pPr>
        <w:ind w:right="60"/>
        <w:spacing w:after="0" w:line="242" w:lineRule="auto"/>
        <w:rPr>
          <w:sz w:val="20"/>
          <w:szCs w:val="20"/>
          <w:color w:val="auto"/>
        </w:rPr>
      </w:pPr>
      <w:r>
        <w:rPr>
          <w:rFonts w:ascii="Times New Roman" w:cs="Times New Roman" w:eastAsia="Times New Roman" w:hAnsi="Times New Roman"/>
          <w:sz w:val="18"/>
          <w:szCs w:val="18"/>
          <w:color w:val="auto"/>
        </w:rPr>
        <w:t>in person or represented by proxy and entitled to vote at the meeting is required for stockholder action. However, certain matters, specified in our Certificate of Incorporation, including for the removal of directors and approval of certain business combinations, require the affirmative vote of holders of at least 66⅔% of the voting power of the outstanding shares entitled to vote thereon, voting together as a single class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43" w:lineRule="exact"/>
        <w:rPr>
          <w:sz w:val="20"/>
          <w:szCs w:val="20"/>
          <w:color w:val="auto"/>
        </w:rPr>
      </w:pPr>
    </w:p>
    <w:p>
      <w:pPr>
        <w:jc w:val="both"/>
        <w:ind w:right="60" w:firstLine="441"/>
        <w:spacing w:after="0" w:line="250"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04" w:lineRule="exact"/>
        <w:rPr>
          <w:sz w:val="20"/>
          <w:szCs w:val="20"/>
          <w:color w:val="auto"/>
        </w:rPr>
      </w:pPr>
    </w:p>
    <w:p>
      <w:pPr>
        <w:ind w:firstLine="441"/>
        <w:spacing w:after="0" w:line="241"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211" w:lineRule="exact"/>
        <w:rPr>
          <w:sz w:val="20"/>
          <w:szCs w:val="20"/>
          <w:color w:val="auto"/>
        </w:rPr>
      </w:pPr>
    </w:p>
    <w:p>
      <w:pPr>
        <w:ind w:right="600" w:firstLine="441"/>
        <w:spacing w:after="0" w:line="242"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w:t>
      </w:r>
    </w:p>
    <w:p>
      <w:pPr>
        <w:sectPr>
          <w:pgSz w:w="11900" w:h="16838" w:orient="portrait"/>
          <w:cols w:equalWidth="0" w:num="1">
            <w:col w:w="11240"/>
          </w:cols>
          <w:pgMar w:left="320" w:top="1400" w:right="339" w:bottom="1440" w:gutter="0" w:footer="0" w:header="0"/>
        </w:sectPr>
      </w:pPr>
    </w:p>
    <w:bookmarkStart w:id="104" w:name="page105"/>
    <w:bookmarkEnd w:id="104"/>
    <w:p>
      <w:pPr>
        <w:ind w:right="580"/>
        <w:spacing w:after="0" w:line="266" w:lineRule="auto"/>
        <w:rPr>
          <w:sz w:val="20"/>
          <w:szCs w:val="20"/>
          <w:color w:val="auto"/>
        </w:rPr>
      </w:pPr>
      <w:r>
        <w:rPr>
          <w:rFonts w:ascii="Times New Roman" w:cs="Times New Roman" w:eastAsia="Times New Roman" w:hAnsi="Times New Roman"/>
          <w:sz w:val="18"/>
          <w:szCs w:val="18"/>
          <w:color w:val="auto"/>
        </w:rPr>
        <w:t>trends, the provisions of Delaware law affecting the payment of dividends to stockholders and any other factors our board of directors may consider relevant.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243" w:lineRule="exact"/>
        <w:rPr>
          <w:sz w:val="20"/>
          <w:szCs w:val="20"/>
          <w:color w:val="auto"/>
        </w:rPr>
      </w:pPr>
    </w:p>
    <w:p>
      <w:pPr>
        <w:ind w:right="200" w:firstLine="441"/>
        <w:spacing w:after="0" w:line="250"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 Preemptive, Subscription, or Conversion Rights; No Redemption or Sinking Fund Provisions</w:t>
      </w:r>
    </w:p>
    <w:p>
      <w:pPr>
        <w:spacing w:after="0" w:line="229" w:lineRule="exact"/>
        <w:rPr>
          <w:sz w:val="20"/>
          <w:szCs w:val="20"/>
          <w:color w:val="auto"/>
        </w:rPr>
      </w:pPr>
    </w:p>
    <w:p>
      <w:pPr>
        <w:ind w:right="760" w:firstLine="441"/>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2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Nasdaq under the symbol “ASO.”</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3"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18"/>
          <w:szCs w:val="18"/>
          <w:color w:val="auto"/>
        </w:rPr>
        <w:t>We do not currently have any preferred stock outstanding. However, our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is able to determine, with respect to any series of preferred stock, the terms and rights of that series, including:</w:t>
      </w:r>
    </w:p>
    <w:p>
      <w:pPr>
        <w:spacing w:after="0" w:line="262" w:lineRule="exact"/>
        <w:rPr>
          <w:sz w:val="20"/>
          <w:szCs w:val="20"/>
          <w:color w:val="auto"/>
        </w:rPr>
      </w:pPr>
    </w:p>
    <w:p>
      <w:pPr>
        <w:ind w:left="640" w:hanging="371"/>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57" w:lineRule="exact"/>
        <w:rPr>
          <w:rFonts w:ascii="Times New Roman" w:cs="Times New Roman" w:eastAsia="Times New Roman" w:hAnsi="Times New Roman"/>
          <w:sz w:val="18"/>
          <w:szCs w:val="18"/>
          <w:color w:val="auto"/>
        </w:rPr>
      </w:pPr>
    </w:p>
    <w:p>
      <w:pPr>
        <w:ind w:left="640" w:right="100" w:hanging="371"/>
        <w:spacing w:after="0" w:line="266"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21" w:lineRule="exact"/>
        <w:rPr>
          <w:rFonts w:ascii="Times New Roman" w:cs="Times New Roman" w:eastAsia="Times New Roman" w:hAnsi="Times New Roman"/>
          <w:sz w:val="18"/>
          <w:szCs w:val="18"/>
          <w:color w:val="auto"/>
        </w:rPr>
      </w:pPr>
    </w:p>
    <w:p>
      <w:pPr>
        <w:ind w:left="640" w:hanging="371"/>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71" w:lineRule="exact"/>
        <w:rPr>
          <w:rFonts w:ascii="Times New Roman" w:cs="Times New Roman" w:eastAsia="Times New Roman" w:hAnsi="Times New Roman"/>
          <w:sz w:val="18"/>
          <w:szCs w:val="18"/>
          <w:color w:val="auto"/>
        </w:rPr>
      </w:pPr>
    </w:p>
    <w:p>
      <w:pPr>
        <w:ind w:left="640" w:hanging="371"/>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57" w:lineRule="exact"/>
        <w:rPr>
          <w:rFonts w:ascii="Times New Roman" w:cs="Times New Roman" w:eastAsia="Times New Roman" w:hAnsi="Times New Roman"/>
          <w:sz w:val="18"/>
          <w:szCs w:val="18"/>
          <w:color w:val="auto"/>
        </w:rPr>
      </w:pPr>
    </w:p>
    <w:p>
      <w:pPr>
        <w:ind w:left="640" w:hanging="371"/>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71" w:lineRule="exact"/>
        <w:rPr>
          <w:rFonts w:ascii="Times New Roman" w:cs="Times New Roman" w:eastAsia="Times New Roman" w:hAnsi="Times New Roman"/>
          <w:sz w:val="18"/>
          <w:szCs w:val="18"/>
          <w:color w:val="auto"/>
        </w:rPr>
      </w:pPr>
    </w:p>
    <w:p>
      <w:pPr>
        <w:ind w:left="640" w:hanging="371"/>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71" w:lineRule="exact"/>
        <w:rPr>
          <w:rFonts w:ascii="Times New Roman" w:cs="Times New Roman" w:eastAsia="Times New Roman" w:hAnsi="Times New Roman"/>
          <w:sz w:val="18"/>
          <w:szCs w:val="18"/>
          <w:color w:val="auto"/>
        </w:rPr>
      </w:pPr>
    </w:p>
    <w:p>
      <w:pPr>
        <w:ind w:left="640" w:right="120" w:hanging="371"/>
        <w:spacing w:after="0" w:line="250"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135" w:lineRule="exact"/>
        <w:rPr>
          <w:rFonts w:ascii="Times New Roman" w:cs="Times New Roman" w:eastAsia="Times New Roman" w:hAnsi="Times New Roman"/>
          <w:sz w:val="18"/>
          <w:szCs w:val="18"/>
          <w:color w:val="auto"/>
        </w:rPr>
      </w:pPr>
    </w:p>
    <w:p>
      <w:pPr>
        <w:ind w:left="640" w:right="400" w:hanging="371"/>
        <w:spacing w:after="0" w:line="245"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40" w:lineRule="exact"/>
        <w:rPr>
          <w:rFonts w:ascii="Times New Roman" w:cs="Times New Roman" w:eastAsia="Times New Roman" w:hAnsi="Times New Roman"/>
          <w:sz w:val="18"/>
          <w:szCs w:val="18"/>
          <w:color w:val="auto"/>
        </w:rPr>
      </w:pPr>
    </w:p>
    <w:p>
      <w:pPr>
        <w:ind w:left="640" w:hanging="371"/>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71" w:lineRule="exact"/>
        <w:rPr>
          <w:sz w:val="20"/>
          <w:szCs w:val="20"/>
          <w:color w:val="auto"/>
        </w:rPr>
      </w:pPr>
    </w:p>
    <w:p>
      <w:pPr>
        <w:ind w:left="720" w:hanging="478"/>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ectPr>
          <w:pgSz w:w="11900" w:h="16838" w:orient="portrait"/>
          <w:cols w:equalWidth="0" w:num="1">
            <w:col w:w="11240"/>
          </w:cols>
          <w:pgMar w:left="320" w:top="1404" w:right="339" w:bottom="1440" w:gutter="0" w:footer="0" w:header="0"/>
        </w:sectPr>
      </w:pPr>
    </w:p>
    <w:bookmarkStart w:id="105" w:name="page106"/>
    <w:bookmarkEnd w:id="105"/>
    <w:p>
      <w:pPr>
        <w:spacing w:after="0" w:line="207" w:lineRule="exact"/>
        <w:rPr>
          <w:sz w:val="20"/>
          <w:szCs w:val="20"/>
          <w:color w:val="auto"/>
        </w:rPr>
      </w:pPr>
    </w:p>
    <w:p>
      <w:pPr>
        <w:ind w:right="160" w:firstLine="441"/>
        <w:spacing w:after="0" w:line="241" w:lineRule="auto"/>
        <w:rPr>
          <w:sz w:val="20"/>
          <w:szCs w:val="20"/>
          <w:color w:val="auto"/>
        </w:rPr>
      </w:pPr>
      <w:r>
        <w:rPr>
          <w:rFonts w:ascii="Times New Roman" w:cs="Times New Roman" w:eastAsia="Times New Roman" w:hAnsi="Times New Roman"/>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0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Our Bylaws and Certain Provisions of Delaware Law; and Provisions that May Impact a Change of Control</w:t>
      </w:r>
    </w:p>
    <w:p>
      <w:pPr>
        <w:spacing w:after="0" w:line="199" w:lineRule="exact"/>
        <w:rPr>
          <w:sz w:val="20"/>
          <w:szCs w:val="20"/>
          <w:color w:val="auto"/>
        </w:rPr>
      </w:pPr>
    </w:p>
    <w:p>
      <w:pPr>
        <w:ind w:firstLine="441"/>
        <w:spacing w:after="0" w:line="241" w:lineRule="auto"/>
        <w:rPr>
          <w:sz w:val="20"/>
          <w:szCs w:val="20"/>
          <w:color w:val="auto"/>
        </w:rPr>
      </w:pPr>
      <w:r>
        <w:rPr>
          <w:rFonts w:ascii="Times New Roman" w:cs="Times New Roman" w:eastAsia="Times New Roman" w:hAnsi="Times New Roman"/>
          <w:sz w:val="18"/>
          <w:szCs w:val="18"/>
          <w:color w:val="auto"/>
        </w:rPr>
        <w:t>Our Certificate of Incorporation, our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243" w:lineRule="exact"/>
        <w:rPr>
          <w:sz w:val="20"/>
          <w:szCs w:val="20"/>
          <w:color w:val="auto"/>
        </w:rPr>
      </w:pPr>
    </w:p>
    <w:p>
      <w:pPr>
        <w:ind w:right="100" w:firstLine="441"/>
        <w:spacing w:after="0" w:line="245"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208" w:lineRule="exact"/>
        <w:rPr>
          <w:sz w:val="20"/>
          <w:szCs w:val="20"/>
          <w:color w:val="auto"/>
        </w:rPr>
      </w:pPr>
    </w:p>
    <w:p>
      <w:pPr>
        <w:ind w:right="60" w:firstLine="441"/>
        <w:spacing w:after="0"/>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212" w:lineRule="exact"/>
        <w:rPr>
          <w:sz w:val="20"/>
          <w:szCs w:val="20"/>
          <w:color w:val="auto"/>
        </w:rPr>
      </w:pPr>
    </w:p>
    <w:p>
      <w:pPr>
        <w:ind w:right="40" w:firstLine="441"/>
        <w:spacing w:after="0" w:line="245"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Phased-in Declassification of our Board of Directors</w:t>
      </w:r>
    </w:p>
    <w:p>
      <w:pPr>
        <w:spacing w:after="0" w:line="243" w:lineRule="exact"/>
        <w:rPr>
          <w:sz w:val="20"/>
          <w:szCs w:val="20"/>
          <w:color w:val="auto"/>
        </w:rPr>
      </w:pPr>
    </w:p>
    <w:p>
      <w:pPr>
        <w:ind w:right="80" w:firstLine="441"/>
        <w:spacing w:after="0" w:line="205" w:lineRule="exact"/>
        <w:rPr>
          <w:sz w:val="20"/>
          <w:szCs w:val="20"/>
          <w:color w:val="auto"/>
        </w:rPr>
      </w:pPr>
      <w:r>
        <w:rPr>
          <w:rFonts w:ascii="Times New Roman" w:cs="Times New Roman" w:eastAsia="Times New Roman" w:hAnsi="Times New Roman"/>
          <w:sz w:val="18"/>
          <w:szCs w:val="18"/>
          <w:color w:val="auto"/>
        </w:rPr>
        <w:t>Our Certificate of Incorporation provides that, until the 2028 annual meeting of stockholders, our board of directors is divided into three classes. Directors elected prior to the 2026 annual meeting of stockholders will continue to serve the remainder of their existing terms. Directors whose terms expire at the 2026 annual meeting of stockholders, and their duly elected successors, will be elected to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and directors whose terms expire at the 2027 annual meeting of stockholders, and their duly elected successors, will be elected to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terms. From and after the election of the board of directors at the 2028 annual meeting of stockholders, the board of directors will cease to be classified and all directors will be elected annually. Until the election of directors at the 2028 annual meeting of stockholders, in case of any increase or decrease, from time to time, in the number of directors (other than preferred stock directors), the number of directors in each class shall be apportioned in the manner determined by our board of directors.</w:t>
      </w:r>
    </w:p>
    <w:p>
      <w:pPr>
        <w:sectPr>
          <w:pgSz w:w="11900" w:h="16838" w:orient="portrait"/>
          <w:cols w:equalWidth="0" w:num="1">
            <w:col w:w="11240"/>
          </w:cols>
          <w:pgMar w:left="320" w:top="1440" w:right="339" w:bottom="1440" w:gutter="0" w:footer="0" w:header="0"/>
        </w:sectPr>
      </w:pPr>
    </w:p>
    <w:bookmarkStart w:id="106" w:name="page107"/>
    <w:bookmarkEnd w:id="106"/>
    <w:p>
      <w:pPr>
        <w:ind w:right="140" w:firstLine="441"/>
        <w:spacing w:after="0" w:line="245" w:lineRule="auto"/>
        <w:rPr>
          <w:sz w:val="20"/>
          <w:szCs w:val="20"/>
          <w:color w:val="auto"/>
        </w:rPr>
      </w:pPr>
      <w:r>
        <w:rPr>
          <w:rFonts w:ascii="Times New Roman" w:cs="Times New Roman" w:eastAsia="Times New Roman" w:hAnsi="Times New Roman"/>
          <w:sz w:val="18"/>
          <w:szCs w:val="18"/>
          <w:color w:val="auto"/>
        </w:rPr>
        <w:t>Until the 2028 annual meeting of stockholders the classification of directors has the effect of making it more difficult for stockholders to change the composition of our board of directors. Our Certificate of Incorporation and our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43" w:lineRule="exact"/>
        <w:rPr>
          <w:sz w:val="20"/>
          <w:szCs w:val="20"/>
          <w:color w:val="auto"/>
        </w:rPr>
      </w:pPr>
    </w:p>
    <w:p>
      <w:pPr>
        <w:jc w:val="both"/>
        <w:ind w:right="380" w:firstLine="441"/>
        <w:spacing w:after="0" w:line="242" w:lineRule="auto"/>
        <w:rPr>
          <w:sz w:val="20"/>
          <w:szCs w:val="20"/>
          <w:color w:val="auto"/>
        </w:rPr>
      </w:pPr>
      <w:r>
        <w:rPr>
          <w:rFonts w:ascii="Times New Roman" w:cs="Times New Roman" w:eastAsia="Times New Roman" w:hAnsi="Times New Roman"/>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65" w:lineRule="exact"/>
        <w:rPr>
          <w:sz w:val="20"/>
          <w:szCs w:val="20"/>
          <w:color w:val="auto"/>
        </w:rPr>
      </w:pPr>
    </w:p>
    <w:p>
      <w:pPr>
        <w:ind w:left="1100" w:right="1320" w:hanging="251"/>
        <w:spacing w:after="0" w:line="266"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121" w:lineRule="exact"/>
        <w:rPr>
          <w:rFonts w:ascii="Times New Roman" w:cs="Times New Roman" w:eastAsia="Times New Roman" w:hAnsi="Times New Roman"/>
          <w:sz w:val="18"/>
          <w:szCs w:val="18"/>
          <w:color w:val="auto"/>
        </w:rPr>
      </w:pPr>
    </w:p>
    <w:p>
      <w:pPr>
        <w:ind w:left="1100" w:right="660" w:hanging="251"/>
        <w:spacing w:after="0" w:line="266"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21" w:lineRule="exact"/>
        <w:rPr>
          <w:rFonts w:ascii="Times New Roman" w:cs="Times New Roman" w:eastAsia="Times New Roman" w:hAnsi="Times New Roman"/>
          <w:sz w:val="18"/>
          <w:szCs w:val="18"/>
          <w:color w:val="auto"/>
        </w:rPr>
      </w:pPr>
    </w:p>
    <w:p>
      <w:pPr>
        <w:ind w:left="1100" w:right="720" w:hanging="251"/>
        <w:spacing w:after="0" w:line="266"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97" w:lineRule="exact"/>
        <w:rPr>
          <w:sz w:val="20"/>
          <w:szCs w:val="20"/>
          <w:color w:val="auto"/>
        </w:rPr>
      </w:pPr>
    </w:p>
    <w:p>
      <w:pPr>
        <w:ind w:right="60" w:firstLine="441"/>
        <w:spacing w:after="0" w:line="24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208" w:lineRule="exact"/>
        <w:rPr>
          <w:sz w:val="20"/>
          <w:szCs w:val="20"/>
          <w:color w:val="auto"/>
        </w:rPr>
      </w:pPr>
    </w:p>
    <w:p>
      <w:pPr>
        <w:ind w:firstLine="441"/>
        <w:spacing w:after="0" w:line="241"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11" w:lineRule="exact"/>
        <w:rPr>
          <w:sz w:val="20"/>
          <w:szCs w:val="20"/>
          <w:color w:val="auto"/>
        </w:rPr>
      </w:pPr>
    </w:p>
    <w:p>
      <w:pPr>
        <w:jc w:val="both"/>
        <w:ind w:right="560" w:firstLine="441"/>
        <w:spacing w:after="0" w:line="242" w:lineRule="auto"/>
        <w:rPr>
          <w:sz w:val="20"/>
          <w:szCs w:val="20"/>
          <w:color w:val="auto"/>
        </w:rPr>
      </w:pPr>
      <w:r>
        <w:rPr>
          <w:rFonts w:ascii="Times New Roman" w:cs="Times New Roman" w:eastAsia="Times New Roman" w:hAnsi="Times New Roman"/>
          <w:sz w:val="18"/>
          <w:szCs w:val="18"/>
          <w:color w:val="auto"/>
        </w:rPr>
        <w:t>Our Certificate of Incorporation provides that any investment entities owned by Kohlberg Kravis Roberts &amp; Co. L.P., (collectively, the “KKR Stockholders”) and their affiliates and any of their respective direct or indirect transferees and any group as to which such persons are a party do not constitute “interested stockholders” for purposes of this provision.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243" w:lineRule="exact"/>
        <w:rPr>
          <w:sz w:val="20"/>
          <w:szCs w:val="20"/>
          <w:color w:val="auto"/>
        </w:rPr>
      </w:pPr>
    </w:p>
    <w:p>
      <w:pPr>
        <w:ind w:firstLine="441"/>
        <w:spacing w:after="0" w:line="238" w:lineRule="auto"/>
        <w:rPr>
          <w:sz w:val="20"/>
          <w:szCs w:val="20"/>
          <w:color w:val="auto"/>
        </w:rPr>
      </w:pPr>
      <w:r>
        <w:rPr>
          <w:rFonts w:ascii="Times New Roman" w:cs="Times New Roman" w:eastAsia="Times New Roman" w:hAnsi="Times New Roman"/>
          <w:sz w:val="18"/>
          <w:szCs w:val="18"/>
          <w:color w:val="auto"/>
        </w:rPr>
        <w:t>Our Certificate of Incorporation provides that directors serving prior to the 2028 annual meeting of stockholders may be removed by the stockholders only for cause and directors serving on or after the 2028 annual meeting of stockholders may be removed with or without cause, in each case by the affirmative vote of at least 66⅔% in voting power of all the outstanding shares of stock entitled to vote generally in the election of directors, voting together as a single class. In addition, our Certificate of Incorporation also provides that, subject to the rights granted to one or more series of preferred stock then outstanding, any vacancies on our board of directors will, unless otherwise required by law or by resolution of the board of directors, be filled only by the affirmative vote of a majority of the remaining directors, even if less than a quorum, by a sole remaining director (and not by the stockholders). Any director elected to fill a vacancy or a newly created directorship shall hold office (i) in the case of any vacancy or newly created directorship so filled prior to the 2028 annual meeting of stockholders, until the next election of the class for which such director shall have been chosen and until his or her successor shall be elected and qualified, or until his or her earlier death, resignation, retirement, disqualification or removal. and (ii) in the case</w:t>
      </w:r>
    </w:p>
    <w:p>
      <w:pPr>
        <w:sectPr>
          <w:pgSz w:w="11900" w:h="16838" w:orient="portrait"/>
          <w:cols w:equalWidth="0" w:num="1">
            <w:col w:w="11240"/>
          </w:cols>
          <w:pgMar w:left="320" w:top="1404" w:right="339" w:bottom="1440" w:gutter="0" w:footer="0" w:header="0"/>
        </w:sectPr>
      </w:pPr>
    </w:p>
    <w:bookmarkStart w:id="107" w:name="page108"/>
    <w:bookmarkEnd w:id="107"/>
    <w:p>
      <w:pPr>
        <w:spacing w:after="0" w:line="266" w:lineRule="auto"/>
        <w:rPr>
          <w:sz w:val="20"/>
          <w:szCs w:val="20"/>
          <w:color w:val="auto"/>
        </w:rPr>
      </w:pPr>
      <w:r>
        <w:rPr>
          <w:rFonts w:ascii="Times New Roman" w:cs="Times New Roman" w:eastAsia="Times New Roman" w:hAnsi="Times New Roman"/>
          <w:sz w:val="18"/>
          <w:szCs w:val="18"/>
          <w:color w:val="auto"/>
        </w:rPr>
        <w:t>of any vacancy or newly created directorship so filled at or after the 2028 annual meeting of stockholders, until the next annual meeting of stockholders and until his or her successor shall be elected and qualified, or until his or her earlier death, resignation, retirement, disqualification or removal.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43" w:lineRule="exact"/>
        <w:rPr>
          <w:sz w:val="20"/>
          <w:szCs w:val="20"/>
          <w:color w:val="auto"/>
        </w:rPr>
      </w:pPr>
    </w:p>
    <w:p>
      <w:pPr>
        <w:ind w:right="280" w:firstLine="441"/>
        <w:spacing w:after="0" w:line="250"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ind w:right="100" w:firstLine="441"/>
        <w:spacing w:after="0" w:line="242" w:lineRule="auto"/>
        <w:rPr>
          <w:sz w:val="20"/>
          <w:szCs w:val="20"/>
          <w:color w:val="auto"/>
        </w:rPr>
      </w:pPr>
      <w:r>
        <w:rPr>
          <w:rFonts w:ascii="Times New Roman" w:cs="Times New Roman" w:eastAsia="Times New Roman" w:hAnsi="Times New Roman"/>
          <w:sz w:val="18"/>
          <w:szCs w:val="18"/>
          <w:color w:val="auto"/>
        </w:rPr>
        <w:t xml:space="preserve">Our Certificate of Incorporation provides that special meetings of our stockholders may be called at any time only by or at the direction of our board of directors or the chairman of the board of directors;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18"/>
          <w:szCs w:val="18"/>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243" w:lineRule="exact"/>
        <w:rPr>
          <w:sz w:val="20"/>
          <w:szCs w:val="20"/>
          <w:color w:val="auto"/>
        </w:rPr>
      </w:pPr>
    </w:p>
    <w:p>
      <w:pPr>
        <w:ind w:firstLine="441"/>
        <w:spacing w:after="0" w:line="236" w:lineRule="auto"/>
        <w:rPr>
          <w:sz w:val="20"/>
          <w:szCs w:val="20"/>
          <w:color w:val="auto"/>
        </w:rPr>
      </w:pPr>
      <w:r>
        <w:rPr>
          <w:rFonts w:ascii="Times New Roman" w:cs="Times New Roman" w:eastAsia="Times New Roman" w:hAnsi="Times New Roman"/>
          <w:sz w:val="18"/>
          <w:szCs w:val="18"/>
          <w:color w:val="auto"/>
        </w:rPr>
        <w:t>Our Bylaws establishes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 later than the close of business on the 90th day and not earlier than the close of business on the 120th day prior to the first anniversary date of the immediately preceding annual meeting of stockholders. Our Bylaws also specifies requirements as to the form and content of a stockholder’s notice, including various information and representations related to stockholder proposed nominee(s) for election as a director, the stockholder giving the notice and beneficial owner, if any, on whose behalf the nomination or proposal is made and certain of their proponent persons (as defined in the Bylaws). Our Bylaws allows the chairman of the meeting at a meeting of the stockholders to adopt rules and regulations for the conduct of meetings which may have the effect of precluding the conduct of certain business at a meeting if the rules and regulations are not followed and to disregard any nomination or proposal that is not submitted in compliance with our advance notice provisions. These provisions may defer, delay or discourage a potential acquiror from conducting a solicitation of proxies to elect the acquiror’s own slate of directors or otherwise attempting to influence or obtain control of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20" w:lineRule="exact"/>
        <w:rPr>
          <w:sz w:val="20"/>
          <w:szCs w:val="20"/>
          <w:color w:val="auto"/>
        </w:rPr>
      </w:pPr>
    </w:p>
    <w:p>
      <w:pPr>
        <w:ind w:right="40" w:firstLine="441"/>
        <w:spacing w:after="0" w:line="249" w:lineRule="auto"/>
        <w:rPr>
          <w:sz w:val="20"/>
          <w:szCs w:val="20"/>
          <w:color w:val="auto"/>
        </w:rPr>
      </w:pPr>
      <w:r>
        <w:rPr>
          <w:rFonts w:ascii="Times New Roman" w:cs="Times New Roman" w:eastAsia="Times New Roman" w:hAnsi="Times New Roman"/>
          <w:sz w:val="17"/>
          <w:szCs w:val="17"/>
          <w:color w:val="auto"/>
        </w:rPr>
        <w:t>Our Certificate of Incorporation provides that the Company reserves the right at any time, and from time to time, to alter, amend, repeal or rescind, in whole or in part, any provision of our Certificate of Incorporation, or to adopt any provision inconsistent therewith, and other provisions authorized by the laws of the State of Delaware at the time in force may be added or inserted, in the manner now or hereafter prescribed by the laws of the State of Delaware, and all powers, preferences and rights of any nature conferred upon stockholders, directors or any other persons by and pursuant to our Certificate of Incorporation in its present form or as hereafter amended are granted subject to this reservation. Notwithstanding anything herein to the contrary, any amendment to our Certificate of Incorporation effecting changes set forth in (i) Section 242(d)(1) of the DGCL can be effected without a stockholder vote and (ii) Section 242(d)(2) of the DGCL shall only require the vote of stockholders set forth in Section 242(d)(2) of the DGCL. For the purposes of our Certificate of Incorporation, beneficial ownership of shares shall be determined in accordance with Rule 13d-3 promulgated under the Exchange Act.</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also provides that our board of directors is expressly authorized to make, repeal, alter, amend and rescind, in whole or in part, our Bylaws without the assent or vote of the stockholders in any</w:t>
      </w:r>
    </w:p>
    <w:p>
      <w:pPr>
        <w:sectPr>
          <w:pgSz w:w="11900" w:h="16838" w:orient="portrait"/>
          <w:cols w:equalWidth="0" w:num="1">
            <w:col w:w="11240"/>
          </w:cols>
          <w:pgMar w:left="320" w:top="1404" w:right="339" w:bottom="1440" w:gutter="0" w:footer="0" w:header="0"/>
        </w:sectPr>
      </w:pPr>
    </w:p>
    <w:bookmarkStart w:id="108" w:name="page109"/>
    <w:bookmarkEnd w:id="108"/>
    <w:p>
      <w:pPr>
        <w:ind w:right="140"/>
        <w:spacing w:after="0" w:line="242" w:lineRule="auto"/>
        <w:rPr>
          <w:sz w:val="20"/>
          <w:szCs w:val="20"/>
          <w:color w:val="auto"/>
        </w:rPr>
      </w:pPr>
      <w:r>
        <w:rPr>
          <w:rFonts w:ascii="Times New Roman" w:cs="Times New Roman" w:eastAsia="Times New Roman" w:hAnsi="Times New Roman"/>
          <w:sz w:val="18"/>
          <w:szCs w:val="18"/>
          <w:color w:val="auto"/>
        </w:rPr>
        <w:t>manner not inconsistent with the laws of the State of Delaware or our Certificate of Incorporation. Notwithstanding anything to the contrary contained in our Certificate of Incorporation or any provision of law which might otherwise permit a lesser vote of the stockholders, the affirmative vote of the holders of at least a majority in voting power of all outstanding shares of stock of the Company entitled to vote thereon, voting together as a single class, shall be required in order for the stockholders of the Company to alter, amend, repeal or rescind, in whole or in part, any provision of our Bylaws or to adopt any provision inconsistent therewith.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43" w:lineRule="exact"/>
        <w:rPr>
          <w:sz w:val="20"/>
          <w:szCs w:val="20"/>
          <w:color w:val="auto"/>
        </w:rPr>
      </w:pPr>
    </w:p>
    <w:p>
      <w:pPr>
        <w:ind w:firstLine="441"/>
        <w:spacing w:after="0" w:line="242"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43" w:lineRule="exact"/>
        <w:rPr>
          <w:sz w:val="20"/>
          <w:szCs w:val="20"/>
          <w:color w:val="auto"/>
        </w:rPr>
      </w:pPr>
    </w:p>
    <w:p>
      <w:pPr>
        <w:jc w:val="both"/>
        <w:ind w:right="340" w:firstLine="441"/>
        <w:spacing w:after="0" w:line="250"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43" w:lineRule="exact"/>
        <w:rPr>
          <w:sz w:val="20"/>
          <w:szCs w:val="20"/>
          <w:color w:val="auto"/>
        </w:rPr>
      </w:pPr>
    </w:p>
    <w:p>
      <w:pPr>
        <w:ind w:right="60" w:firstLine="441"/>
        <w:spacing w:after="0" w:line="236" w:lineRule="auto"/>
        <w:rPr>
          <w:sz w:val="20"/>
          <w:szCs w:val="20"/>
          <w:color w:val="auto"/>
        </w:rPr>
      </w:pPr>
      <w:r>
        <w:rPr>
          <w:rFonts w:ascii="Times New Roman" w:cs="Times New Roman" w:eastAsia="Times New Roman" w:hAnsi="Times New Roman"/>
          <w:sz w:val="18"/>
          <w:szCs w:val="18"/>
          <w:color w:val="auto"/>
        </w:rPr>
        <w:t>Our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Certificate of Incorporation or our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does not apply to suits brought to enforce any liability or duty created by the Exchange Act, which already provides that such claims must be brought exclusively in the federal courts. Our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are deemed to have notice of and consented to the forum provisions in our Certificate of Incorporation.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43" w:lineRule="exact"/>
        <w:rPr>
          <w:sz w:val="20"/>
          <w:szCs w:val="20"/>
          <w:color w:val="auto"/>
        </w:rPr>
      </w:pPr>
    </w:p>
    <w:p>
      <w:pPr>
        <w:ind w:right="20" w:firstLine="441"/>
        <w:spacing w:after="0" w:line="237"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do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w:t>
      </w:r>
    </w:p>
    <w:p>
      <w:pPr>
        <w:sectPr>
          <w:pgSz w:w="11900" w:h="16838" w:orient="portrait"/>
          <w:cols w:equalWidth="0" w:num="1">
            <w:col w:w="11240"/>
          </w:cols>
          <w:pgMar w:left="320" w:top="1404" w:right="339" w:bottom="1440" w:gutter="0" w:footer="0" w:header="0"/>
        </w:sectPr>
      </w:pPr>
    </w:p>
    <w:bookmarkStart w:id="109" w:name="page110"/>
    <w:bookmarkEnd w:id="109"/>
    <w:p>
      <w:pPr>
        <w:ind w:right="20"/>
        <w:spacing w:after="0"/>
        <w:rPr>
          <w:sz w:val="20"/>
          <w:szCs w:val="20"/>
          <w:color w:val="auto"/>
        </w:rPr>
      </w:pPr>
      <w:r>
        <w:rPr>
          <w:rFonts w:ascii="Times New Roman" w:cs="Times New Roman" w:eastAsia="Times New Roman" w:hAnsi="Times New Roman"/>
          <w:sz w:val="18"/>
          <w:szCs w:val="18"/>
          <w:color w:val="auto"/>
        </w:rPr>
        <w:t>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43" w:lineRule="exact"/>
        <w:rPr>
          <w:sz w:val="20"/>
          <w:szCs w:val="20"/>
          <w:color w:val="auto"/>
        </w:rPr>
      </w:pPr>
    </w:p>
    <w:p>
      <w:pPr>
        <w:ind w:right="100" w:firstLine="441"/>
        <w:spacing w:after="0" w:line="23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and certain officers to corporations and their stockholders for monetary damages for breaches of their fiduciary duties, subject to certain exceptions. Our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 The effect of these provisions is to eliminate the rights of us and our stockholders, through stockholders’ derivative suits on our behalf, to recover monetary damages from a director or officer for breach of fiduciary duty, including breaches resulting from grossly negligent behavior.</w:t>
      </w:r>
    </w:p>
    <w:p>
      <w:pPr>
        <w:spacing w:after="0" w:line="215" w:lineRule="exact"/>
        <w:rPr>
          <w:sz w:val="20"/>
          <w:szCs w:val="20"/>
          <w:color w:val="auto"/>
        </w:rPr>
      </w:pPr>
    </w:p>
    <w:p>
      <w:pPr>
        <w:ind w:firstLine="441"/>
        <w:spacing w:after="0" w:line="237" w:lineRule="auto"/>
        <w:rPr>
          <w:sz w:val="20"/>
          <w:szCs w:val="20"/>
          <w:color w:val="auto"/>
        </w:rPr>
      </w:pPr>
      <w:r>
        <w:rPr>
          <w:rFonts w:ascii="Times New Roman" w:cs="Times New Roman" w:eastAsia="Times New Roman" w:hAnsi="Times New Roman"/>
          <w:sz w:val="18"/>
          <w:szCs w:val="18"/>
          <w:color w:val="auto"/>
        </w:rPr>
        <w:t>Our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and officers,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limitations of liability, indemnification and advancement provisions, together with the availability of directors’ and officers’ insurance, are important to attract and retain qualified directors and officers.</w:t>
      </w:r>
    </w:p>
    <w:p>
      <w:pPr>
        <w:spacing w:after="0" w:line="216" w:lineRule="exact"/>
        <w:rPr>
          <w:sz w:val="20"/>
          <w:szCs w:val="20"/>
          <w:color w:val="auto"/>
        </w:rPr>
      </w:pPr>
    </w:p>
    <w:p>
      <w:pPr>
        <w:ind w:right="40" w:firstLine="441"/>
        <w:spacing w:after="0" w:line="242"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Certificate of Incorporation and our Bylaws may discourage stockholders from bringing a lawsuit against directors and officers for breach of their fiduciary duty. These provisions also may have the effect of reducing the likelihood of derivative litigation against directors and officers, even though such an action, if successful, might otherwise benefit us and our stockholders. In addition, the Company’s financial condition may be adversely affected to the extent we pay the costs of settlement and damage awards against directors and officers pursuant to these indemnification provisions.</w:t>
      </w:r>
    </w:p>
    <w:p>
      <w:pPr>
        <w:sectPr>
          <w:pgSz w:w="11900" w:h="16838" w:orient="portrait"/>
          <w:cols w:equalWidth="0" w:num="1">
            <w:col w:w="11200"/>
          </w:cols>
          <w:pgMar w:left="320" w:top="1404" w:right="37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r>
        <w:rPr>
          <w:rFonts w:ascii="Times New Roman" w:cs="Times New Roman" w:eastAsia="Times New Roman" w:hAnsi="Times New Roman"/>
          <w:sz w:val="23"/>
          <w:szCs w:val="23"/>
          <w:b w:val="1"/>
          <w:bCs w:val="1"/>
          <w:color w:val="auto"/>
          <w:vertAlign w:val="superscript"/>
        </w:rPr>
        <w:t>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Subsidiaries of Academy Sports and Outdoors, Inc.</w:t>
            </w:r>
          </w:p>
        </w:tc>
        <w:tc>
          <w:tcPr>
            <w:tcW w:w="80" w:type="dxa"/>
            <w:vAlign w:val="bottom"/>
            <w:vMerge w:val="restart"/>
          </w:tcPr>
          <w:p>
            <w:pPr>
              <w:spacing w:after="0"/>
              <w:rPr>
                <w:sz w:val="17"/>
                <w:szCs w:val="17"/>
                <w:color w:val="auto"/>
              </w:rPr>
            </w:pPr>
          </w:p>
        </w:tc>
        <w:tc>
          <w:tcPr>
            <w:tcW w:w="434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State or Country of</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4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Incorporation or Formation</w:t>
            </w:r>
          </w:p>
        </w:tc>
        <w:tc>
          <w:tcPr>
            <w:tcW w:w="0" w:type="dxa"/>
            <w:vAlign w:val="bottom"/>
          </w:tcPr>
          <w:p>
            <w:pPr>
              <w:spacing w:after="0"/>
              <w:rPr>
                <w:sz w:val="1"/>
                <w:szCs w:val="1"/>
                <w:color w:val="auto"/>
              </w:rPr>
            </w:pPr>
          </w:p>
        </w:tc>
      </w:tr>
      <w:tr>
        <w:trPr>
          <w:trHeight w:val="48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Academy Holding Company,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Managing Co.,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50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Associated Investors,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Ltd.</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International Limited</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500"/>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Academy Procurement Co.,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Mason Creek Insurance Co., LLC</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20" w:hanging="94"/>
        <w:spacing w:after="0"/>
        <w:tabs>
          <w:tab w:leader="none" w:pos="1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Subsidiaries noted throughout this document may be direct or indirect subsidiaries of the Registrant.</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333-249233, 333-263944 and 333-274291 on Form S-8 of our reports dated March 17, 2026, relating to the consolidated financial statements of Academy Sports and Outdoors, Inc. and the effectiveness of Academy Sports and Outdoors, Inc.’s internal control over financial reporting appearing in this Annual Report on Form 10-K for the year ended January 31, 2026.</w:t>
      </w:r>
    </w:p>
    <w:p>
      <w:pPr>
        <w:spacing w:after="0" w:line="258"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Deloitte and Touche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17, 2026</w:t>
      </w:r>
    </w:p>
    <w:p>
      <w:pPr>
        <w:sectPr>
          <w:pgSz w:w="11900" w:h="16838" w:orient="portrait"/>
          <w:cols w:equalWidth="0" w:num="1">
            <w:col w:w="11240"/>
          </w:cols>
          <w:pgMar w:left="320" w:top="122"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January 31, 2026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17, 2026</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January 31, 2026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17, 2026</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Academy Sports and Outdoors, Inc. (the “Company”) for the fiscal year ended January 31, 2026, as filed with the Securities and Exchange Commission on the date hereof (the “Report”), I, Steven Lawrence, Chief Executive Officer of the Company, do hereby certify, pursuant to 18 U.S.C. Section 1350, as adopted pursuant to Section 906 of the Sarbanes-Oxley Act of 2002, that:</w:t>
      </w:r>
    </w:p>
    <w:p>
      <w:pPr>
        <w:spacing w:after="0" w:line="68"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17, 2026</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Academy Sports and Outdoors, Inc. (the “Company”) for the fiscal year ended January 31, 2026, as filed with the Securities and Exchange Commission on the date hereof (the “Report”), I, Earl Carlton Ford, IV, Executive Vice President and Chief Financial Officer of the Company, do hereby certify, pursuant to 18 U.S.C. Section 1350, as adopted pursuant to Section 906 of the Sarbanes-Oxley Act of 2002, that:</w:t>
      </w:r>
    </w:p>
    <w:p>
      <w:pPr>
        <w:spacing w:after="0" w:line="72"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45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March 17, 2026</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45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lvl w:ilvl="1">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lowerLetter"/>
      <w:start w:val="1"/>
    </w:lvl>
    <w:lvl w:ilvl="1">
      <w:lvlJc w:val="left"/>
      <w:lvlText w:val="(%2)"/>
      <w:numFmt w:val="decimal"/>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2"/>
    </w:lvl>
  </w:abstractNum>
  <w:abstractNum w:abstractNumId="45">
    <w:nsid w:val="235BA861"/>
    <w:multiLevelType w:val="hybridMultilevel"/>
    <w:lvl w:ilvl="0">
      <w:lvlJc w:val="left"/>
      <w:lvlText w:val="%1."/>
      <w:numFmt w:val="decimal"/>
      <w:start w:val="3"/>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5"/>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7"/>
    </w:lvl>
  </w:abstractNum>
  <w:abstractNum w:abstractNumId="53">
    <w:nsid w:val="61574095"/>
    <w:multiLevelType w:val="hybridMultilevel"/>
    <w:lvl w:ilvl="0">
      <w:lvlJc w:val="left"/>
      <w:lvlText w:val="%1."/>
      <w:numFmt w:val="decimal"/>
      <w:start w:val="8"/>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lowerRoman"/>
      <w:start w:val="2"/>
    </w:lvl>
  </w:abstractNum>
  <w:abstractNum w:abstractNumId="56">
    <w:nsid w:val="579BE4F1"/>
    <w:multiLevelType w:val="hybridMultilevel"/>
    <w:lvl w:ilvl="0">
      <w:lvlJc w:val="left"/>
      <w:lvlText w:val="%1."/>
      <w:numFmt w:val="decimal"/>
      <w:start w:val="9"/>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1"/>
    </w:lvl>
    <w:lvl w:ilvl="1">
      <w:lvlJc w:val="left"/>
      <w:lvlText w:val="(%2)"/>
      <w:numFmt w:val="decimal"/>
      <w:start w:val="1"/>
    </w:lvl>
  </w:abstractNum>
  <w:abstractNum w:abstractNumId="59">
    <w:nsid w:val="2F305DEF"/>
    <w:multiLevelType w:val="hybridMultilevel"/>
    <w:lvl w:ilvl="0">
      <w:lvlJc w:val="left"/>
      <w:lvlText w:val="%1."/>
      <w:numFmt w:val="decimal"/>
      <w:start w:val="12"/>
    </w:lvl>
    <w:lvl w:ilvl="1">
      <w:lvlJc w:val="left"/>
      <w:lvlText w:val="%2"/>
      <w:numFmt w:val="decimal"/>
      <w:start w:val="1"/>
    </w:lvl>
  </w:abstractNum>
  <w:abstractNum w:abstractNumId="60">
    <w:nsid w:val="25A70BF7"/>
    <w:multiLevelType w:val="hybridMultilevel"/>
    <w:lvl w:ilvl="0">
      <w:lvlJc w:val="left"/>
      <w:lvlText w:val="%1."/>
      <w:numFmt w:val="decimal"/>
      <w:start w:val="13"/>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0"/>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1"/>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9"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18" Type="http://schemas.openxmlformats.org/officeDocument/2006/relationships/hyperlink" Target="https://www.sec.gov/Archives/edgar/data/1817358/000181735825000102/exhibit32.htm" TargetMode="External"/><Relationship Id="rId119" Type="http://schemas.openxmlformats.org/officeDocument/2006/relationships/hyperlink" Target="https://www.sec.gov/Archives/edgar/data/1817358/000181735825000015/ex31aso-revcleanamendedand.htm" TargetMode="External"/><Relationship Id="rId120" Type="http://schemas.openxmlformats.org/officeDocument/2006/relationships/hyperlink" Target="http://www.sec.gov/Archives/edgar/data/0001817358/000119312520287988/d22150dex41.htm" TargetMode="External"/><Relationship Id="rId121" Type="http://schemas.openxmlformats.org/officeDocument/2006/relationships/hyperlink" Target="http://www.sec.gov/Archives/edgar/data/0001817358/000119312520287988/d22150dex101.htm" TargetMode="External"/><Relationship Id="rId122" Type="http://schemas.openxmlformats.org/officeDocument/2006/relationships/hyperlink" Target="http://www.sec.gov/Archives/edgar/data/0001817358/000181735821000102/exh101-asoxamendmentno4r.htm" TargetMode="External"/><Relationship Id="rId123" Type="http://schemas.openxmlformats.org/officeDocument/2006/relationships/hyperlink" Target="http://www.sec.gov/Archives/edgar/data/1817358/000181735823000186/exhibit101conformingchange.htm" TargetMode="External"/><Relationship Id="rId124" Type="http://schemas.openxmlformats.org/officeDocument/2006/relationships/hyperlink" Target="http://www.sec.gov/Archives/edgar/data/0001817358/000119312520242076/d934024dex102.htm" TargetMode="External"/><Relationship Id="rId125" Type="http://schemas.openxmlformats.org/officeDocument/2006/relationships/hyperlink" Target="http://www.sec.gov/Archives/edgar/data/0001817358/000119312520242076/d934024dex103.htm" TargetMode="External"/><Relationship Id="rId126" Type="http://schemas.openxmlformats.org/officeDocument/2006/relationships/hyperlink" Target="http://www.sec.gov/Archives/edgar/data/0001817358/000119312520242076/d934024dex104.htm" TargetMode="External"/><Relationship Id="rId127" Type="http://schemas.openxmlformats.org/officeDocument/2006/relationships/hyperlink" Target="http://www.sec.gov/Archives/edgar/data/0001817358/000119312521016235/d103203dex105.htm" TargetMode="External"/><Relationship Id="rId128" Type="http://schemas.openxmlformats.org/officeDocument/2006/relationships/hyperlink" Target="http://www.sec.gov/Archives/edgar/data/0001817358/000119312521016235/d103203dex106.htm" TargetMode="External"/><Relationship Id="rId130" Type="http://schemas.openxmlformats.org/officeDocument/2006/relationships/hyperlink" Target="http://www.sec.gov/Archives/edgar/data/0001817358/000119312521016235/d103203dex107.htm" TargetMode="External"/><Relationship Id="rId131" Type="http://schemas.openxmlformats.org/officeDocument/2006/relationships/hyperlink" Target="http://www.sec.gov/Archives/edgar/data/0001817358/000119312520242076/d934024dex107.htm" TargetMode="External"/><Relationship Id="rId132" Type="http://schemas.openxmlformats.org/officeDocument/2006/relationships/hyperlink" Target="http://www.sec.gov/Archives/edgar/data/0001817358/000119312520242076/d934024dex108.htm" TargetMode="External"/><Relationship Id="rId133" Type="http://schemas.openxmlformats.org/officeDocument/2006/relationships/hyperlink" Target="http://www.sec.gov/Archives/edgar/data/0001817358/000119312520242076/d934024dex105.htm" TargetMode="External"/><Relationship Id="rId134" Type="http://schemas.openxmlformats.org/officeDocument/2006/relationships/hyperlink" Target="https://www.sec.gov/Archives/edgar/data/0001817358/000119312520242076/d934024dex106.htm" TargetMode="External"/><Relationship Id="rId135" Type="http://schemas.openxmlformats.org/officeDocument/2006/relationships/hyperlink" Target="http://www.sec.gov/Archives/edgar/data/0001817358/000119312520287988/d22150dex102.htm" TargetMode="External"/><Relationship Id="rId136" Type="http://schemas.openxmlformats.org/officeDocument/2006/relationships/hyperlink" Target="http://www.sec.gov/Archives/edgar/data/1817358/000181735823000153/exhibit101-ablamendment.htm" TargetMode="External"/><Relationship Id="rId137" Type="http://schemas.openxmlformats.org/officeDocument/2006/relationships/hyperlink" Target="http://www.sec.gov/Archives/edgar/data/1817358/000181735824000026/exhibit101-asoxamendment.htm" TargetMode="External"/><Relationship Id="rId138" Type="http://schemas.openxmlformats.org/officeDocument/2006/relationships/hyperlink" Target="http://www.sec.gov/Archives/edgar/data/0001817358/000119312521016235/d103203dex1013.htm" TargetMode="External"/><Relationship Id="rId139" Type="http://schemas.openxmlformats.org/officeDocument/2006/relationships/hyperlink" Target="http://www.sec.gov/Archives/edgar/data/0001817358/000119312521016235/d103203dex1014.htm" TargetMode="External"/><Relationship Id="rId140" Type="http://schemas.openxmlformats.org/officeDocument/2006/relationships/hyperlink" Target="http://www.sec.gov/Archives/edgar/data/1817358/000181735822000158/a102aso2022formofnon-emplo.htm" TargetMode="External"/><Relationship Id="rId141" Type="http://schemas.openxmlformats.org/officeDocument/2006/relationships/hyperlink" Target="https://www.sec.gov/Archives/edgar/data/1817358/000181735825000119/exhibit101q12025.htm" TargetMode="External"/><Relationship Id="rId144" Type="http://schemas.openxmlformats.org/officeDocument/2006/relationships/hyperlink" Target="https://www.sec.gov/Archives/edgar/data/1817358/000181735825000119/exhibit102q12025.htm" TargetMode="External"/><Relationship Id="rId145" Type="http://schemas.openxmlformats.org/officeDocument/2006/relationships/hyperlink" Target="https://www.sec.gov/Archives/edgar/data/1817358/000181735825000119/exhibit103q12025.htm" TargetMode="External"/><Relationship Id="rId146" Type="http://schemas.openxmlformats.org/officeDocument/2006/relationships/hyperlink" Target="http://www.sec.gov/Archives/edgar/data/1817358/000181735822000119/exhibit102-ceotimeoptions.htm" TargetMode="External"/><Relationship Id="rId147" Type="http://schemas.openxmlformats.org/officeDocument/2006/relationships/hyperlink" Target="http://www.sec.gov/Archives/edgar/data/1817358/000181735823000186/exhibit103-ecmay2023formof.htm" TargetMode="External"/><Relationship Id="rId148" Type="http://schemas.openxmlformats.org/officeDocument/2006/relationships/hyperlink" Target="http://www.sec.gov/Archives/edgar/data/1817358/000181735823000186/exhibit104-ecmay2023formof.htm" TargetMode="External"/><Relationship Id="rId149" Type="http://schemas.openxmlformats.org/officeDocument/2006/relationships/hyperlink" Target="http://www.sec.gov/Archives/edgar/data/1817358/000181735823000153/exhibit103-ec2023formoftim.htm" TargetMode="External"/><Relationship Id="rId150" Type="http://schemas.openxmlformats.org/officeDocument/2006/relationships/hyperlink" Target="http://www.sec.gov/Archives/edgar/data/1817358/000181735823000153/exhibit104-ec2023formoftim.htm" TargetMode="External"/><Relationship Id="rId151" Type="http://schemas.openxmlformats.org/officeDocument/2006/relationships/hyperlink" Target="http://www.sec.gov/Archives/edgar/data/1817358/000181735822000119/exhibit104-ectimersuagreem.htm" TargetMode="External"/><Relationship Id="rId152" Type="http://schemas.openxmlformats.org/officeDocument/2006/relationships/hyperlink" Target="http://www.sec.gov/Archives/edgar/data/1817358/000181735822000119/exhibit105-ectimeoptiongra.htm" TargetMode="External"/><Relationship Id="rId153" Type="http://schemas.openxmlformats.org/officeDocument/2006/relationships/hyperlink" Target="https://www.sec.gov/Archives/edgar/data/1817358/000181735823000123/exhibit101-aromnibusincent.htm" TargetMode="External"/><Relationship Id="rId154" Type="http://schemas.openxmlformats.org/officeDocument/2006/relationships/hyperlink" Target="http://www.sec.gov/Archives/edgar/data/0001817358/000119312520252290/d934024dex1010.htm" TargetMode="External"/><Relationship Id="rId155" Type="http://schemas.openxmlformats.org/officeDocument/2006/relationships/hyperlink" Target="http://www.sec.gov/Archives/edgar/data/1817358/000119312520242076/d934024dex1013.htm" TargetMode="External"/><Relationship Id="rId156" Type="http://schemas.openxmlformats.org/officeDocument/2006/relationships/hyperlink" Target="https://www.sec.gov/Archives/edgar/data/1817358/000119312520242076/d934024dex1014.htm" TargetMode="External"/><Relationship Id="rId157" Type="http://schemas.openxmlformats.org/officeDocument/2006/relationships/hyperlink" Target="http://www.sec.gov/Archives/edgar/data/1817358/000119312520242076/d934024dex1015.htm" TargetMode="External"/><Relationship Id="rId158" Type="http://schemas.openxmlformats.org/officeDocument/2006/relationships/hyperlink" Target="http://www.sec.gov/Archives/edgar/data/1817358/000119312520242076/d934024dex1016.htm" TargetMode="External"/><Relationship Id="rId159" Type="http://schemas.openxmlformats.org/officeDocument/2006/relationships/hyperlink" Target="http://www.sec.gov/Archives/edgar/data/1817358/000119312520242076/d934024dex1017.htm" TargetMode="External"/><Relationship Id="rId160" Type="http://schemas.openxmlformats.org/officeDocument/2006/relationships/hyperlink" Target="http://www.sec.gov/Archives/edgar/data/1817358/000119312520242076/d934024dex1018.htm" TargetMode="External"/><Relationship Id="rId161" Type="http://schemas.openxmlformats.org/officeDocument/2006/relationships/hyperlink" Target="http://www.sec.gov/Archives/edgar/data/0001817358/000181735821000059/exhibit1027.htm" TargetMode="External"/><Relationship Id="rId162" Type="http://schemas.openxmlformats.org/officeDocument/2006/relationships/hyperlink" Target="http://www.sec.gov/Archives/edgar/data/1817358/000119312520242076/d934024dex1021.htm" TargetMode="External"/><Relationship Id="rId163" Type="http://schemas.openxmlformats.org/officeDocument/2006/relationships/hyperlink" Target="http://www.sec.gov/Archives/edgar/data/1817358/000119312520242076/d934024dex1027.htm" TargetMode="External"/><Relationship Id="rId164" Type="http://schemas.openxmlformats.org/officeDocument/2006/relationships/hyperlink" Target="http://www.sec.gov/Archives/edgar/data/1817358/000119312520242076/d934024dex1028.htm" TargetMode="External"/><Relationship Id="rId165" Type="http://schemas.openxmlformats.org/officeDocument/2006/relationships/hyperlink" Target="https://www.sec.gov/Archives/edgar/data/1817358/000181735823000087/ex102toform8-k4272023.htm" TargetMode="External"/><Relationship Id="rId168" Type="http://schemas.openxmlformats.org/officeDocument/2006/relationships/hyperlink" Target="http://www.sec.gov/Archives/edgar/data/1817358/000181735823000215/exhibit101toformjohnsonemp.htm" TargetMode="External"/><Relationship Id="rId169" Type="http://schemas.openxmlformats.org/officeDocument/2006/relationships/hyperlink" Target="http://www.sec.gov/Archives/edgar/data/1817358/000181735823000175/exhibit101toformfordemploy.htm" TargetMode="External"/><Relationship Id="rId170" Type="http://schemas.openxmlformats.org/officeDocument/2006/relationships/hyperlink" Target="http://www.sec.gov/Archives/edgar/data/0001817358/000119312520252290/d934024dex1034.htm" TargetMode="External"/><Relationship Id="rId171" Type="http://schemas.openxmlformats.org/officeDocument/2006/relationships/hyperlink" Target="http://www.sec.gov/Archives/edgar/data/0001817358/000119312520252290/d934024dex1037.htm" TargetMode="External"/><Relationship Id="rId172" Type="http://schemas.openxmlformats.org/officeDocument/2006/relationships/hyperlink" Target="https://www.sec.gov/Archives/edgar/data/1817358/000181735825000158/exhibit101q22025.htm" TargetMode="External"/><Relationship Id="rId173" Type="http://schemas.openxmlformats.org/officeDocument/2006/relationships/hyperlink" Target="https://www.sec.gov/Archives/edgar/data/1817358/000181735824000124/exhibit101q12024.htm" TargetMode="External"/><Relationship Id="rId174" Type="http://schemas.openxmlformats.org/officeDocument/2006/relationships/hyperlink" Target="https://www.sec.gov/Archives/edgar/data/1817358/000181735825000027/exhibit191-insidertradingp.htm" TargetMode="External"/><Relationship Id="rId175" Type="http://schemas.openxmlformats.org/officeDocument/2006/relationships/hyperlink" Target="https://www.sec.gov/Archives/edgar/data/1817358/000181735824000042/exhibit971-asoclawback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2026-03-17T15:19:01Z</dcterms:created>
  <dcterms:modified xsi:type="dcterms:W3CDTF">2026-03-17T15:19:01Z</dcterms:modified>
</cp:coreProperties>
</file>