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356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356225"/>
                    </a:xfrm>
                    <a:prstGeom prst="rect">
                      <a:avLst/>
                    </a:prstGeom>
                    <a:noFill/>
                  </pic:spPr>
                </pic:pic>
              </a:graphicData>
            </a:graphic>
          </wp:anchor>
        </w:drawing>
      </w:r>
    </w:p>
    <w:p>
      <w:pPr>
        <w:spacing w:after="0" w:line="1249"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McCabe Matthew M.</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4"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77449</w:t>
      </w:r>
    </w:p>
    <w:p>
      <w:pPr>
        <w:spacing w:after="0" w:line="3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3840" w:type="dxa"/>
            <w:vAlign w:val="bottom"/>
            <w:gridSpan w:val="4"/>
          </w:tcPr>
          <w:p>
            <w:pPr>
              <w:ind w:left="60"/>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160" w:type="dxa"/>
            <w:vAlign w:val="bottom"/>
          </w:tcPr>
          <w:p>
            <w:pPr>
              <w:ind w:left="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4"/>
        </w:trPr>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80" w:type="dxa"/>
            <w:vAlign w:val="bottom"/>
          </w:tcPr>
          <w:p>
            <w:pPr>
              <w:spacing w:after="0"/>
              <w:rPr>
                <w:sz w:val="7"/>
                <w:szCs w:val="7"/>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94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w w:val="99"/>
              </w:rPr>
              <w:t>EVP &amp; CMO</w:t>
            </w: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03/04/2026</w:t>
            </w: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92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03/04/2026</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135</w:t>
            </w:r>
          </w:p>
        </w:tc>
        <w:tc>
          <w:tcPr>
            <w:tcW w:w="6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19,278</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03/04/2026</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Pr>
          <w:p>
            <w:pPr>
              <w:spacing w:after="0"/>
              <w:rPr>
                <w:sz w:val="22"/>
                <w:szCs w:val="22"/>
                <w:color w:val="auto"/>
              </w:rPr>
            </w:pPr>
          </w:p>
        </w:tc>
        <w:tc>
          <w:tcPr>
            <w:tcW w:w="5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61</w:t>
            </w:r>
          </w:p>
        </w:tc>
        <w:tc>
          <w:tcPr>
            <w:tcW w:w="6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59.78</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19,217</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135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03/04/2026</w:t>
            </w:r>
          </w:p>
        </w:tc>
        <w:tc>
          <w:tcPr>
            <w:tcW w:w="1080" w:type="dxa"/>
            <w:vAlign w:val="bottom"/>
          </w:tcPr>
          <w:p>
            <w:pPr>
              <w:spacing w:after="0"/>
              <w:rPr>
                <w:sz w:val="6"/>
                <w:szCs w:val="6"/>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6"/>
                <w:szCs w:val="6"/>
                <w:color w:val="auto"/>
              </w:rPr>
            </w:pPr>
          </w:p>
        </w:tc>
        <w:tc>
          <w:tcPr>
            <w:tcW w:w="76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135</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gridSpan w:val="2"/>
            <w:vMerge w:val="restart"/>
          </w:tcPr>
          <w:p>
            <w:pPr>
              <w:jc w:val="right"/>
              <w:ind w:right="33"/>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-2127885</wp:posOffset>
            </wp:positionV>
            <wp:extent cx="29210" cy="2132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29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jc w:val="both"/>
        <w:ind w:left="40" w:right="26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2,125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1,990 PRSUs were deemed earned and have fully vested as of January 30, 2026. On March 4, 2026, the Issuer's compensation committee certified achievement of certain Issuer stock price conditions as of January 30, 2026, meaning that the remaining unearned amount of this grant (i.e., 135 PRSUs) was deemed earned and vested as of the date of such certification.</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03/05/2026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82441"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2026-03-05T17:30:28Z</dcterms:created>
  <dcterms:modified xsi:type="dcterms:W3CDTF">2026-03-05T17:30:28Z</dcterms:modified>
</cp:coreProperties>
</file>