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6324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32460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636"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05/30/2024</w:t>
            </w: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92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Executive Chairman</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6" w:right="359" w:bottom="63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05/30/2024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9"/>
              </w:rPr>
              <w:t>1,243</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4"/>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496,094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05/30/2024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rPr>
              <w:t>617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56.65</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495,477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05/31/2024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w w:val="99"/>
              </w:rPr>
              <w:t>1,274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74"/>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496,751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71"/>
              <w:spacing w:after="0"/>
              <w:rPr>
                <w:sz w:val="20"/>
                <w:szCs w:val="20"/>
                <w:color w:val="auto"/>
              </w:rPr>
            </w:pPr>
            <w:r>
              <w:rPr>
                <w:rFonts w:ascii="Times New Roman" w:cs="Times New Roman" w:eastAsia="Times New Roman" w:hAnsi="Times New Roman"/>
                <w:sz w:val="17"/>
                <w:szCs w:val="17"/>
                <w:color w:val="0000FF"/>
              </w:rPr>
              <w:t>05/31/2024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0000FF"/>
              </w:rPr>
              <w:t>632</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57.95</w:t>
            </w: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496,119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05/30/2024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1,243</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28,933</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05/31/2024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1,274</w:t>
            </w:r>
          </w:p>
        </w:tc>
        <w:tc>
          <w:tcPr>
            <w:tcW w:w="760" w:type="dxa"/>
            <w:vAlign w:val="bottom"/>
            <w:gridSpan w:val="2"/>
          </w:tcPr>
          <w:p>
            <w:pPr>
              <w:jc w:val="center"/>
              <w:ind w:right="18"/>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10,192</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-2493645</wp:posOffset>
            </wp:positionV>
            <wp:extent cx="29210" cy="2498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987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PRSUs. These PRSUs vest if certain performance criteria and/or Issuer stock price conditions are met and certified by the Issuer's compensation committee. Following certification of 100% achievement of the performance criteria during fiscal 2021 by the Issuer's compensation committee on March 2, 2022, 1/48 of the total PRSUs granted will vest for every monthly anniversary since the Vesting Commencement Date (i.e., January 31, 2021), and thereafter on each monthly anniversary of the Vesting Commencement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05/31/2024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6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2024-05-31T16:08:14Z</dcterms:created>
  <dcterms:modified xsi:type="dcterms:W3CDTF">2024-05-31T16:08:14Z</dcterms:modified>
</cp:coreProperties>
</file>