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7043420" cy="496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4961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58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Ennis William 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2"/>
                <w:szCs w:val="12"/>
                <w:color w:val="auto"/>
              </w:rPr>
            </w:pPr>
          </w:p>
        </w:tc>
        <w:tc>
          <w:tcPr>
            <w:tcW w:w="1160" w:type="dxa"/>
            <w:vAlign w:val="bottom"/>
          </w:tcPr>
          <w:p>
            <w:pPr>
              <w:ind w:left="2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380"/>
              <w:spacing w:after="0" w:line="133"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9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60"/>
        <w:spacing w:after="0" w:line="239" w:lineRule="auto"/>
        <w:rPr>
          <w:sz w:val="20"/>
          <w:szCs w:val="20"/>
          <w:color w:val="auto"/>
        </w:rPr>
      </w:pPr>
      <w:r>
        <w:rPr>
          <w:rFonts w:ascii="Arial" w:cs="Arial" w:eastAsia="Arial" w:hAnsi="Arial"/>
          <w:sz w:val="14"/>
          <w:szCs w:val="14"/>
          <w:color w:val="008000"/>
        </w:rPr>
        <w:t>This "Exit" Form 4 is voluntarily filed solely to report that the Reporting Person is no longer subject to Section 16 reporting, effective as of June 1, 2023, and, therefore, will no longer report any transactions in the Issuer's securities on Forms 4 or 5. The former Reporting Person remains in the role of SVP, CHRO.</w:t>
      </w:r>
    </w:p>
    <w:p>
      <w:pPr>
        <w:ind w:left="6580"/>
        <w:spacing w:after="0" w:line="183"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3"/>
          <w:szCs w:val="33"/>
          <w:color w:val="0000FF"/>
          <w:vertAlign w:val="subscript"/>
        </w:rPr>
        <w:t>06/01/2023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1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2023-06-01T15:55:02Z</dcterms:created>
  <dcterms:modified xsi:type="dcterms:W3CDTF">2023-06-01T15:55:02Z</dcterms:modified>
</cp:coreProperties>
</file>