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892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230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Davis Heather 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line="279" w:lineRule="auto"/>
        <w:rPr>
          <w:sz w:val="20"/>
          <w:szCs w:val="20"/>
          <w:color w:val="auto"/>
        </w:rPr>
      </w:pPr>
      <w:r>
        <w:rPr>
          <w:rFonts w:ascii="Arial" w:cs="Arial" w:eastAsia="Arial" w:hAnsi="Arial"/>
          <w:sz w:val="17"/>
          <w:szCs w:val="17"/>
          <w:color w:val="0000FF"/>
        </w:rPr>
        <w:t>C/O ACADEMY SPORTS AND OUTDOORS, INC.</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29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3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Academy Sports &amp; Outdoors,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bottom w:val="single" w:sz="8" w:color="2C2C2C"/>
            </w:tcBorders>
          </w:tcPr>
          <w:p>
            <w:pPr>
              <w:spacing w:after="0"/>
              <w:rPr>
                <w:sz w:val="6"/>
                <w:szCs w:val="6"/>
                <w:color w:val="auto"/>
              </w:rPr>
            </w:pPr>
          </w:p>
        </w:tc>
        <w:tc>
          <w:tcPr>
            <w:tcW w:w="3640" w:type="dxa"/>
            <w:vAlign w:val="bottom"/>
            <w:tcBorders>
              <w:bottom w:val="single" w:sz="8" w:color="2C2C2C"/>
            </w:tcBorders>
          </w:tcPr>
          <w:p>
            <w:pPr>
              <w:spacing w:after="0"/>
              <w:rPr>
                <w:sz w:val="6"/>
                <w:szCs w:val="6"/>
                <w:color w:val="auto"/>
              </w:rPr>
            </w:pPr>
          </w:p>
        </w:tc>
        <w:tc>
          <w:tcPr>
            <w:tcW w:w="48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87"/>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03/04/2021</w:t>
            </w:r>
          </w:p>
        </w:tc>
        <w:tc>
          <w:tcPr>
            <w:tcW w:w="4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384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269240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485" w:lineRule="exact"/>
        <w:rPr>
          <w:sz w:val="24"/>
          <w:szCs w:val="24"/>
          <w:color w:val="auto"/>
        </w:rPr>
      </w:pPr>
    </w:p>
    <w:p>
      <w:pPr>
        <w:sectPr>
          <w:pgSz w:w="11900" w:h="16838" w:orient="portrait"/>
          <w:cols w:equalWidth="0" w:num="2">
            <w:col w:w="3360" w:space="4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03/04/2021</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Arial" w:cs="Arial" w:eastAsia="Arial" w:hAnsi="Arial"/>
                <w:sz w:val="17"/>
                <w:szCs w:val="17"/>
                <w:color w:val="0000FF"/>
              </w:rPr>
              <w:t>543</w:t>
            </w:r>
          </w:p>
        </w:tc>
        <w:tc>
          <w:tcPr>
            <w:tcW w:w="64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6,773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03/04/2021</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318</w:t>
            </w:r>
            <w:r>
              <w:rPr>
                <w:rFonts w:ascii="Arial" w:cs="Arial" w:eastAsia="Arial" w:hAnsi="Arial"/>
                <w:sz w:val="21"/>
                <w:szCs w:val="21"/>
                <w:color w:val="008000"/>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25.21</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6,455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543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03/04/2021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3" w:lineRule="exact"/>
              <w:rPr>
                <w:sz w:val="20"/>
                <w:szCs w:val="20"/>
                <w:color w:val="auto"/>
              </w:rPr>
            </w:pPr>
            <w:r>
              <w:rPr>
                <w:rFonts w:ascii="Arial" w:cs="Arial" w:eastAsia="Arial" w:hAnsi="Arial"/>
                <w:sz w:val="13"/>
                <w:szCs w:val="13"/>
                <w:color w:val="0000FF"/>
              </w:rPr>
              <w:t>543</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12/09/2030</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w w:val="98"/>
              </w:rPr>
              <w:t>1,630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withheld to cover the Reporting Person's tax liability in connection with the vesting of restricted stock units previously granted to the Reporting Person.</w:t>
      </w:r>
    </w:p>
    <w:p>
      <w:pPr>
        <w:spacing w:after="0" w:line="45" w:lineRule="exact"/>
        <w:rPr>
          <w:rFonts w:ascii="Arial" w:cs="Arial" w:eastAsia="Arial" w:hAnsi="Arial"/>
          <w:sz w:val="13"/>
          <w:szCs w:val="13"/>
          <w:color w:val="008000"/>
        </w:rPr>
      </w:pPr>
    </w:p>
    <w:p>
      <w:pPr>
        <w:ind w:left="40" w:right="420" w:firstLine="3"/>
        <w:spacing w:after="0" w:line="271"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9, 2020, the Reporting Person was granted 2,173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2020 by the Issuer's compensation committee on March 4, 2021, 25% of this grant vested on March 4, 2021, and the remaining 75% will vest in three equal annual installments beginning on February 2,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SVP, Accounting, Treasury, and Tax</w:t>
      </w:r>
    </w:p>
    <w:p>
      <w:pPr>
        <w:spacing w:after="0" w:line="5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Janet Morrow,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03/05/2021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6144"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2021-03-05T17:55:32Z</dcterms:created>
  <dcterms:modified xsi:type="dcterms:W3CDTF">2021-03-05T17:55:32Z</dcterms:modified>
</cp:coreProperties>
</file>