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760" w:right="1400" w:hanging="2567"/>
        <w:spacing w:after="0" w:line="280" w:lineRule="auto"/>
        <w:tabs>
          <w:tab w:leader="none" w:pos="13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August 3, 2024</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184785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ind w:right="220"/>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1016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4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right="22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September 3, 2024, Academy Sports and Outdoors, Inc. had 70,308,612 shares of common stock, par value $0.01 per share, outstanding.</w:t>
      </w:r>
    </w:p>
    <w:p>
      <w:pPr>
        <w:sectPr>
          <w:pgSz w:w="11900" w:h="16838" w:orient="portrait"/>
          <w:cols w:equalWidth="0" w:num="1">
            <w:col w:w="11020"/>
          </w:cols>
          <w:pgMar w:left="540" w:top="581"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ind w:left="109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5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August 3, 2024</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3, 2024</w:t>
            </w:r>
          </w:p>
        </w:tc>
        <w:tc>
          <w:tcPr>
            <w:tcW w:w="220" w:type="dxa"/>
            <w:vAlign w:val="bottom"/>
          </w:tcPr>
          <w:p>
            <w:pPr>
              <w:spacing w:after="0"/>
              <w:rPr>
                <w:sz w:val="20"/>
                <w:szCs w:val="20"/>
                <w:color w:val="auto"/>
              </w:rPr>
            </w:pP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29, 2023</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324,568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347,920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311,336</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$2,080, $2,217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12,812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19,371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14,625</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$2,534, respectively</w:t>
            </w: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1,366,616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1,194,159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1,309,033</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108,392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80,490</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1,812,388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1,644,900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1,715,484</w:t>
            </w:r>
          </w:p>
        </w:tc>
        <w:tc>
          <w:tcPr>
            <w:tcW w:w="0" w:type="dxa"/>
            <w:vAlign w:val="bottom"/>
          </w:tcPr>
          <w:p>
            <w:pPr>
              <w:spacing w:after="0"/>
              <w:rPr>
                <w:sz w:val="1"/>
                <w:szCs w:val="1"/>
                <w:color w:val="auto"/>
              </w:rPr>
            </w:pPr>
          </w:p>
        </w:tc>
      </w:tr>
      <w:tr>
        <w:trPr>
          <w:trHeight w:val="94"/>
        </w:trPr>
        <w:tc>
          <w:tcPr>
            <w:tcW w:w="6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470,752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445,209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404,967</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1,103,242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1,111,237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1,091,145</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578,550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578,236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577,929</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47,506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23,971</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4,874,358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4,676,713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4,675,416</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704,578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541,077</w:t>
            </w:r>
          </w:p>
        </w:tc>
        <w:tc>
          <w:tcPr>
            <w:tcW w:w="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669,832</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259,069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217,932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234,011</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124,628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112,936</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1,091,275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879,858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1,019,779</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483,617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484,551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583,729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1,083,390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1,091,294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1,060,996</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252,919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260,909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10,763</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11,964</w:t>
            </w:r>
          </w:p>
        </w:tc>
        <w:tc>
          <w:tcPr>
            <w:tcW w:w="0" w:type="dxa"/>
            <w:vAlign w:val="bottom"/>
          </w:tcPr>
          <w:p>
            <w:pPr>
              <w:spacing w:after="0"/>
              <w:rPr>
                <w:sz w:val="1"/>
                <w:szCs w:val="1"/>
                <w:color w:val="auto"/>
              </w:rPr>
            </w:pPr>
          </w:p>
        </w:tc>
      </w:tr>
      <w:tr>
        <w:trPr>
          <w:trHeight w:val="221"/>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2,921,964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2,722,063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2,937,377</w:t>
            </w:r>
          </w:p>
        </w:tc>
        <w:tc>
          <w:tcPr>
            <w:tcW w:w="0" w:type="dxa"/>
            <w:vAlign w:val="bottom"/>
          </w:tcPr>
          <w:p>
            <w:pPr>
              <w:spacing w:after="0"/>
              <w:rPr>
                <w:sz w:val="1"/>
                <w:szCs w:val="1"/>
                <w:color w:val="auto"/>
              </w:rPr>
            </w:pPr>
          </w:p>
        </w:tc>
      </w:tr>
      <w:tr>
        <w:trPr>
          <w:trHeight w:val="76"/>
        </w:trPr>
        <w:tc>
          <w:tcPr>
            <w:tcW w:w="6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80" w:type="dxa"/>
            <w:vAlign w:val="bottom"/>
            <w:shd w:val="clear" w:color="auto" w:fill="CCEEFF"/>
          </w:tcPr>
          <w:p>
            <w:pPr>
              <w:ind w:left="240"/>
              <w:spacing w:after="0" w:line="169"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20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20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Common stock, $0.01 par value, authorized 300,000,000 shares; 70,915,916;</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tcPr>
          <w:p>
            <w:pPr>
              <w:ind w:left="240"/>
              <w:spacing w:after="0" w:line="171" w:lineRule="exact"/>
              <w:rPr>
                <w:sz w:val="20"/>
                <w:szCs w:val="20"/>
                <w:color w:val="auto"/>
              </w:rPr>
            </w:pPr>
            <w:r>
              <w:rPr>
                <w:rFonts w:ascii="Times New Roman" w:cs="Times New Roman" w:eastAsia="Times New Roman" w:hAnsi="Times New Roman"/>
                <w:sz w:val="17"/>
                <w:szCs w:val="17"/>
                <w:color w:val="auto"/>
              </w:rPr>
              <w:t>74,349,927 and 74,845,563 issued and outstanding as of August 3, 2024, February 3,</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0" w:type="dxa"/>
            <w:vAlign w:val="bottom"/>
          </w:tcPr>
          <w:p>
            <w:pPr>
              <w:spacing w:after="0"/>
              <w:rPr>
                <w:sz w:val="1"/>
                <w:szCs w:val="1"/>
                <w:color w:val="auto"/>
              </w:rPr>
            </w:pPr>
          </w:p>
        </w:tc>
      </w:tr>
      <w:tr>
        <w:trPr>
          <w:trHeight w:val="226"/>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2024 and July 29, 2023, respectively.</w:t>
            </w: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244,584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242,098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236,789</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1,707,101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1,711,809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1,500,502</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1,952,394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1,954,650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1,738,039</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4,874,358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4,676,713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4,675,416</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1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1,548,980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1,583,077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2,913,200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2,966,686</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1,898,681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1,936,125</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1,030,561</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368,639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722,050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693,402</w:t>
            </w:r>
          </w:p>
        </w:tc>
        <w:tc>
          <w:tcPr>
            <w:tcW w:w="0" w:type="dxa"/>
            <w:vAlign w:val="bottom"/>
          </w:tcPr>
          <w:p>
            <w:pPr>
              <w:spacing w:after="0"/>
              <w:rPr>
                <w:sz w:val="1"/>
                <w:szCs w:val="1"/>
                <w:color w:val="auto"/>
              </w:rPr>
            </w:pPr>
          </w:p>
        </w:tc>
      </w:tr>
      <w:tr>
        <w:trPr>
          <w:trHeight w:val="223"/>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337,159</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186,546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321,952</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70,907</w:t>
            </w:r>
          </w:p>
        </w:tc>
        <w:tc>
          <w:tcPr>
            <w:tcW w:w="0" w:type="dxa"/>
            <w:vAlign w:val="bottom"/>
          </w:tcPr>
          <w:p>
            <w:pPr>
              <w:spacing w:after="0"/>
              <w:rPr>
                <w:sz w:val="1"/>
                <w:szCs w:val="1"/>
                <w:color w:val="auto"/>
              </w:rPr>
            </w:pPr>
          </w:p>
        </w:tc>
      </w:tr>
      <w:tr>
        <w:trPr>
          <w:trHeight w:val="223"/>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251,045</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75"/>
        </w:trPr>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$ 1,711,809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1,954,650</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(1,984)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(115,856)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(123,500)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4,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240,559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$ 1,664,236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1,905,521</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(1,810)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(98,781)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(7,921)</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3,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70,916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244,584</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$ 1,707,101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1,952,394</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28,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$ 1,411,330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1,628,306</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$ 1,450,565</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1,680,962</w:t>
            </w:r>
          </w:p>
        </w:tc>
        <w:tc>
          <w:tcPr>
            <w:tcW w:w="0" w:type="dxa"/>
            <w:vAlign w:val="bottom"/>
          </w:tcPr>
          <w:p>
            <w:pPr>
              <w:spacing w:after="0"/>
              <w:rPr>
                <w:sz w:val="1"/>
                <w:szCs w:val="1"/>
                <w:color w:val="auto"/>
              </w:rPr>
            </w:pPr>
          </w:p>
        </w:tc>
      </w:tr>
      <w:tr>
        <w:trPr>
          <w:trHeight w:val="45"/>
        </w:trPr>
        <w:tc>
          <w:tcPr>
            <w:tcW w:w="60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157,075</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(107,349)</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July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236,789</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$ 1,500,502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1,738,039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20" w:type="dxa"/>
            <w:vAlign w:val="bottom"/>
          </w:tcPr>
          <w:p>
            <w:pPr>
              <w:spacing w:after="0"/>
              <w:rPr>
                <w:sz w:val="19"/>
                <w:szCs w:val="19"/>
                <w:color w:val="auto"/>
              </w:rPr>
            </w:pP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219,053</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251,045</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52,021</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 w:type="dxa"/>
            <w:vAlign w:val="bottom"/>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20" w:type="dxa"/>
            <w:vAlign w:val="bottom"/>
          </w:tcPr>
          <w:p>
            <w:pPr>
              <w:spacing w:after="0"/>
              <w:rPr>
                <w:sz w:val="19"/>
                <w:szCs w:val="19"/>
                <w:color w:val="auto"/>
              </w:rPr>
            </w:pP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153,613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0" w:type="dxa"/>
            <w:vAlign w:val="bottom"/>
          </w:tcPr>
          <w:p>
            <w:pPr>
              <w:spacing w:after="0"/>
              <w:rPr>
                <w:sz w:val="19"/>
                <w:szCs w:val="19"/>
                <w:color w:val="auto"/>
              </w:rPr>
            </w:pP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9"/>
                <w:szCs w:val="19"/>
                <w:color w:val="auto"/>
              </w:rPr>
            </w:pPr>
          </w:p>
        </w:tc>
      </w:tr>
      <w:tr>
        <w:trPr>
          <w:trHeight w:val="223"/>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243,566</w:t>
            </w:r>
          </w:p>
        </w:tc>
        <w:tc>
          <w:tcPr>
            <w:tcW w:w="20" w:type="dxa"/>
            <w:vAlign w:val="bottom"/>
          </w:tcPr>
          <w:p>
            <w:pPr>
              <w:spacing w:after="0"/>
              <w:rPr>
                <w:sz w:val="19"/>
                <w:szCs w:val="19"/>
                <w:color w:val="auto"/>
              </w:rPr>
            </w:pPr>
          </w:p>
        </w:tc>
      </w:tr>
      <w:tr>
        <w:trPr>
          <w:trHeight w:val="88"/>
        </w:trPr>
        <w:tc>
          <w:tcPr>
            <w:tcW w:w="7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 w:type="dxa"/>
            <w:vAlign w:val="bottom"/>
          </w:tcPr>
          <w:p>
            <w:pPr>
              <w:spacing w:after="0"/>
              <w:rPr>
                <w:sz w:val="19"/>
                <w:szCs w:val="19"/>
                <w:color w:val="auto"/>
              </w:rPr>
            </w:pP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(73,739)</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(107,846)</w:t>
            </w:r>
          </w:p>
        </w:tc>
        <w:tc>
          <w:tcPr>
            <w:tcW w:w="20" w:type="dxa"/>
            <w:vAlign w:val="bottom"/>
          </w:tcPr>
          <w:p>
            <w:pPr>
              <w:spacing w:after="0"/>
              <w:rPr>
                <w:sz w:val="22"/>
                <w:szCs w:val="22"/>
                <w:color w:val="auto"/>
              </w:rPr>
            </w:pP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fees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program</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0" w:type="dxa"/>
            <w:vAlign w:val="bottom"/>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(220,325)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(156,447)</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0" w:type="dxa"/>
            <w:vAlign w:val="bottom"/>
          </w:tcPr>
          <w:p>
            <w:pPr>
              <w:spacing w:after="0"/>
              <w:rPr>
                <w:sz w:val="19"/>
                <w:szCs w:val="19"/>
                <w:color w:val="auto"/>
              </w:rPr>
            </w:pP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(240,636)</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(161,529)</w:t>
            </w:r>
          </w:p>
        </w:tc>
        <w:tc>
          <w:tcPr>
            <w:tcW w:w="20" w:type="dxa"/>
            <w:vAlign w:val="bottom"/>
          </w:tcPr>
          <w:p>
            <w:pPr>
              <w:spacing w:after="0"/>
              <w:rPr>
                <w:sz w:val="22"/>
                <w:szCs w:val="22"/>
                <w:color w:val="auto"/>
              </w:rPr>
            </w:pPr>
          </w:p>
        </w:tc>
      </w:tr>
      <w:tr>
        <w:trPr>
          <w:trHeight w:val="229"/>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(23,352)</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2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347,920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337,145</w:t>
            </w:r>
          </w:p>
        </w:tc>
        <w:tc>
          <w:tcPr>
            <w:tcW w:w="20" w:type="dxa"/>
            <w:vAlign w:val="bottom"/>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324,568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311,336</w:t>
            </w:r>
          </w:p>
        </w:tc>
        <w:tc>
          <w:tcPr>
            <w:tcW w:w="20" w:type="dxa"/>
            <w:vAlign w:val="bottom"/>
          </w:tcPr>
          <w:p>
            <w:pPr>
              <w:spacing w:after="0"/>
              <w:rPr>
                <w:sz w:val="19"/>
                <w:szCs w:val="19"/>
                <w:color w:val="auto"/>
              </w:rPr>
            </w:pPr>
          </w:p>
        </w:tc>
      </w:tr>
      <w:tr>
        <w:trPr>
          <w:trHeight w:val="21"/>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115"/>
        </w:trPr>
        <w:tc>
          <w:tcPr>
            <w:tcW w:w="7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40" w:type="dxa"/>
            <w:vAlign w:val="bottom"/>
          </w:tcPr>
          <w:p>
            <w:pPr>
              <w:spacing w:after="0"/>
              <w:rPr>
                <w:sz w:val="19"/>
                <w:szCs w:val="19"/>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17,564</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69,169</w:t>
            </w:r>
          </w:p>
        </w:tc>
      </w:tr>
      <w:tr>
        <w:trPr>
          <w:trHeight w:val="54"/>
        </w:trPr>
        <w:tc>
          <w:tcPr>
            <w:tcW w:w="7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16,575</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45,237</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 Our fiscal year represents the 52 or 53 weeks ending on the Saturday closest to January 31.</w:t>
      </w:r>
    </w:p>
    <w:p>
      <w:pPr>
        <w:spacing w:after="0" w:line="133"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August 3, 2024, we operated 285 "Academy Sports + Outdoors" retail locations in 19 states and three distribution centers located in Katy, Texas, Twiggs County, Georgia and Cookeville, Tennessee.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February 3, 2024, as filed with the Securities and Exchange Commission on March 21, 2024 (the "Annual Report"). The information furnished herein reflects all normal recurring adjustments which are, in the opinion of management, necessary for a fair presentation of the results for the interim periods presented. The results of operations for the thirteen and twenty-six weeks ended August 3, 2024 are not necessarily indicative of the results that will be realized for the fiscal year ending February 1, 2025 or any other period. The balance sheet as of February 3, 2024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Academy Procurement Co., LLC, and Academy International Limited.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9" w:name="page10"/>
    <w:bookmarkEnd w:id="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July 29, 2023 for comparability purposes. This reclassification is in divisional presentation only and did not impact the overall net sales balances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401"/>
        <w:spacing w:after="0" w:line="255" w:lineRule="auto"/>
        <w:rPr>
          <w:sz w:val="20"/>
          <w:szCs w:val="20"/>
          <w:color w:val="auto"/>
        </w:rPr>
      </w:pPr>
      <w:r>
        <w:rPr>
          <w:rFonts w:ascii="Times New Roman" w:cs="Times New Roman" w:eastAsia="Times New Roman" w:hAnsi="Times New Roman"/>
          <w:sz w:val="18"/>
          <w:szCs w:val="18"/>
          <w:color w:val="auto"/>
        </w:rPr>
        <w:t>On September 2, 2021, the Board of Directors of the Company authorized a share repurchase program (the "2021 Share Repurchase Program") under which the Company may purchase up to $500 million of its outstanding shares during the three-year period ending September 2, 2024. On June 2, 2022, the Board of Directors of the Company authorized a new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2023 Share Repurchase Program, the 2022 Share Repurchase Program and the 2021 Share Repurchase Program are collectively referred to as the "Share Repurchase Programs".</w:t>
      </w:r>
    </w:p>
    <w:p>
      <w:pPr>
        <w:spacing w:after="0" w:line="135" w:lineRule="exact"/>
        <w:rPr>
          <w:sz w:val="20"/>
          <w:szCs w:val="20"/>
          <w:color w:val="auto"/>
        </w:rPr>
      </w:pPr>
    </w:p>
    <w:p>
      <w:pPr>
        <w:jc w:val="both"/>
        <w:ind w:firstLine="401"/>
        <w:spacing w:after="0" w:line="256" w:lineRule="auto"/>
        <w:rPr>
          <w:sz w:val="20"/>
          <w:szCs w:val="20"/>
          <w:color w:val="auto"/>
        </w:rPr>
      </w:pPr>
      <w:r>
        <w:rPr>
          <w:rFonts w:ascii="Times New Roman" w:cs="Times New Roman" w:eastAsia="Times New Roman" w:hAnsi="Times New Roman"/>
          <w:sz w:val="18"/>
          <w:szCs w:val="18"/>
          <w:color w:val="auto"/>
        </w:rPr>
        <w:t>Under the Share Repurchase Programs, repurchases can be made using a variety of methods, which may include open market purchases, block trades, privately negotiated transactions, accelerated share repurchase programs and/or a non-discretionary trading plan, all in compliance with the rules of the SEC and other applicable legal requirements. The timing, manner, price and amount of any common share repurchases under the Share Repurchase Programs are determined by the Company in its discretion and depend on a variety of factors, including legal requirements, price and economic and market conditions. The Share Repurchase Programs do not obligate the Company to acquire any particular number of common shares, and the programs may be suspended, extended, modified or discontinued at any time.</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28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1,809,856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3,793,823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2,744,074</w:t>
            </w:r>
          </w:p>
        </w:tc>
      </w:tr>
      <w:tr>
        <w:trPr>
          <w:trHeight w:val="30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bl>
    <w:p>
      <w:pPr>
        <w:spacing w:after="0" w:line="62" w:lineRule="exact"/>
        <w:rPr>
          <w:sz w:val="20"/>
          <w:szCs w:val="20"/>
          <w:color w:val="auto"/>
        </w:rPr>
      </w:pPr>
    </w:p>
    <w:p>
      <w:pPr>
        <w:ind w:left="20" w:right="420" w:hanging="10"/>
        <w:spacing w:after="0" w:line="261"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excise tax fees of $0.9 million and $2.0 million for the thirteen and twenty-six weeks ended August 3, 2024, respectively, and $0.9 million and $1.2 million for the thirteen and twenty-six weeks ended July 29, 2023, respectively.</w:t>
      </w:r>
    </w:p>
    <w:p>
      <w:pPr>
        <w:spacing w:after="0" w:line="181" w:lineRule="exact"/>
        <w:rPr>
          <w:sz w:val="20"/>
          <w:szCs w:val="20"/>
          <w:color w:val="auto"/>
        </w:rPr>
      </w:pPr>
    </w:p>
    <w:p>
      <w:pPr>
        <w:ind w:right="20" w:firstLine="401"/>
        <w:spacing w:after="0" w:line="282" w:lineRule="auto"/>
        <w:rPr>
          <w:sz w:val="20"/>
          <w:szCs w:val="20"/>
          <w:color w:val="auto"/>
        </w:rPr>
      </w:pPr>
      <w:r>
        <w:rPr>
          <w:rFonts w:ascii="Times New Roman" w:cs="Times New Roman" w:eastAsia="Times New Roman" w:hAnsi="Times New Roman"/>
          <w:sz w:val="18"/>
          <w:szCs w:val="18"/>
          <w:color w:val="auto"/>
        </w:rPr>
        <w:t>As of August 3, 2024, we no longer had availability under the 2021 Share Repurchase Program or 2022 Share Repurchase Program, and we had $476.4 million available under the 2023 Share Repurchase Program.</w:t>
      </w:r>
    </w:p>
    <w:p>
      <w:pPr>
        <w:sectPr>
          <w:pgSz w:w="11900" w:h="16838" w:orient="portrait"/>
          <w:cols w:equalWidth="0" w:num="1">
            <w:col w:w="10900"/>
          </w:cols>
          <w:pgMar w:left="6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condensed consolidated balance sheets, was $5.1 million, $7.2 million and $6.6 million as of August 3, 2024, February 3, 2024 and July 29,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fiscal years beginning after December 15, 2024 and should be applied on a prospective basis with the option to apply the standard retrospectively. The Company is currently evaluating the impact that the adoption of this accounting standard will have on its financial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is currently evaluating the impact that the adoption of this accounting standard will have on its financial disclosures.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00" w:type="dxa"/>
            <w:vAlign w:val="bottom"/>
          </w:tcPr>
          <w:p>
            <w:pPr>
              <w:spacing w:after="0"/>
              <w:rPr>
                <w:sz w:val="20"/>
                <w:szCs w:val="20"/>
                <w:color w:val="auto"/>
              </w:rPr>
            </w:pPr>
          </w:p>
        </w:tc>
        <w:tc>
          <w:tcPr>
            <w:tcW w:w="32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3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09"/>
        </w:trPr>
        <w:tc>
          <w:tcPr>
            <w:tcW w:w="3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391,703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388,437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766,597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754,746</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799,875</w:t>
            </w: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791,674</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308,032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604,553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604,323</w:t>
            </w:r>
          </w:p>
        </w:tc>
      </w:tr>
      <w:tr>
        <w:trPr>
          <w:trHeight w:val="223"/>
        </w:trPr>
        <w:tc>
          <w:tcPr>
            <w:tcW w:w="38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2,895,967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2,950,618</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r>
      <w:tr>
        <w:trPr>
          <w:trHeight w:val="223"/>
        </w:trPr>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1,548,980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1,583,077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2,913,200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2,966,686</w:t>
            </w:r>
          </w:p>
        </w:tc>
      </w:tr>
      <w:tr>
        <w:trPr>
          <w:trHeight w:val="21"/>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500" w:hanging="248"/>
        <w:spacing w:after="0" w:line="261" w:lineRule="auto"/>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July 29, 2023, for comparability purposes. This reclassification is in divisional presentation only and did not impact the overall net sales balances previously disclosed.</w:t>
      </w:r>
    </w:p>
    <w:p>
      <w:pPr>
        <w:ind w:left="500" w:hanging="248"/>
        <w:spacing w:after="0" w:line="261" w:lineRule="auto"/>
        <w:tabs>
          <w:tab w:leader="none" w:pos="46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9.7% and 9.4% for the thirteen and twenty-six weeks ended August 3, 2024, respectively, and 9.4% and 8.8% for the thirteen and twenty-six weeks ended July 29, 2023, respectively.</w:t>
      </w:r>
    </w:p>
    <w:p>
      <w:pPr>
        <w:ind w:left="500" w:hanging="248"/>
        <w:spacing w:after="0" w:line="263" w:lineRule="auto"/>
        <w:tabs>
          <w:tab w:leader="none" w:pos="46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net hunting and fishing license income, sales return allowance and other items.</w:t>
      </w:r>
    </w:p>
    <w:p>
      <w:pPr>
        <w:spacing w:after="0" w:line="138"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consolidated balance sheets is established at the time of sale and revenues are recognized as the gift cards are redeemed in stores or on our website.</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1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3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r>
      <w:tr>
        <w:trPr>
          <w:trHeight w:val="22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43,113</w:t>
            </w:r>
          </w:p>
        </w:tc>
      </w:tr>
      <w:tr>
        <w:trPr>
          <w:trHeight w:val="23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(56,791)</w:t>
            </w:r>
          </w:p>
        </w:tc>
      </w:tr>
      <w:tr>
        <w:trPr>
          <w:trHeight w:val="229"/>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40" w:type="dxa"/>
            <w:vAlign w:val="bottom"/>
          </w:tcPr>
          <w:p>
            <w:pPr>
              <w:spacing w:after="0"/>
              <w:rPr>
                <w:sz w:val="22"/>
                <w:szCs w:val="22"/>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193,250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593,250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483,617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583,729</w:t>
            </w:r>
          </w:p>
        </w:tc>
      </w:tr>
      <w:tr>
        <w:trPr>
          <w:trHeight w:val="20"/>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67"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As of August 3, 2024, February 3, 2024 and July 29, 2023, the balance in deferred loan costs related to the ABL Facility (as defined below) was approximately $6.9 million, $2.1 million and $2.6 million, respectively, and was included in other noncurrent assets on our consolidated balance sheets. Total amortization of deferred loan costs was $0.6 million and $1.2 million for the thirteen and twenty-six weeks ended August 3, 2024, respectively, and $0.6 million and $1.2 million for the thirteen and twenty-six weeks ended July 29, 2023, respectively. Total expenses related to accretion of original issuance discount was $0.0 and $0.1 million for the thirteen and twenty-six weeks ended August 3, 2024, respectively, and $0.1 million and $0.2 million for the thirteen and twenty-six weeks ended July 29, 2023, respectively. The expenses related to amortization of deferred loan costs and accretion of original issuance discount are included in interest expense, net on the consolidated statements of income.</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refer to the 2020 Term Loan and the amendments thereto collectively as the "Term Loan".</w:t>
      </w:r>
    </w:p>
    <w:p>
      <w:pPr>
        <w:spacing w:after="0" w:line="171"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Under the Amendment, the Term Loan bore interest, at Academy, Ltd.'s election, at either (1) LIBOR rate with a floor of 0.75%, plus a margin of 3.75%, or (2) a base rate equal to the highest of (a) the federal funds rate plus 0.50%, (b) Credit Suisse's "prime rate", or (c) the one-month LIBOR rate plus 1.00%, plus a margin of 4.00%.</w:t>
      </w:r>
    </w:p>
    <w:p>
      <w:pPr>
        <w:spacing w:after="0" w:line="133"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May 17, 2023, Academy, Ltd. entered into a Conforming Changes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Quarterly principal payments of $750 thousand are required through September 30, 2027 and borrowings mature on November 6, 2027. As of August 3, 2024, the weighted average interest rate was 9.19%, with interest payable monthly. The terms and conditions of the Term Loan also require that the outstanding balance under the Term Loan is prepaid under certain circumstances. As of August 3, 2024, no prepayment was due under the terms and conditions of the Term Loan.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3" w:name="page14"/>
    <w:bookmarkEnd w:id="13"/>
    <w:p>
      <w:pPr>
        <w:ind w:left="32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The Bank of New York Mellon Trust Company, N.A., as trustee and collateral agent. The Notes require cash interest payments semi-annually in arrears on May 15 and November 15 of each year at a rate of 6.00% per year.</w:t>
      </w:r>
    </w:p>
    <w:p>
      <w:pPr>
        <w:spacing w:after="0" w:line="203"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We refer to the 2020 ABL Facility and the amendments thereto collectively as the "ABL Facility".</w:t>
      </w:r>
    </w:p>
    <w:p>
      <w:pPr>
        <w:spacing w:after="0" w:line="171"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amended the previously existing secured asset-based revolving credit facility by entering into an amendment to the First Amended and Restated ABL Credit Agreement, dated as of November 6, 2020, with JPMorgan Chase Bank, N.A. as the administrative agent and collateral agent, letter of credit issuer and swingline lender and the several lenders party thereto, which ABL amendment, among other things, extended the maturity of Academy, Ltd.’s asset-based revolving credit facility thereunder to November 6, 2025 (the "2020 ABL Facility").</w:t>
      </w:r>
    </w:p>
    <w:p>
      <w:pPr>
        <w:spacing w:after="0" w:line="210"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spacing w:after="0" w:line="122"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On March 8, 2024, Academy, Ltd., as borrower, and New Academy Holding Company, LLC, Associated Investors, L.L.C. and Academy Managing Co., L.L.C.,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 more than $100 million of the aggregate principal amount of the Notes or the Term Loan, or any refinancing thereof, in each case, is outstanding on the date that is 91 days prior to the earliest maturity date of any such indebtedness or</w:t>
      </w:r>
    </w:p>
    <w:p>
      <w:pPr>
        <w:spacing w:after="0" w:line="5" w:lineRule="exact"/>
        <w:rPr>
          <w:sz w:val="20"/>
          <w:szCs w:val="20"/>
          <w:color w:val="auto"/>
        </w:rPr>
      </w:pPr>
    </w:p>
    <w:p>
      <w:pPr>
        <w:ind w:left="268" w:hanging="268"/>
        <w:spacing w:after="0"/>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or less than $100 million of the aggregate principal amount of the Notes or the Term Loan, in either case, is outstanding on the date that is</w:t>
      </w:r>
    </w:p>
    <w:p>
      <w:pPr>
        <w:spacing w:after="0" w:line="9" w:lineRule="exact"/>
        <w:rPr>
          <w:rFonts w:ascii="Times New Roman" w:cs="Times New Roman" w:eastAsia="Times New Roman" w:hAnsi="Times New Roman"/>
          <w:sz w:val="18"/>
          <w:szCs w:val="18"/>
          <w:color w:val="auto"/>
        </w:rPr>
      </w:pPr>
    </w:p>
    <w:p>
      <w:pPr>
        <w:jc w:val="both"/>
        <w:ind w:left="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Notes and the Term Loan.</w:t>
      </w:r>
    </w:p>
    <w:p>
      <w:pPr>
        <w:spacing w:after="0" w:line="132"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August 3, 2024, we had outstanding letters of credit of approximately $9.3 million, all of which were issued under the ABL Facility, and we had no borrowings outstanding under the ABL Facility, leaving an available borrowing capacity under the ABL Facility of $990.7 million.</w:t>
      </w:r>
    </w:p>
    <w:p>
      <w:pPr>
        <w:spacing w:after="0" w:line="129"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0.25%. The terms and conditions of the ABL Facility also require that we prepay outstanding loans under the ABL Facility under certain circumstances. As of August 3, 2024, no future prepayments of outstanding loans have been triggered under the terms and conditions of the ABL Facility. In connection with the reduction of two lenders who dropped out of the ABL Facility, the Company wrote off $0.4 million of deferred loan costs related to the ABL Facility.</w:t>
      </w:r>
    </w:p>
    <w:p>
      <w:pPr>
        <w:spacing w:after="0" w:line="131" w:lineRule="exact"/>
        <w:rPr>
          <w:sz w:val="20"/>
          <w:szCs w:val="20"/>
          <w:color w:val="auto"/>
        </w:rPr>
      </w:pPr>
    </w:p>
    <w:p>
      <w:pPr>
        <w:jc w:val="both"/>
        <w:ind w:left="8"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August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25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cash equivalents on the condensed consolidated balance sheets and are redeemable on demand. As of August 3, 2024, February 3, 2024 and July 29, 2023, we held $254.7 million, $303.4 million and $145.7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August 3, 2024, February 3, 2024, and July 29, 2023, the estimated fair value of the Term Loan and Notes was $0.5 billion, $0.5 billion and $0.6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4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499,499</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659,693</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364,423</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1,794,764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1,613,620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(1,324,012)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(1,208,653)</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470,752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404,967</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$28.9 million and $57.8 million in the thirteen and twenty-six weeks ended August 3, 2024, respectively, and $25.7 million and $52.0 million in the thirteen and twenty-six weeks ended July 29,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870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60" w:type="dxa"/>
            <w:vAlign w:val="bottom"/>
          </w:tcPr>
          <w:p>
            <w:pPr>
              <w:spacing w:after="0"/>
              <w:rPr>
                <w:sz w:val="24"/>
                <w:szCs w:val="24"/>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260" w:type="dxa"/>
            <w:vAlign w:val="bottom"/>
          </w:tcPr>
          <w:p>
            <w:pPr>
              <w:spacing w:after="0"/>
              <w:rPr>
                <w:sz w:val="19"/>
                <w:szCs w:val="19"/>
                <w:color w:val="auto"/>
              </w:rPr>
            </w:pPr>
          </w:p>
        </w:tc>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w:t>
            </w:r>
          </w:p>
        </w:tc>
      </w:tr>
      <w:tr>
        <w:trPr>
          <w:trHeight w:val="230"/>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9"/>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78,095</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r>
      <w:tr>
        <w:trPr>
          <w:trHeight w:val="230"/>
        </w:trPr>
        <w:tc>
          <w:tcPr>
            <w:tcW w:w="2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37,639</w:t>
            </w:r>
          </w:p>
        </w:tc>
      </w:tr>
      <w:tr>
        <w:trPr>
          <w:trHeight w:val="229"/>
        </w:trPr>
        <w:tc>
          <w:tcPr>
            <w:tcW w:w="260" w:type="dxa"/>
            <w:vAlign w:val="bottom"/>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29"/>
        </w:trPr>
        <w:tc>
          <w:tcPr>
            <w:tcW w:w="26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30,198</w:t>
            </w:r>
          </w:p>
        </w:tc>
      </w:tr>
      <w:tr>
        <w:trPr>
          <w:trHeight w:val="248"/>
        </w:trPr>
        <w:tc>
          <w:tcPr>
            <w:tcW w:w="26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234,011</w:t>
            </w:r>
          </w:p>
        </w:tc>
      </w:tr>
      <w:tr>
        <w:trPr>
          <w:trHeight w:val="20"/>
        </w:trPr>
        <w:tc>
          <w:tcPr>
            <w:tcW w:w="26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2020 Omnibus Incentive Plan provides for the grant of certain equity incentive awards (each, an "Award"), such as options to purchase ASO, Inc. common stock (each, a "Stock Option") and restricted units that may settle in ASO, Inc. common stock (each, a "Restricted Stock Unit") to our directors, executives and eligible employees of the Company. Awards granted under the 2020 Omnibus Incentive Plan consist of Stock Options that vest upon the satisfaction of time-based requirements (each, a "Service Option"), Restricted Stock Units that vest upon the satisfaction of time-based requirements (each, a "Service Restricted Stock Unit") and Restricted Stock Units that vest upon the satisfaction of time and performance and/or market based requirements (each, a "Performance Restricted Stock Unit").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August 3, 2024, there were 4,112,148 shares that were authorized and available for future issuance under the 2020 Omnibus Incentive Plan.</w:t>
      </w:r>
    </w:p>
    <w:p>
      <w:pPr>
        <w:spacing w:after="0" w:line="140"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under the ESPP and as of August 3, 2024, there were 1,531,484 shares authorized and available for future issuance under the ESPP.</w:t>
      </w:r>
    </w:p>
    <w:p>
      <w:pPr>
        <w:spacing w:after="0" w:line="122"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Equity compensation expense was $8.0 million and $14.1 million for the thirteen and twenty-six weeks ended August 3, 2024, respectively. Equity compensation expense was $8.5 million and $19.9 million for the thirteen and twenty-six weeks ended July 29, 2023, respectively. These costs are included in selling, general and administrative expenses in the consolidated statements of income. For all Awards granted in 2023 and 2024,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twenty-six weeks ended August 3, 2024:</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6380" w:type="dxa"/>
            <w:vAlign w:val="bottom"/>
          </w:tcPr>
          <w:p>
            <w:pPr>
              <w:spacing w:after="0"/>
              <w:rPr>
                <w:sz w:val="18"/>
                <w:szCs w:val="18"/>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r>
      <w:tr>
        <w:trPr>
          <w:trHeight w:val="241"/>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390,585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129,041</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August 3, 2024:</w:t>
      </w:r>
    </w:p>
    <w:p>
      <w:pPr>
        <w:spacing w:after="0" w:line="2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5,824,253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31,174,588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7,888,830</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1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219,053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251,045</w:t>
            </w:r>
          </w:p>
        </w:tc>
        <w:tc>
          <w:tcPr>
            <w:tcW w:w="0" w:type="dxa"/>
            <w:vAlign w:val="bottom"/>
          </w:tcPr>
          <w:p>
            <w:pPr>
              <w:spacing w:after="0"/>
              <w:rPr>
                <w:sz w:val="1"/>
                <w:szCs w:val="1"/>
                <w:color w:val="auto"/>
              </w:rPr>
            </w:pPr>
          </w:p>
        </w:tc>
      </w:tr>
      <w:tr>
        <w:trPr>
          <w:trHeight w:val="88"/>
        </w:trPr>
        <w:tc>
          <w:tcPr>
            <w:tcW w:w="3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76,483</w:t>
            </w:r>
          </w:p>
        </w:tc>
        <w:tc>
          <w:tcPr>
            <w:tcW w:w="0" w:type="dxa"/>
            <w:vAlign w:val="bottom"/>
          </w:tcPr>
          <w:p>
            <w:pPr>
              <w:spacing w:after="0"/>
              <w:rPr>
                <w:sz w:val="1"/>
                <w:szCs w:val="1"/>
                <w:color w:val="auto"/>
              </w:rPr>
            </w:pPr>
          </w:p>
        </w:tc>
      </w:tr>
      <w:tr>
        <w:trPr>
          <w:trHeight w:val="176"/>
        </w:trPr>
        <w:tc>
          <w:tcPr>
            <w:tcW w:w="3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1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Liquidity Event Restricted Units</w:t>
            </w:r>
          </w:p>
        </w:tc>
        <w:tc>
          <w:tcPr>
            <w:tcW w:w="18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56"/>
        </w:trPr>
        <w:tc>
          <w:tcPr>
            <w:tcW w:w="3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73,289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78,735</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1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August 3, 2024, we have obligations under technology-related, construction and other contractual commitments in the amount of $91.4 million. Of such commitments, approximately $52.0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previously disclosed, in May and December 2023, U.S. Customs and Border Protection ("CBP") notified us that we owed additional duties relating to certain products that we imported from China that CBP believed were subject to certain anti-dumping and/or countervailing duties. While we contested CBP’s determination, we were required to deposit with CBP duties relating to these products (the “AD/CVD deposits”), which are included in prepaid expenses and other current assets on the Company’s consolidated balance sheet. In January 2024, we requested a changed circumstances review of CBP’s determination by the U.S. Department of Commerce (the “DOC”). In April 2024, the DOC made a determination in the Company’s favor in connection with the changed circumstances review, and in May 2024, instructed CBP to begin the process of issuing refunds to the Company on the AD/CVD deposits. For additional details, see “Note 11, Subsequent Events” below.</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discussed above, there have been no material developments during the fiscal quarter ended August 3, 2024,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August 3, 2024, we have $12.7 million in related commitments through 2027, of which $6.1 million is payable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August 3, 2024 through September 10, 2024, the issuance date of the consolidated financial statements, and identified the following matters to report: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Resolution of CBP Matter</w:t>
      </w:r>
    </w:p>
    <w:p>
      <w:pPr>
        <w:spacing w:after="0" w:line="243" w:lineRule="exact"/>
        <w:rPr>
          <w:sz w:val="20"/>
          <w:szCs w:val="20"/>
          <w:color w:val="auto"/>
        </w:rPr>
      </w:pPr>
    </w:p>
    <w:p>
      <w:pPr>
        <w:jc w:val="both"/>
        <w:ind w:left="340" w:firstLine="324"/>
        <w:spacing w:after="0" w:line="237" w:lineRule="auto"/>
        <w:rPr>
          <w:sz w:val="20"/>
          <w:szCs w:val="20"/>
          <w:color w:val="auto"/>
        </w:rPr>
      </w:pPr>
      <w:r>
        <w:rPr>
          <w:rFonts w:ascii="Times New Roman" w:cs="Times New Roman" w:eastAsia="Times New Roman" w:hAnsi="Times New Roman"/>
          <w:sz w:val="18"/>
          <w:szCs w:val="18"/>
          <w:color w:val="auto"/>
        </w:rPr>
        <w:t>As discussed above in Note 10, in May and December 2023, CBP notified us that we owed additional duties relating to certain products that we imported from China that CBP believed were subject to certain anti-dumping and/or countervailing duties. While we contested CBP’s determination, we were required to deposit the AD/CVD deposits, which were included in prepaid expenses and other current assets on the Company’s consolidated balance sheet. In January 2024, we requested a changed circumstances review of CBP’s determination by the DOC. In April 2024, the DOC made a determination in the Company’s favor in connection with the changed circumstances review, and in May 2024, instructed CBP to begin the process of issuing refunds to the Company on the AD/CVD deposits. In August 2024, subsequent to the period covered by this report, the Company received a full refund of the AD/CVD deposits. This matter is now resolved, and the refund will be recorded as cash within cash and cash equivalents on our unaudited condensed consolidated balance sheet for the quarter ending November 2, 2024.</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Declaration of Dividend</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September 5, 2024, the Company's Board of Directors declared a quarterly cash dividend with respect to the fiscal quarter ended August 3, 2024, of $0.11 per share of the Company's common stock, payable on October 17, 2024, to stockholders of record as of the close of business on September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the Company's Annual Report on Form 10-K for the fiscal year ended February 3, 2024 (the "Annual Report"), as filed with the Securities and Exchange Commission (the "SEC") on March 21, 2024, as such risk factors have been updated from time to time in our periodic filings with the SEC, and are accessible on the SEC's website at www.sec.gov.</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attract, train and retain quality team members in sufficient numbers, increases in wage and labor costs, and changes in laws and other labor issues;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indemnities coverage may not be sufficient;</w:t>
      </w:r>
    </w:p>
    <w:p>
      <w:pPr>
        <w:spacing w:after="0" w:line="63"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3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twenty-six weeks ended August 3, 2024 and our audited financial statements for the fiscal year ended February 3, 2024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"2024 second quarter," or similar reference refers to the thirteen week period ended August 3, 2024, and any reference to the "prior year quarter," "2023 second quarter" or similar reference refers to the thirteen week period ended July 29, 2023. Unless otherwise specified, all comparisons regarding the current period of 2024 are made to the corresponding period of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sports and recreation, apparel, and footwear (representing 25%, 26%, 28%, and 20% of our 2024 second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August 3, 2024, we operated 285 stores that range in size from approximately 40,000 to 137,000 gross square feet, with an average size of approximately 70,000 gross square feet, throughout 19 contiguous states located primarily in the southern United States. Our stores are supported by approximately 21,000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540" w:type="dxa"/>
            <w:vAlign w:val="bottom"/>
          </w:tcPr>
          <w:p>
            <w:pPr>
              <w:spacing w:after="0"/>
              <w:rPr>
                <w:sz w:val="19"/>
                <w:szCs w:val="19"/>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 and Recent Trends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the relative condition of the U.S. economy,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 Additionally, the U.S. macroeconomic environment in which we operate remains challenging as the result of numerous factors, including continued high inflation, higher consumer debt and interest rates, reduced access to credit, employment and income uncertainty, and lower consumer sentiment, which are impacting consumer discretionary spending behavior and the promotional landscape in which we operate. The Company's 2024 fiscal year is a 52-week year, whereas the 2023 fiscal year was a 53-week year, which created a one week shift.</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comparable sales metric for the 2024 second quarter compares the thirteen and twenty-six weeks ended August 3, 2024 versus the thirteen and twenty-six weeks ended August 5, 2023. The prior year rate of decline in comparable store sales slowed in year-to-date 2024 compared to the two prior year periods, with a decrease of 6.4% compared to 7.4% and 6.7% in 2023 and 2022, respectively. See the discussion on Net Sales below for factors contributing to these changes.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comparable sales divided by the number of transactions during a given period, which tells us the average amount the customer is spending on a purchase.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demand, allowances and logistics, seasonality, unseasonal or extreme weather, changes in consumer shopping preferences, consumer discretionary spending, and market and sales promotions.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leading national brands sold at Academy. We have also continued to add private label brand products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that focus on customer segmentation with the intention of improving customer identification and increasing customer engagement. Additionally, we recently implemented several innovative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the 2024 year-to-date second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results of operations have been and will continue to be materially affected by the timing and number of new store openings. We are continually assessing the number of locations available that could accommodate our preferred size of stores in markets we would consider, and during 2023 we opened 14 new stores. We believe our real estate strategy has positioned us well for further expansion.</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payroll and benefits, distribution center occupancy costs and freight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merchandise sales, and our ability to control cost of goods sold, such as inventory and logistics cost management. Our gross margin is also impacted by variables including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Over recent years, the United States retail industry, including Academy, has experienced a significant increase in inventory shrink, which has resulted in a negative impact to our gross margins. A prolonged period of significant increased shrink could have a material negative impact on our gross margin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4" w:name="page25"/>
    <w:bookmarkEnd w:id="24"/>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equity-based compensation, store and corporate headquarters occupancy costs, advertising, credit card processing, information technology, pre-opening costs and other store and administrative expenses. These expenses are both variable and fixed in nature. SG&amp;A expenses as a percentage of sales increased from 23.4% in the 2023 year-to-date second quarter to 24.8% in the 2024 year-to-date second quarter, which was primarily attributable to our store growth strategy as well as deleverage from decreased sales, partially offset by favorable reductions in equity compensation. We track and measure operating expenses as a percentage of 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72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29,</w:t>
            </w: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pre-opening expenses incurred (in millions)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12"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our unaudited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financial statements included under Part I, Item 1 of this Quarterly Report) and the amortization of our deferred loan costs and original issuance discounts associated with the acquisition of the debt. During the fourth quarter of 2023, we utilized cash on hand to voluntarily prepay $100 million of outstanding borrowings on our Term Loan. This pay down resulted in decreased interest expense in year-to-date 2024 as compared to the prior year period, and we anticipate it will result in decreased interest expense compared to 2023 throughout the remainder of 2024.</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August 3, 2024 Compared to Thirteen Weeks Ended July 29, 2023</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1,548,980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990,255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1,019,631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558,725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368,639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352,483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16,156</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52.7 %</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186,546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43,958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$34.1 million, or 2.2%, in the 2024 second quarter from the prior year second quarter as a result of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of 6.9%, partially offset by additional sales generated by new locations. As of the end of the 2024 second quarter, we operated 15 additional stores as compared to the end of the 2023 second quarter, and we had the full benefit of one store opened during the 2023 second quarter. Collectively, these stores accounted for a $41.7 million increase in net sales in the current quarter compared to the 2023 second quarter, not including e-commerce sales fulfilled from these locations.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decrease of 6.9% in comparable sales was driven by lower comparable sales across all merchandise divisions as a result of a 7.4% decrease in comparable transactions, partially offset by an increase in average ticket of 0.5%. The decrease of 2.2% in net sales was driven by decreased sales of 7.3% in the sports and recreation merchandise division and 2.2% in the apparel merchandise division, partially offset by increased sales of 1.3% in the footwear merchandise division and 0.8% in the outdoors merchandise division. The decrease in net and comparable sales primarily reflected challenging macroeconomic conditions. Additionally, a temporary reduction in outbound shipments at our Georgia distribution center related to a new warehouse management information system resulted in a decrease of approximately 2% in both net and comparable sales and several regional severe weather events resulted in a decrease of approximately 1% in both net and comparable sales.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9.7% of merchandise sales for the 2024 second quarter compared to 9.4% for the prior year second quarter.</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$4.7 million, or 0.8%, to $558.7 million in the 2024 second quarter from $563.4 million in the 2023 second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increased 50 basis points from 35.6% in the 2023 second quarter to 36.1% in the 2024 second quarter. The increase in gross margin was primarily attributable to product cost management, including lower transportation costs. These improvements were partially offset by increased planned promotional activity compared to the 2023 second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$16.2 million, or 4.6%, to $368.6 million in the 2024 second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$352.5 million in the 2023 second quarter. As a percentage of net sales, SG&amp;A expenses increased 150 basis points to 23.8% in the 2024 second quarter compared to 22.3% in the 2023 second quarter. The increase in SG&amp;A is partially attributable to deleverage from decreased sales. SG&amp;A costs also increased $16.2 million primarily as a result of our increased strategic investments of $17.1 million in new stores and technology, which was partially offset by favorable reductions in equity compensation.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$2.2 million, or 19.8%, in the 2024 second quarter when compared with the 2023 second quarter,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from a lower outstanding balance on our long-term debt driven by a voluntary prepayment of $100.0 million made on February 1, 2024, slightly offset by higher interest rates.</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$1.9 million in the 2024 second quarter when compared with the 2023 second quarter,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higher interest rates on increased money market investments in the current year.</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$2.2 million to $44.0 million for the 2024 second quarter as compared to $46.2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second quarter, resulting primarily from a decrease in pre-tax income. The Company's effective income tax rate was 23.6% in the second quarter of 2024 compared to 22.7% in the second quarter of 2023. The increase in effective tax rate is primarily the result of a reduction in excess tax benefits for share-based compensation in 2024 compared to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3, 2024 Compared to Twenty-Six Weeks Ended July 29, 2023</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2,913,200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2,966,686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1,898,681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1,936,125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1,014,519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1,030,561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722,050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693,402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292,469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46.3 %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284,198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65,145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8"/>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219,053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decreased $53.5 million, or 1.8%, for the year-to-date 2024 over the year-to-date 2023 as a result of decreased comparable sales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6.4%, which were partially offset by additional net sales generated by new locations. As of the end of the 2024 second quarter, we operated 15 additional stores as compared to the end of the 2023 second quarter, and we had the full benefit of two stores opened during the year-to-date 2023 second quarter. Collectively, these stores accounted for a $76.9 million increase in net sales for the year-to-date 2024, not including e-commerce sales fulfilled from these locations.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decrease of 6.4% in comparable sales was driven by lower comparable sales across all merchandise divisions as a result of a 6.1% decrease in comparable transactions while the average ticket remained relatively flat. The decrease of 1.8% in net sales was driven by decreased sales of 5.9% in the sports and recreation merchandise division and 2.5% in the apparel division, partially offset by an increase of 1.6% in the outdoors merchandise division, while footwear sales remained relatively flat. The decrease in net and comparable sales primarily reflected challenging macroeconomic conditions. Additionally, a temporary reduction in outbound shipments at our Georgia distribution center related to a new warehouse management information system resulted in a decrease of approximately 1% in both net and comparable sales and several regional severe weather events resulted in a decrease of approximately 0.5% in both net and comparable sales.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E-commerce net sales represented 9.4% of merchandise sales for the year-to-date 2024 compared to 8.8% for the year-to-date 2023.</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decreased $16.0 million, or 1.6%, to $1,014.5 million for the year-to-date 2024 from $1,030.6 million for the year-to-date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As a percentage of net sales, gross margin increased 10 basis points from 34.7% for the year-to-date 2023 to 34.8% for the year-to-date 2024. The increase in gross margin was primarily attributable to product cost management, including lower transportation costs. These improvements were partially offset by increased planned promotional activity compared to year-to-date 2023.</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$28.6 million, or 4.1%, to $722.1 million for the year-to-date 2024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$693.4 million for the year-to-date 2023. As a percentage of net sales, SG&amp;A expenses increased 140 basis points to 24.8% for the year-to-date 2024 compared to 23.4% for the year-to-date 2023. The increase in SG&amp;A is partially attributable to deleverage from decreased sales. SG&amp;A costs also increased $28.6 million primarily as a result of our increased strategic investments of $33.6 million in new stores and technology, which was partially offset by favorable reductions in equity compensation.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$4.0 million, or 17.7%, for the year-to-date 2024 when compared with the year-to-date 2023,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 lower outstanding balance on our long-term debt driven by a voluntary prepayment of $100.0 million made on February 1, 2024, slightly offset by higher interest rates.</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increased $3.4 million for the year-to-date 2024 when compared with the year-to-date 2023,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higher interest rates on increased money market investments in the current year.</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 off of Deferred Loan Costs. </w:t>
      </w:r>
      <w:r>
        <w:rPr>
          <w:rFonts w:ascii="Times New Roman" w:cs="Times New Roman" w:eastAsia="Times New Roman" w:hAnsi="Times New Roman"/>
          <w:sz w:val="18"/>
          <w:szCs w:val="18"/>
          <w:color w:val="auto"/>
        </w:rPr>
        <w:t>Write off of Deferred Loan Costs increased by $0.4 million for the year-to-date 2024 when compared with the year-to-date 2023, in connection with the amendment in the 2024 first quarter that led to the write off of deferred loan costs on the ABL Facility for the year-to-date 2024.</w:t>
      </w:r>
    </w:p>
    <w:p>
      <w:pPr>
        <w:spacing w:after="0" w:line="19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$5.8 million to $65.1 million for the year-to-date 2024 as compared to $70.9 million for the year-to-date 2023, resulting primarily from a decrease in pre-tax income. The Company's effective income tax rate was 22.9% for the year-to-date 2024 compared to 22.0% for the year-to-date 2023. The increase in effective tax rate is primarily the result of a reduction in excess tax benefits for share-based compensation in 2024 compared to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2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219,053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251,045</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70,907</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52,021</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232,490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375,068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416,399</w:t>
            </w: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(28,918)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(52,021)</w:t>
            </w: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203,572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364,378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20" w:right="40" w:hanging="494"/>
        <w:spacing w:after="0" w:line="261"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2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142,588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219,053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251,045</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230,262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266,550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76,483</w:t>
            </w:r>
          </w:p>
        </w:tc>
      </w:tr>
      <w:tr>
        <w:trPr>
          <w:trHeight w:val="229"/>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78,735</w:t>
            </w:r>
          </w:p>
        </w:tc>
      </w:tr>
    </w:tbl>
    <w:p>
      <w:pPr>
        <w:spacing w:after="0" w:line="99" w:lineRule="exact"/>
        <w:rPr>
          <w:sz w:val="20"/>
          <w:szCs w:val="20"/>
          <w:color w:val="auto"/>
        </w:rPr>
      </w:pPr>
    </w:p>
    <w:p>
      <w:pPr>
        <w:ind w:left="520" w:right="40" w:hanging="494"/>
        <w:spacing w:after="0" w:line="241"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14" w:lineRule="exact"/>
        <w:rPr>
          <w:rFonts w:ascii="Times New Roman" w:cs="Times New Roman" w:eastAsia="Times New Roman" w:hAnsi="Times New Roman"/>
          <w:sz w:val="14"/>
          <w:szCs w:val="14"/>
          <w:color w:val="auto"/>
        </w:rPr>
      </w:pPr>
    </w:p>
    <w:p>
      <w:pPr>
        <w:ind w:left="520" w:right="20" w:hanging="494"/>
        <w:spacing w:after="0" w:line="241"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thirteen and twenty-six weeks ended August 3, 2024 and July 29, 2023, this represents the estimated tax effect (by using the projected full year tax rates for the respective years) of the total adjustments made to arrive at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74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July 29, 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July 29,</w:t>
            </w:r>
          </w:p>
        </w:tc>
        <w:tc>
          <w:tcPr>
            <w:tcW w:w="7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91,346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191,431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291,023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243,566</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7"/>
              </w:rPr>
              <w:t>(41,384)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(67,299)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(73,739)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(107,846)</w:t>
            </w: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49,962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124,132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217,284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135,720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repurchase common stock. We fund these liquidity requirements through cash and cash equivalents, cash generated from operating activities, issuances of debt (such as the Notes) and borrowings under our ABL Facility. On August 3, 2024, our cash and cash equivalents totaled $324.6 million. We believe our cash and cash equivalents, as well as our availability under the ABL Facility, will be sufficient to fund our cash requirements for the next 12 months and the longer term foreseeable future.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August 3, 2024, the Company's long-term debt and interest rates consist of (see Note 4 to the accompanying financial statements):</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- 9.19% variable rate term-loan with $90.3 million in principal outstanding maturing November 6, 2027 and quarterly principal payments of $750 thousand;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current debt obligations by fiscal year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After 2028</w:t>
            </w: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87,448</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110,996</w:t>
            </w:r>
          </w:p>
        </w:tc>
      </w:tr>
      <w:tr>
        <w:trPr>
          <w:trHeight w:val="229"/>
        </w:trPr>
        <w:tc>
          <w:tcPr>
            <w:tcW w:w="3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424,000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484,000</w:t>
            </w:r>
          </w:p>
        </w:tc>
      </w:tr>
      <w:tr>
        <w:trPr>
          <w:trHeight w:val="230"/>
        </w:trPr>
        <w:tc>
          <w:tcPr>
            <w:tcW w:w="3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r>
    </w:tbl>
    <w:p>
      <w:pPr>
        <w:spacing w:after="0" w:line="85" w:lineRule="exact"/>
        <w:rPr>
          <w:sz w:val="20"/>
          <w:szCs w:val="20"/>
          <w:color w:val="auto"/>
        </w:rPr>
      </w:pPr>
    </w:p>
    <w:p>
      <w:pPr>
        <w:ind w:left="220" w:hanging="194"/>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977,254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985,447</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988,447</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August 3, 2024. The following table summarizes our remaining operating lease obligations by fiscal year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214,939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1,030,775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2,003,398</w:t>
            </w:r>
          </w:p>
        </w:tc>
      </w:tr>
    </w:tbl>
    <w:p>
      <w:pPr>
        <w:spacing w:after="0" w:line="85" w:lineRule="exact"/>
        <w:rPr>
          <w:sz w:val="20"/>
          <w:szCs w:val="20"/>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$2.0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August 3, 2024.</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authorized a new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The Share Repurchase Programs do not obligate the Company to acquire any particular number of common shares, and the programs may be suspended, extended, modified or discontinued at any time. As of August 3, 2024, the Company had $476.4 million remaining for share repurchases under the Share Repurchase Programs (see Note 2 to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2024 first and second quarters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7"/>
                <w:szCs w:val="17"/>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4, 2024 to May 4, 2024)</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122,425</w:t>
            </w:r>
          </w:p>
        </w:tc>
      </w:tr>
      <w:tr>
        <w:trPr>
          <w:trHeight w:val="229"/>
        </w:trPr>
        <w:tc>
          <w:tcPr>
            <w:tcW w:w="5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 Quarter (May 5, 2024 to August 3, 2024) </w:t>
            </w:r>
            <w:r>
              <w:rPr>
                <w:rFonts w:ascii="Times New Roman" w:cs="Times New Roman" w:eastAsia="Times New Roman" w:hAnsi="Times New Roman"/>
                <w:sz w:val="23"/>
                <w:szCs w:val="23"/>
                <w:color w:val="auto"/>
                <w:vertAlign w:val="superscript"/>
              </w:rPr>
              <w:t>(2)</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1,809,856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97,900</w:t>
            </w:r>
          </w:p>
        </w:tc>
      </w:tr>
      <w:tr>
        <w:trPr>
          <w:trHeight w:val="248"/>
        </w:trPr>
        <w:tc>
          <w:tcPr>
            <w:tcW w:w="5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 Repurchase Activity</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220,325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07"/>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41"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2 - Unregistered Sales of Equity Securities and Use of Proceeds for further detail on the 2024 second quarter share repurchases.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for 2024 first and second quarters (amounts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7"/>
                <w:szCs w:val="17"/>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4, 2024 to May 4,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26, 2024</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 Quarter (May 5, 2024 to August 3, 2024)</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5, 2024, the Company's Board of Directors declared a quarterly cash dividend with respect to the fiscal quarter ended August 3, 2024, of $0.11 per share of the Company's common stock, payable on October 17, 2024, to stockholders of record as of the close of business on September 19,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for the twenty-six weeks ended August 3, 2024 and July 29, 2023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6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360" w:type="dxa"/>
            <w:vAlign w:val="bottom"/>
          </w:tcPr>
          <w:p>
            <w:pPr>
              <w:spacing w:after="0"/>
              <w:rPr>
                <w:sz w:val="19"/>
                <w:szCs w:val="19"/>
                <w:color w:val="auto"/>
              </w:rPr>
            </w:pPr>
          </w:p>
        </w:tc>
        <w:tc>
          <w:tcPr>
            <w:tcW w:w="18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53,793</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34,435</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73,425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109,759</w:t>
            </w:r>
          </w:p>
        </w:tc>
      </w:tr>
      <w:tr>
        <w:trPr>
          <w:trHeight w:val="21"/>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year 2024 to be between $175 million and $225 million. The following table summarizes our forecasted allocation of capital expenditures for fiscal year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Updates for existing stores and distribution centers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or our capital expenditures based on business conditions at that time.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Twenty-Six Weeks Ended August 3, 2024 and July 29, 2023</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7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300" w:type="dxa"/>
            <w:vAlign w:val="bottom"/>
          </w:tcPr>
          <w:p>
            <w:pPr>
              <w:spacing w:after="0"/>
              <w:rPr>
                <w:sz w:val="19"/>
                <w:szCs w:val="19"/>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291,023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243,566</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(107,846)</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(240,636)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(161,529)</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(25,809)</w:t>
            </w:r>
          </w:p>
        </w:tc>
      </w:tr>
      <w:tr>
        <w:trPr>
          <w:trHeight w:val="21"/>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for the year-to-date 2024 increased $47.5 million, compared to the year-to-date 2023. This increase in cash was attributable to:</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net increase in non-cash charges;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$76.9 million net increase in cash flows provided by operating assets and liabilities;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 million decrease in net income.</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in cash flows from operating assets and liabilities was primarily attributable to:</w:t>
      </w:r>
    </w:p>
    <w:p>
      <w:pPr>
        <w:spacing w:after="0" w:line="171" w:lineRule="exact"/>
        <w:rPr>
          <w:sz w:val="20"/>
          <w:szCs w:val="20"/>
          <w:color w:val="auto"/>
        </w:rPr>
      </w:pPr>
    </w:p>
    <w:p>
      <w:pPr>
        <w:ind w:left="660" w:right="2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 million increase in cash flows from accrued expenses and other current liabilities, primarily driven by a $21.1 million increase in accrued personnel costs related to bonuses and timing of payments; and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$166.1 million increase in cash flows from accounts payable, due to timing of payments for increased merchandise inventories relative to the prior year period;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$146.9 million decrease in cash flows from merchandise inventories, net due to lower sales in the current year period.</w:t>
      </w:r>
    </w:p>
    <w:p>
      <w:pPr>
        <w:spacing w:after="0" w:line="24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decreased $34.1 million in the year-to-date 2024 compared to the year-to-date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cash used in investing activities was primarily attributable to:</w:t>
      </w:r>
    </w:p>
    <w:p>
      <w:pPr>
        <w:spacing w:after="0" w:line="105" w:lineRule="exact"/>
        <w:rPr>
          <w:sz w:val="20"/>
          <w:szCs w:val="20"/>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 million lower capital expenditures, primarily driven by decreased spending related to Corporate, E-commerce, and information technology programs in the year-to-date 2024 compared to the year-to-date 2023;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decrease in proceeds from the sale of property and equipment.</w:t>
      </w:r>
    </w:p>
    <w:p>
      <w:pPr>
        <w:spacing w:after="0" w:line="248"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increased $79.1 million in the year-to-date 2024, compared to the year-to-date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drivers of the increase were:</w:t>
      </w:r>
    </w:p>
    <w:p>
      <w:pPr>
        <w:spacing w:after="0" w:line="105" w:lineRule="exact"/>
        <w:rPr>
          <w:sz w:val="20"/>
          <w:szCs w:val="20"/>
          <w:color w:val="auto"/>
        </w:rPr>
      </w:pPr>
    </w:p>
    <w:p>
      <w:pPr>
        <w:ind w:left="660" w:right="54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$63.9 million increase in cash outflows primarily caused by an increase in repurchases and simultaneous retirement of common stock in the current year;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million decrease in proceeds from the exercise of stock options;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increase in debt issuance fees paid during the current year as part of the ABL Amendment;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increase in dividends paid during the current year.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included under Part I, Item 1 of this Quarterly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10—Commitments and Contingencies—Legal Proceedings and Note 11—Subsequent Events (Resolution of CBP Matter) to our unaudited consolidated financial statements included under Part I, Item 1 of this Quarterly Report is incorporated herein by reference.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have been no material developments during the fiscal quarter ended August 3, 2024,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40" w:type="dxa"/>
            <w:vAlign w:val="bottom"/>
            <w:gridSpan w:val="9"/>
          </w:tcPr>
          <w:p>
            <w:pPr>
              <w:ind w:left="260"/>
              <w:spacing w:after="0"/>
              <w:rPr>
                <w:sz w:val="20"/>
                <w:szCs w:val="20"/>
                <w:color w:val="auto"/>
              </w:rPr>
            </w:pPr>
            <w:r>
              <w:rPr>
                <w:rFonts w:ascii="Times New Roman" w:cs="Times New Roman" w:eastAsia="Times New Roman" w:hAnsi="Times New Roman"/>
                <w:sz w:val="18"/>
                <w:szCs w:val="18"/>
                <w:color w:val="auto"/>
                <w:w w:val="99"/>
              </w:rPr>
              <w:t>The following table summarizes the repurchases and cancellations of shares of our common stock during the 2024 second quarter:</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24"/>
                <w:szCs w:val="24"/>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that May Yet</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45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80" w:type="dxa"/>
            <w:vAlign w:val="bottom"/>
            <w:gridSpan w:val="3"/>
            <w:vMerge w:val="continue"/>
          </w:tcPr>
          <w:p>
            <w:pPr>
              <w:spacing w:after="0"/>
              <w:rPr>
                <w:sz w:val="16"/>
                <w:szCs w:val="16"/>
                <w:color w:val="auto"/>
              </w:rPr>
            </w:pPr>
          </w:p>
        </w:tc>
        <w:tc>
          <w:tcPr>
            <w:tcW w:w="17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6"/>
                <w:szCs w:val="16"/>
                <w:color w:val="auto"/>
              </w:rPr>
            </w:pPr>
          </w:p>
        </w:tc>
        <w:tc>
          <w:tcPr>
            <w:tcW w:w="14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29"/>
        </w:trPr>
        <w:tc>
          <w:tcPr>
            <w:tcW w:w="458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 (b)</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Programs (c)</w:t>
            </w: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5, 2024 to June 1, 2024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546,425,226</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 2024 to July 6,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641,343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512,663,803</w:t>
            </w: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7, 2024 to August 3,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476,439,114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1,809,856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1,809,856</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476,439,114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60" w:right="1940" w:hanging="252"/>
        <w:spacing w:after="0" w:line="261" w:lineRule="auto"/>
        <w:tabs>
          <w:tab w:leader="none" w:pos="21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repurchased excludes shares which were net-settled, and therefore not issued, to cover employee withholding related to the vesting of certain restricted stock awards and exercise of certain stock option awards.</w:t>
      </w:r>
    </w:p>
    <w:p>
      <w:pPr>
        <w:ind w:left="220" w:hanging="212"/>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excise taxes.</w:t>
      </w:r>
    </w:p>
    <w:p>
      <w:pPr>
        <w:spacing w:after="0" w:line="14" w:lineRule="exact"/>
        <w:rPr>
          <w:rFonts w:ascii="Times New Roman" w:cs="Times New Roman" w:eastAsia="Times New Roman" w:hAnsi="Times New Roman"/>
          <w:sz w:val="14"/>
          <w:szCs w:val="14"/>
          <w:color w:val="auto"/>
        </w:rPr>
      </w:pPr>
    </w:p>
    <w:p>
      <w:pPr>
        <w:jc w:val="both"/>
        <w:ind w:left="260" w:hanging="252"/>
        <w:spacing w:after="0" w:line="249" w:lineRule="auto"/>
        <w:tabs>
          <w:tab w:leader="none" w:pos="2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 2022, the Board of Directors of the Company authorized a share repurchase program (the "2022 Share Repurchase Program") under which the Company may purchase up to $600 million of its outstanding shares during the three-year period ending June 2, 2025. On November 29, 2023, the Board of Directors of the Company authorized a share repurchase program (the "2023 Share Repurchase Program") under which the Company may purchase up to $600 million of its outstanding shares during the three-year period ending November 29, 2026. The 2022 Share Repurchase Program and the 2023 Share Repurchase Program are collectively referred to as the "Share Repurchase Programs". As of August 3, 2024, approximately $476.4 million remained available for share repurchases pursuant to the Share Repurchase Programs (see Note 2 to the accompanying financial statements). The Share Repurchase Programs do not obligate the Company to acquire any particular number of common shares, and the programs may be suspended, extended, modified or discontinued at any time.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August 3, 2024,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on October 6, 2020).</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Certificate of Change of Registered Agent and/or Registered Office of the Registrant (incorporated by reference to Exhibit 3.1 to the</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Registrant’s Current Report on Form 8-K filed on June 1, 2023).</w:t>
            </w: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Quarterly Report on</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10-Q filed on December 7, 2022).</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29"/>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30"/>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shd w:val="clear" w:color="auto" w:fill="CCEEFF"/>
          </w:tcPr>
          <w:p>
            <w:pPr>
              <w:spacing w:after="0"/>
              <w:rPr>
                <w:sz w:val="22"/>
                <w:szCs w:val="22"/>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September 10, 2024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08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August 3, 2024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628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September 10, 2024</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628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28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28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August 3, 2024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628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7"/>
              </w:rPr>
              <w:t>Date: September 10, 2024</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628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28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28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August 3, 2024,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33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September 10, 2024</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3340" w:type="dxa"/>
            <w:vAlign w:val="bottom"/>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34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4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August 3, 2024,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33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7"/>
              </w:rPr>
              <w:t>Date: September 10, 2024</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3340" w:type="dxa"/>
            <w:vAlign w:val="bottom"/>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334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3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90"/>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9" Type="http://schemas.openxmlformats.org/officeDocument/2006/relationships/hyperlink" Target="https://www.sec.gov/Archives/edgar/data/1817358/000119312520264744/d910645dex31.htm" TargetMode="External"/><Relationship Id="rId50" Type="http://schemas.openxmlformats.org/officeDocument/2006/relationships/hyperlink" Target="https://www.sec.gov/Archives/edgar/data/1817358/000181735823000123/ex31toformcertofchangeofre.htm" TargetMode="External"/><Relationship Id="rId51" Type="http://schemas.openxmlformats.org/officeDocument/2006/relationships/hyperlink" Target="https://www.sec.gov/Archives/edgar/data/1817358/000181735822000182/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2024-09-10T15:34:08Z</dcterms:created>
  <dcterms:modified xsi:type="dcterms:W3CDTF">2024-09-10T15:34:08Z</dcterms:modified>
</cp:coreProperties>
</file>