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6110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11060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974"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02/29/2024</w:t>
            </w: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92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7"/>
                <w:szCs w:val="17"/>
                <w:color w:val="0000FF"/>
              </w:rPr>
              <w:t>Executive Chairman</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6" w:right="359" w:bottom="97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02/29/2024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7"/>
                <w:szCs w:val="17"/>
                <w:color w:val="0000FF"/>
                <w:w w:val="99"/>
              </w:rPr>
              <w:t>1,244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75"/>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485,670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02/29/2024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7"/>
                <w:szCs w:val="17"/>
                <w:color w:val="0000FF"/>
                <w:w w:val="99"/>
              </w:rPr>
              <w:t>1,274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75"/>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486,944</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02/29/2024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7"/>
                <w:szCs w:val="17"/>
                <w:color w:val="0000FF"/>
              </w:rPr>
              <w:t>872</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73.64</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486,072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1,244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02/29/2024</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1,244</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32,664</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1,274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02/29/2024</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1,274</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(4)</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14,014</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-2493645</wp:posOffset>
            </wp:positionV>
            <wp:extent cx="29210" cy="2498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987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January 30, 2026.</w:t>
      </w:r>
    </w:p>
    <w:p>
      <w:pPr>
        <w:spacing w:after="0" w:line="28"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61,133 PRSUs. These PRSUs vest if certain performance criteria and/or Issuer stock price conditions are met and certified by the Issuer's compensation committee. Following certification of 100% achievement of the performance criteria during fiscal 2021 by the Issuer's compensation committee on March 2, 2022, 1/48 of the total PRSUs granted will vest for every monthly anniversary since the Vesting Commencement Date (i.e., January 31, 2021), and thereafter on each monthly anniversary of the Vesting Commencement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03/01/2024</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7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2024-03-01T07:43:15Z</dcterms:created>
  <dcterms:modified xsi:type="dcterms:W3CDTF">2024-03-01T07:43:15Z</dcterms:modified>
</cp:coreProperties>
</file>