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139700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145415</wp:posOffset>
            </wp:positionV>
            <wp:extent cx="205740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140335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480" w:space="720"/>
            <w:col w:w="2680" w:space="720"/>
            <w:col w:w="2480"/>
          </w:cols>
          <w:pgMar w:left="340" w:top="743" w:right="47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00" w:space="720"/>
            <w:col w:w="2520" w:space="720"/>
            <w:col w:w="2720"/>
          </w:cols>
          <w:pgMar w:left="340" w:top="743"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40" w:space="720"/>
            <w:col w:w="2320" w:space="720"/>
            <w:col w:w="2780"/>
          </w:cols>
          <w:pgMar w:left="340" w:top="743" w:right="47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140" w:type="dxa"/>
            <w:vAlign w:val="bottom"/>
            <w:gridSpan w:val="3"/>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ASO</w:t>
            </w:r>
          </w:p>
        </w:tc>
        <w:tc>
          <w:tcPr>
            <w:tcW w:w="1200" w:type="dxa"/>
            <w:vAlign w:val="bottom"/>
          </w:tcPr>
          <w:p>
            <w:pPr>
              <w:spacing w:after="0"/>
              <w:rPr>
                <w:sz w:val="22"/>
                <w:szCs w:val="22"/>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bookmarkStart w:id="1" w:name="page2"/>
    <w:bookmarkEnd w:id="1"/>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Scott Boatwright to Board of Directors</w:t>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6, 2024, the Board of Directors (the “Board”) of Academy Sports and Outdoors, Inc. ("Company" or "Academy") increased the size of the Board from ten to eleven directors and filled the vacancy created by such increase by appointing Scott Boatwright, 51, as an independent Class III director. Mr. Boatwright's initial term will expire on the date of the Company’s 2026 Annual Meeting of Stockholders and until his successor shall be elected and qualified or until his earlier death, resignation, retirement, disqualification or removal.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Boatwright currently serves as Chief Operating Officer at Chipotle Mexican Grill, Inc., a global restaurant company, since May 2023, and previously served as Chipotle's Chief Restaurant Officer from May 2017 to May 2023. Prior to Chipotle, Mr. Boatwright served at Arby's Restaurant Group, Inc., a quick serve restaurant company, as Senior Vice President, Operations from April 2015 to May 2017, as Senior Vice President, Operations Services from January 2012 to March 2015, and previously in other senior leadership positions. He holds a Master of Business Administration from the J. Mack Robinson College of Business at Georgia State University.</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selected Mr. Boatwright because of his operations, strategic planning digital/technology, customer service and loyalty, real estate, and talent experience at large restaurant companies.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Boatwright qualifies as an independent director under the corporate governance standards of Nasdaq, and that there are no arrangement or understanding between Mr. Boatwright and any other person pursuant to which he was elected as a director. There are no transactions in which Mr. Boatwright has an interest requiring disclosure under Item 404(a) of Regulation S-K.</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his service on the Board, Mr. Boatwright will receive the cash and equity compensation provided by the Company's Non-Employee Director Compensation Policy, as it may be adjusted by the Board from time to time, as described in the Company's Definitive Proxy Statement, which was filed with the Securities and Exchange Commission on April 19,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and Mr. Boatwright will enter into the Company’s standard form of indemnification agreement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1821815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6, 2024, the Company held its 2024 Annual Meeting of Stockholders (the "Annual Meeting"). The final voting results for each of the matters submitted to a stockholder vote at the Annual Meeting,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Class I Directors</w:t>
      </w:r>
    </w:p>
    <w:p>
      <w:pPr>
        <w:spacing w:after="0" w:line="25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stockholders elected four Class I directors to serve for a term of three years expiring at the Company's 2027 Annual Meeting of Stockholders and until their successors shall be elected and qualified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0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Steve Lawrence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47,755,310</w:t>
            </w:r>
          </w:p>
        </w:tc>
        <w:tc>
          <w:tcPr>
            <w:tcW w:w="1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15,621,701</w:t>
            </w:r>
          </w:p>
        </w:tc>
        <w:tc>
          <w:tcPr>
            <w:tcW w:w="1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5,447,501</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Brian Marley</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47,495,664</w:t>
            </w:r>
          </w:p>
        </w:tc>
        <w:tc>
          <w:tcPr>
            <w:tcW w:w="16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15,881,347</w:t>
            </w:r>
          </w:p>
        </w:tc>
        <w:tc>
          <w:tcPr>
            <w:tcW w:w="14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5,447,501</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Tom Nealon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47,452,609</w:t>
            </w:r>
          </w:p>
        </w:tc>
        <w:tc>
          <w:tcPr>
            <w:tcW w:w="16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15,924,402</w:t>
            </w:r>
          </w:p>
        </w:tc>
        <w:tc>
          <w:tcPr>
            <w:tcW w:w="14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5,447,501</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Chris Turner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47,630,656</w:t>
            </w:r>
          </w:p>
        </w:tc>
        <w:tc>
          <w:tcPr>
            <w:tcW w:w="16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15,746,355</w:t>
            </w:r>
          </w:p>
        </w:tc>
        <w:tc>
          <w:tcPr>
            <w:tcW w:w="14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5,447,501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Deloitte &amp; Touche LLP as the Independent Registered Public Accounting Firm for fiscal year 2024</w:t>
      </w:r>
    </w:p>
    <w:p>
      <w:pPr>
        <w:spacing w:after="0" w:line="25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2024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22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67,538,341</w:t>
            </w:r>
          </w:p>
        </w:tc>
        <w:tc>
          <w:tcPr>
            <w:tcW w:w="160" w:type="dxa"/>
            <w:vAlign w:val="bottom"/>
          </w:tcPr>
          <w:p>
            <w:pPr>
              <w:spacing w:after="0"/>
              <w:rPr>
                <w:sz w:val="20"/>
                <w:szCs w:val="20"/>
                <w:color w:val="auto"/>
              </w:rPr>
            </w:pP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1,248,145</w:t>
            </w:r>
          </w:p>
        </w:tc>
        <w:tc>
          <w:tcPr>
            <w:tcW w:w="160" w:type="dxa"/>
            <w:vAlign w:val="bottom"/>
          </w:tcPr>
          <w:p>
            <w:pPr>
              <w:spacing w:after="0"/>
              <w:rPr>
                <w:sz w:val="20"/>
                <w:szCs w:val="20"/>
                <w:color w:val="auto"/>
              </w:rPr>
            </w:pPr>
          </w:p>
        </w:tc>
        <w:tc>
          <w:tcPr>
            <w:tcW w:w="22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38,026</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Approval, by non-binding advisory vote, of the fiscal year 2023 compensation paid to the Company’s named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the fiscal year 2023 compensation paid to the Company's named executive officers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8"/>
        </w:trPr>
        <w:tc>
          <w:tcPr>
            <w:tcW w:w="22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62,633,578</w:t>
            </w:r>
          </w:p>
        </w:tc>
        <w:tc>
          <w:tcPr>
            <w:tcW w:w="160" w:type="dxa"/>
            <w:vAlign w:val="bottom"/>
          </w:tcPr>
          <w:p>
            <w:pPr>
              <w:spacing w:after="0"/>
              <w:rPr>
                <w:sz w:val="19"/>
                <w:szCs w:val="19"/>
                <w:color w:val="auto"/>
              </w:rPr>
            </w:pPr>
          </w:p>
        </w:tc>
        <w:tc>
          <w:tcPr>
            <w:tcW w:w="2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677,769</w:t>
            </w:r>
          </w:p>
        </w:tc>
        <w:tc>
          <w:tcPr>
            <w:tcW w:w="140" w:type="dxa"/>
            <w:vAlign w:val="bottom"/>
          </w:tcPr>
          <w:p>
            <w:pPr>
              <w:spacing w:after="0"/>
              <w:rPr>
                <w:sz w:val="19"/>
                <w:szCs w:val="19"/>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65,664</w:t>
            </w:r>
          </w:p>
        </w:tc>
        <w:tc>
          <w:tcPr>
            <w:tcW w:w="140" w:type="dxa"/>
            <w:vAlign w:val="bottom"/>
          </w:tcPr>
          <w:p>
            <w:pPr>
              <w:spacing w:after="0"/>
              <w:rPr>
                <w:sz w:val="19"/>
                <w:szCs w:val="19"/>
                <w:color w:val="auto"/>
              </w:rPr>
            </w:pP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5,447,501</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6, 2024, the Company issued a press release announcing Mr. Boatwright's appointment, a copy of which is attached hereto as Exhibit 99.1 and incorporated herein by reference.</w:t>
      </w:r>
    </w:p>
    <w:p>
      <w:pPr>
        <w:spacing w:after="0" w:line="18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June 6, 2024, the Company issued a press release announcing that the Company’s Board approved the declaration of a cash dividend with respect to the quarter ended May 4, 2024 of $0.11 per share of outstanding common stock of the Company, payable on July 18, 2024, to stockholders of record as of the close of business on June 20,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4" w:name="page5"/>
    <w:bookmarkEnd w:id="4"/>
    <w:p>
      <w:pPr>
        <w:spacing w:after="0" w:line="193" w:lineRule="auto"/>
        <w:framePr w:w="420" w:h="176" w:wrap="auto" w:vAnchor="page" w:hAnchor="page" w:x="1740" w:y="2704"/>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99.1</w:t>
      </w: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rFonts w:ascii="Times New Roman" w:cs="Times New Roman" w:eastAsia="Times New Roman" w:hAnsi="Times New Roman"/>
          <w:sz w:val="19"/>
          <w:szCs w:val="19"/>
          <w:u w:val="single" w:color="auto"/>
          <w:color w:val="0000FF"/>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94" w:lineRule="exact"/>
        <w:rPr>
          <w:rFonts w:ascii="Times New Roman" w:cs="Times New Roman" w:eastAsia="Times New Roman" w:hAnsi="Times New Roman"/>
          <w:sz w:val="19"/>
          <w:szCs w:val="19"/>
          <w:u w:val="single" w:color="auto"/>
          <w:color w:val="0000FF"/>
        </w:rPr>
      </w:pPr>
    </w:p>
    <w:p>
      <w:pPr>
        <w:ind w:left="2160"/>
        <w:spacing w:after="0"/>
        <w:rPr>
          <w:sz w:val="20"/>
          <w:szCs w:val="20"/>
          <w:color w:val="auto"/>
        </w:rPr>
      </w:pPr>
      <w:r>
        <w:rPr>
          <w:rFonts w:ascii="Times New Roman" w:cs="Times New Roman" w:eastAsia="Times New Roman" w:hAnsi="Times New Roman"/>
          <w:sz w:val="18"/>
          <w:szCs w:val="18"/>
          <w:color w:val="auto"/>
        </w:rPr>
        <w:t>Press Release, dated June 6, 2024.</w:t>
      </w:r>
    </w:p>
    <w:p>
      <w:pPr>
        <w:spacing w:after="0" w:line="59" w:lineRule="exact"/>
        <w:rPr>
          <w:rFonts w:ascii="Times New Roman" w:cs="Times New Roman" w:eastAsia="Times New Roman" w:hAnsi="Times New Roman"/>
          <w:sz w:val="19"/>
          <w:szCs w:val="19"/>
          <w:u w:val="single" w:color="auto"/>
          <w:color w:val="0000FF"/>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99.2</w:t>
      </w:r>
      <w:r>
        <w:rPr>
          <w:sz w:val="20"/>
          <w:szCs w:val="20"/>
          <w:color w:val="auto"/>
        </w:rPr>
        <w:tab/>
      </w:r>
      <w:r>
        <w:rPr>
          <w:rFonts w:ascii="Times New Roman" w:cs="Times New Roman" w:eastAsia="Times New Roman" w:hAnsi="Times New Roman"/>
          <w:sz w:val="18"/>
          <w:szCs w:val="18"/>
          <w:color w:val="auto"/>
        </w:rPr>
        <w:t>Press Release, dated June 6, 2024.</w:t>
      </w:r>
    </w:p>
    <w:p>
      <w:pPr>
        <w:spacing w:after="0" w:line="99" w:lineRule="exact"/>
        <w:rPr>
          <w:rFonts w:ascii="Times New Roman" w:cs="Times New Roman" w:eastAsia="Times New Roman" w:hAnsi="Times New Roman"/>
          <w:sz w:val="19"/>
          <w:szCs w:val="19"/>
          <w:u w:val="single" w:color="auto"/>
          <w:color w:val="0000FF"/>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5" w:name="page6"/>
    <w:bookmarkEnd w:id="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20"/>
          </w:cols>
          <w:pgMar w:left="320" w:top="1440"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692150</wp:posOffset>
            </wp:positionV>
            <wp:extent cx="1988820" cy="822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Appoints Scott Boatwright to its Board of Directors</w:t>
      </w:r>
    </w:p>
    <w:p>
      <w:pPr>
        <w:spacing w:after="0" w:line="26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KATY, Texas, June 6, 2024 /PRNewswire -- Academy Sports and Outdoors, Inc. (“Academy”) (Nasdaq: ASO) today announced that Scott Boatwright has been appointed to its Board of Directors (the "Board"), effective immediately. With this change, Academy's Board now comprises 11 directors.</w:t>
      </w:r>
    </w:p>
    <w:p>
      <w:pPr>
        <w:spacing w:after="0" w:line="212" w:lineRule="exact"/>
        <w:rPr>
          <w:sz w:val="20"/>
          <w:szCs w:val="20"/>
          <w:color w:val="auto"/>
        </w:rPr>
      </w:pPr>
    </w:p>
    <w:p>
      <w:pPr>
        <w:ind w:right="600"/>
        <w:spacing w:after="0"/>
        <w:rPr>
          <w:sz w:val="20"/>
          <w:szCs w:val="20"/>
          <w:color w:val="auto"/>
        </w:rPr>
      </w:pPr>
      <w:r>
        <w:rPr>
          <w:rFonts w:ascii="Arial" w:cs="Arial" w:eastAsia="Arial" w:hAnsi="Arial"/>
          <w:sz w:val="20"/>
          <w:szCs w:val="20"/>
          <w:color w:val="auto"/>
        </w:rPr>
        <w:t>"We are pleased to welcome Scott to Academy’s Board of Directors," said Ken Hicks, Chairman of the Board of Academy. "Scott’s deep and relevant experience in driving productivity, operational excellence, and scalability in complex business environments, along with building a strong customer base and providing an exceptional customer experience, will be very valuable to the Board as Academy continues to execute its growth strategy.”</w:t>
      </w:r>
    </w:p>
    <w:p>
      <w:pPr>
        <w:spacing w:after="0" w:line="21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Mr. Boatwright brings nearly 30 years of operations, strategic planning, digital/technology, customer service and loyalty, real estate and talent experience. He currently serves as Chief Operating Officer at Chipotle Mexican Grill since May 2023, and previously served as Chipotle’s Chief Restaurant Officer from May 2017 to May 2023. Prior to Chipotle, Mr. Boatwright served at Arby’s Restaurant Group as Senior Vice President, Operations from April 2015 to May 2017, as Senior Vice President, Operations Services from January 2012 to March 2015, and previously in other senior leadership positions. He holds a Master of Business Administration from the J. Mack Robinson College of Business at Georgia State University.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6"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 xml:space="preserve">Academy is a leading full-line sporting goods and outdoor recreation retailer in the United States. Originally founded in 1938 as a family business in Texas, Academy has grown to 285 stores across 19 states.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t>
      </w:r>
      <w:r>
        <w:rPr>
          <w:rFonts w:ascii="Arial" w:cs="Arial" w:eastAsia="Arial" w:hAnsi="Arial"/>
          <w:sz w:val="20"/>
          <w:szCs w:val="20"/>
          <w:color w:val="0000FF"/>
        </w:rPr>
        <w:t>www.academy.com</w:t>
      </w:r>
      <w:r>
        <w:rPr>
          <w:rFonts w:ascii="Arial" w:cs="Arial" w:eastAsia="Arial" w:hAnsi="Arial"/>
          <w:sz w:val="20"/>
          <w:szCs w:val="20"/>
          <w:color w:val="000000"/>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6"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“continues,” “may,” “will,” “should,” “could,” “strategies,” “plans” or the negative version of these words or other comparable words. The forward-looking statements include, among other things, statements regarding Academy’s expectations regarding its future performance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Securities &amp; Exchange Commission (the "SEC"), including Academy’s most recently filed Annual Report on Form 10-K, under the caption “Risk Factors,” as may be updated from time to time in our periodic filings with the SEC. Any forward-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2320" w:type="dxa"/>
            <w:vAlign w:val="bottom"/>
            <w:gridSpan w:val="2"/>
          </w:tcPr>
          <w:p>
            <w:pPr>
              <w:ind w:left="20"/>
              <w:spacing w:after="0"/>
              <w:rPr>
                <w:sz w:val="20"/>
                <w:szCs w:val="20"/>
                <w:color w:val="auto"/>
              </w:rPr>
            </w:pPr>
            <w:r>
              <w:rPr>
                <w:rFonts w:ascii="Arial" w:cs="Arial" w:eastAsia="Arial" w:hAnsi="Arial"/>
                <w:sz w:val="20"/>
                <w:szCs w:val="20"/>
                <w:b w:val="1"/>
                <w:bCs w:val="1"/>
                <w:color w:val="auto"/>
              </w:rPr>
              <w:t>Media Contact</w:t>
            </w:r>
          </w:p>
        </w:tc>
      </w:tr>
      <w:tr>
        <w:trPr>
          <w:trHeight w:val="328"/>
        </w:trPr>
        <w:tc>
          <w:tcPr>
            <w:tcW w:w="15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Matt Hodges</w:t>
            </w:r>
          </w:p>
        </w:tc>
        <w:tc>
          <w:tcPr>
            <w:tcW w:w="3080" w:type="dxa"/>
            <w:vAlign w:val="bottom"/>
          </w:tcPr>
          <w:p>
            <w:pPr>
              <w:spacing w:after="0"/>
              <w:rPr>
                <w:sz w:val="24"/>
                <w:szCs w:val="24"/>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Allan Rojas</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VP, Investor Relations</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rPr>
              <w:t>Communications Director</w:t>
            </w:r>
          </w:p>
        </w:tc>
      </w:tr>
      <w:tr>
        <w:trPr>
          <w:trHeight w:val="297"/>
        </w:trPr>
        <w:tc>
          <w:tcPr>
            <w:tcW w:w="1560" w:type="dxa"/>
            <w:vAlign w:val="bottom"/>
          </w:tcPr>
          <w:p>
            <w:pPr>
              <w:spacing w:after="0"/>
              <w:rPr>
                <w:sz w:val="20"/>
                <w:szCs w:val="20"/>
                <w:color w:val="auto"/>
              </w:rPr>
            </w:pPr>
            <w:r>
              <w:rPr>
                <w:rFonts w:ascii="Arial" w:cs="Arial" w:eastAsia="Arial" w:hAnsi="Arial"/>
                <w:sz w:val="20"/>
                <w:szCs w:val="20"/>
                <w:color w:val="auto"/>
              </w:rPr>
              <w:t>281-646-5362</w:t>
            </w:r>
          </w:p>
        </w:tc>
        <w:tc>
          <w:tcPr>
            <w:tcW w:w="30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281-944-6048</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matt.hodges@academy.com</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w w:val="96"/>
              </w:rPr>
              <w:t>allan.rojas@academy.com</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692150</wp:posOffset>
            </wp:positionV>
            <wp:extent cx="198882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Announces Quarterly Cash Dividend</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0"/>
          <w:szCs w:val="20"/>
          <w:color w:val="auto"/>
        </w:rPr>
        <w:t>KATY, Texas, June 6, 2024 /PRNewswire -- Academy Sports and Outdoors, Inc. (the “Company” or “Academy”) (Nasdaq: ASO) announced today that its Board of Directors approved the declaration of a quarterly cash dividend with respect to the fiscal quarter ended May 4, 2024 of $0.11 per share of the Company's common stock. The dividend is payable on July 18, 2024, to stockholders of record as of the close of business on June 20, 2024.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285 stores across 19 states.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2320" w:type="dxa"/>
            <w:vAlign w:val="bottom"/>
            <w:gridSpan w:val="2"/>
          </w:tcPr>
          <w:p>
            <w:pPr>
              <w:ind w:left="20"/>
              <w:spacing w:after="0"/>
              <w:rPr>
                <w:sz w:val="20"/>
                <w:szCs w:val="20"/>
                <w:color w:val="auto"/>
              </w:rPr>
            </w:pPr>
            <w:r>
              <w:rPr>
                <w:rFonts w:ascii="Arial" w:cs="Arial" w:eastAsia="Arial" w:hAnsi="Arial"/>
                <w:sz w:val="20"/>
                <w:szCs w:val="20"/>
                <w:b w:val="1"/>
                <w:bCs w:val="1"/>
                <w:color w:val="auto"/>
              </w:rPr>
              <w:t>Media Contact</w:t>
            </w:r>
          </w:p>
        </w:tc>
      </w:tr>
      <w:tr>
        <w:trPr>
          <w:trHeight w:val="328"/>
        </w:trPr>
        <w:tc>
          <w:tcPr>
            <w:tcW w:w="15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Matt Hodges</w:t>
            </w:r>
          </w:p>
        </w:tc>
        <w:tc>
          <w:tcPr>
            <w:tcW w:w="3080" w:type="dxa"/>
            <w:vAlign w:val="bottom"/>
          </w:tcPr>
          <w:p>
            <w:pPr>
              <w:spacing w:after="0"/>
              <w:rPr>
                <w:sz w:val="24"/>
                <w:szCs w:val="24"/>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Allan Rojas</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VP, Investor Relations</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rPr>
              <w:t>Communications Director</w:t>
            </w:r>
          </w:p>
        </w:tc>
      </w:tr>
      <w:tr>
        <w:trPr>
          <w:trHeight w:val="297"/>
        </w:trPr>
        <w:tc>
          <w:tcPr>
            <w:tcW w:w="1560" w:type="dxa"/>
            <w:vAlign w:val="bottom"/>
          </w:tcPr>
          <w:p>
            <w:pPr>
              <w:spacing w:after="0"/>
              <w:rPr>
                <w:sz w:val="20"/>
                <w:szCs w:val="20"/>
                <w:color w:val="auto"/>
              </w:rPr>
            </w:pPr>
            <w:r>
              <w:rPr>
                <w:rFonts w:ascii="Arial" w:cs="Arial" w:eastAsia="Arial" w:hAnsi="Arial"/>
                <w:sz w:val="20"/>
                <w:szCs w:val="20"/>
                <w:color w:val="auto"/>
              </w:rPr>
              <w:t>281-646-5362</w:t>
            </w:r>
          </w:p>
        </w:tc>
        <w:tc>
          <w:tcPr>
            <w:tcW w:w="30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281-944-6048</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matt.hodges@academy.com</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w w:val="96"/>
              </w:rPr>
              <w:t>allan.rojas@academy.com</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2024-06-07T05:12:20Z</dcterms:created>
  <dcterms:modified xsi:type="dcterms:W3CDTF">2024-06-07T05:12:20Z</dcterms:modified>
</cp:coreProperties>
</file>