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1225550</wp:posOffset>
            </wp:positionH>
            <wp:positionV relativeFrom="paragraph">
              <wp:posOffset>49530</wp:posOffset>
            </wp:positionV>
            <wp:extent cx="3754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600" w:hanging="189"/>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0" w:lineRule="exact"/>
        <w:rPr>
          <w:rFonts w:ascii="MS PGothic" w:cs="MS PGothic" w:eastAsia="MS PGothic" w:hAnsi="MS PGothic"/>
          <w:sz w:val="16"/>
          <w:szCs w:val="16"/>
          <w:color w:val="auto"/>
        </w:rPr>
      </w:pPr>
    </w:p>
    <w:p>
      <w:pPr>
        <w:ind w:left="33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Fiscal Year Ended February 1, 2025</w:t>
      </w:r>
    </w:p>
    <w:p>
      <w:pPr>
        <w:spacing w:after="0" w:line="12" w:lineRule="exact"/>
        <w:rPr>
          <w:rFonts w:ascii="MS PGothic" w:cs="MS PGothic" w:eastAsia="MS PGothic" w:hAnsi="MS PGothic"/>
          <w:sz w:val="16"/>
          <w:szCs w:val="16"/>
          <w:color w:val="auto"/>
        </w:rPr>
      </w:pPr>
    </w:p>
    <w:p>
      <w:pPr>
        <w:ind w:left="48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32" w:lineRule="exact"/>
        <w:rPr>
          <w:rFonts w:ascii="MS PGothic" w:cs="MS PGothic" w:eastAsia="MS PGothic" w:hAnsi="MS PGothic"/>
          <w:sz w:val="16"/>
          <w:szCs w:val="16"/>
          <w:color w:val="auto"/>
        </w:rPr>
      </w:pPr>
    </w:p>
    <w:p>
      <w:pPr>
        <w:ind w:left="880" w:hanging="197"/>
        <w:spacing w:after="0"/>
        <w:tabs>
          <w:tab w:leader="none" w:pos="88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1225550</wp:posOffset>
            </wp:positionH>
            <wp:positionV relativeFrom="paragraph">
              <wp:posOffset>55880</wp:posOffset>
            </wp:positionV>
            <wp:extent cx="3754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116205</wp:posOffset>
            </wp:positionV>
            <wp:extent cx="137160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402"/>
        </w:trPr>
        <w:tc>
          <w:tcPr>
            <w:tcW w:w="1340" w:type="dxa"/>
            <w:vAlign w:val="bottom"/>
          </w:tcPr>
          <w:p>
            <w:pPr>
              <w:spacing w:after="0"/>
              <w:rPr>
                <w:sz w:val="24"/>
                <w:szCs w:val="24"/>
                <w:color w:val="auto"/>
              </w:rPr>
            </w:pPr>
          </w:p>
        </w:tc>
        <w:tc>
          <w:tcPr>
            <w:tcW w:w="6500" w:type="dxa"/>
            <w:vAlign w:val="bottom"/>
            <w:gridSpan w:val="6"/>
          </w:tcPr>
          <w:p>
            <w:pPr>
              <w:jc w:val="center"/>
              <w:ind w:left="51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340" w:type="dxa"/>
            <w:vAlign w:val="bottom"/>
          </w:tcPr>
          <w:p>
            <w:pPr>
              <w:spacing w:after="0"/>
              <w:rPr>
                <w:sz w:val="24"/>
                <w:szCs w:val="24"/>
                <w:color w:val="auto"/>
              </w:rPr>
            </w:pPr>
          </w:p>
        </w:tc>
        <w:tc>
          <w:tcPr>
            <w:tcW w:w="202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85-1800912</w:t>
            </w:r>
          </w:p>
        </w:tc>
        <w:tc>
          <w:tcPr>
            <w:tcW w:w="0" w:type="dxa"/>
            <w:vAlign w:val="bottom"/>
          </w:tcPr>
          <w:p>
            <w:pPr>
              <w:spacing w:after="0"/>
              <w:rPr>
                <w:sz w:val="1"/>
                <w:szCs w:val="1"/>
                <w:color w:val="auto"/>
              </w:rPr>
            </w:pPr>
          </w:p>
        </w:tc>
      </w:tr>
      <w:tr>
        <w:trPr>
          <w:trHeight w:val="287"/>
        </w:trPr>
        <w:tc>
          <w:tcPr>
            <w:tcW w:w="6400" w:type="dxa"/>
            <w:vAlign w:val="bottom"/>
            <w:gridSpan w:val="6"/>
          </w:tcPr>
          <w:p>
            <w:pPr>
              <w:jc w:val="center"/>
              <w:ind w:right="254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2020" w:type="dxa"/>
            <w:vAlign w:val="bottom"/>
            <w:gridSpan w:val="2"/>
          </w:tcPr>
          <w:p>
            <w:pPr>
              <w:jc w:val="center"/>
              <w:ind w:right="739"/>
              <w:spacing w:after="0"/>
              <w:rPr>
                <w:sz w:val="20"/>
                <w:szCs w:val="20"/>
                <w:color w:val="auto"/>
              </w:rPr>
            </w:pPr>
            <w:r>
              <w:rPr>
                <w:rFonts w:ascii="Times New Roman" w:cs="Times New Roman" w:eastAsia="Times New Roman" w:hAnsi="Times New Roman"/>
                <w:sz w:val="16"/>
                <w:szCs w:val="16"/>
                <w:i w:val="1"/>
                <w:iCs w:val="1"/>
                <w:color w:val="auto"/>
              </w:rPr>
              <w:t>organization)</w:t>
            </w: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1800 North Mason Road</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Katy, Texas 77449</w:t>
            </w:r>
          </w:p>
        </w:tc>
        <w:tc>
          <w:tcPr>
            <w:tcW w:w="1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gridSpan w:val="2"/>
          </w:tcPr>
          <w:p>
            <w:pPr>
              <w:jc w:val="center"/>
              <w:ind w:left="821"/>
              <w:spacing w:after="0"/>
              <w:rPr>
                <w:sz w:val="20"/>
                <w:szCs w:val="20"/>
                <w:color w:val="auto"/>
              </w:rPr>
            </w:pPr>
            <w:r>
              <w:rPr>
                <w:rFonts w:ascii="Times New Roman" w:cs="Times New Roman" w:eastAsia="Times New Roman" w:hAnsi="Times New Roman"/>
                <w:sz w:val="16"/>
                <w:szCs w:val="16"/>
                <w:b w:val="1"/>
                <w:bCs w:val="1"/>
                <w:color w:val="auto"/>
                <w:w w:val="99"/>
              </w:rPr>
              <w:t>(281) 646-5200</w:t>
            </w:r>
          </w:p>
        </w:tc>
        <w:tc>
          <w:tcPr>
            <w:tcW w:w="8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gridSpan w:val="2"/>
          </w:tcPr>
          <w:p>
            <w:pPr>
              <w:jc w:val="center"/>
              <w:ind w:right="860"/>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29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940" w:type="dxa"/>
            <w:vAlign w:val="bottom"/>
          </w:tcPr>
          <w:p>
            <w:pPr>
              <w:spacing w:after="0"/>
              <w:rPr>
                <w:sz w:val="20"/>
                <w:szCs w:val="20"/>
                <w:color w:val="auto"/>
              </w:rPr>
            </w:pPr>
          </w:p>
        </w:tc>
        <w:tc>
          <w:tcPr>
            <w:tcW w:w="210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ASO</w:t>
            </w: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22"/>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15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4"/>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15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784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Exchange Act of 1934 during the preceding 12 months (or for such shorter period that the registrant was required to file such reports),</w:t>
            </w:r>
          </w:p>
        </w:tc>
        <w:tc>
          <w:tcPr>
            <w:tcW w:w="154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1"/>
        </w:trPr>
        <w:tc>
          <w:tcPr>
            <w:tcW w:w="6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and (2) has been subject to such filing requirements for the past 90 days.</w:t>
            </w:r>
          </w:p>
        </w:tc>
        <w:tc>
          <w:tcPr>
            <w:tcW w:w="14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pursuant to Rule 405 of Regulation S-T (§232.405 of this chapter) during the preceding 12 months (or for such shorter period that</w:t>
            </w:r>
          </w:p>
        </w:tc>
        <w:tc>
          <w:tcPr>
            <w:tcW w:w="154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7"/>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registrant was required to submit such files).</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w:t>
      </w:r>
    </w:p>
    <w:p>
      <w:pPr>
        <w:spacing w:after="0" w:line="4"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company. See the definitions of “large accelerated filer”, “accelerated filer”, “smaller reporting company”, and “emerging growth company” in Rule 12b-2 of the Exchange Act.</w:t>
      </w:r>
    </w:p>
    <w:p>
      <w:pPr>
        <w:sectPr>
          <w:pgSz w:w="11900" w:h="16838" w:orient="portrait"/>
          <w:cols w:equalWidth="0" w:num="1">
            <w:col w:w="9800"/>
          </w:cols>
          <w:pgMar w:left="720" w:top="500" w:right="1379" w:bottom="1440" w:gutter="0" w:footer="0" w:header="0"/>
        </w:sectPr>
      </w:pPr>
    </w:p>
    <w:p>
      <w:pPr>
        <w:ind w:left="19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700"/>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4" w:lineRule="exact"/>
        <w:rPr>
          <w:sz w:val="24"/>
          <w:szCs w:val="24"/>
          <w:color w:val="auto"/>
        </w:rPr>
      </w:pPr>
    </w:p>
    <w:p>
      <w:pPr>
        <w:sectPr>
          <w:pgSz w:w="11900" w:h="16838" w:orient="portrait"/>
          <w:cols w:equalWidth="0" w:num="2">
            <w:col w:w="5260" w:space="720"/>
            <w:col w:w="3820"/>
          </w:cols>
          <w:pgMar w:left="720" w:top="500" w:right="1379" w:bottom="1440" w:gutter="0" w:footer="0" w:header="0"/>
          <w:type w:val="continuous"/>
        </w:sectPr>
      </w:pPr>
    </w:p>
    <w:p>
      <w:pPr>
        <w:ind w:left="19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2">
            <w:col w:w="5260" w:space="720"/>
            <w:col w:w="3820"/>
          </w:cols>
          <w:pgMar w:left="720" w:top="500" w:right="1379" w:bottom="1440" w:gutter="0" w:footer="0" w:header="0"/>
          <w:type w:val="continuous"/>
        </w:sect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Common Stock on the Nasdaq Stock Market LLC on August 2, 2024, the last business day of the registrant's most recently completed second fiscal quarter, was approximately $3.4 billion.</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13, 2025, Academy Sports and Outdoors, Inc. had 67,004,727 shares of common stock, par value $0.01 per share, outstanding.</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 Part III of this Annual Report on Form 10-K incorporates certain information from the registrant's definite proxy statement for its</w:t>
      </w:r>
    </w:p>
    <w:p>
      <w:pPr>
        <w:spacing w:after="0" w:line="206" w:lineRule="auto"/>
        <w:rPr>
          <w:sz w:val="20"/>
          <w:szCs w:val="20"/>
          <w:color w:val="auto"/>
        </w:rPr>
      </w:pPr>
      <w:r>
        <w:rPr>
          <w:rFonts w:ascii="Times New Roman" w:cs="Times New Roman" w:eastAsia="Times New Roman" w:hAnsi="Times New Roman"/>
          <w:sz w:val="14"/>
          <w:szCs w:val="14"/>
          <w:color w:val="auto"/>
        </w:rPr>
        <w:t>2025 Annual Meeting of Stockholders, which shall be filed with the Securities and Exchange Commission pursuant to Regulation 14A of the Securities Exchange Act of</w:t>
      </w:r>
    </w:p>
    <w:p>
      <w:pPr>
        <w:spacing w:after="0"/>
        <w:rPr>
          <w:sz w:val="20"/>
          <w:szCs w:val="20"/>
          <w:color w:val="auto"/>
        </w:rPr>
      </w:pPr>
      <w:r>
        <w:rPr>
          <w:rFonts w:ascii="Times New Roman" w:cs="Times New Roman" w:eastAsia="Times New Roman" w:hAnsi="Times New Roman"/>
          <w:sz w:val="14"/>
          <w:szCs w:val="14"/>
          <w:color w:val="auto"/>
        </w:rPr>
        <w:t>1934, as amended, within 120 days of the registrant's fiscal year 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386715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720" w:top="500" w:right="1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96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860" w:type="dxa"/>
            <w:vAlign w:val="bottom"/>
            <w:gridSpan w:val="5"/>
            <w:shd w:val="clear" w:color="auto" w:fill="CCEEFF"/>
          </w:tcPr>
          <w:p>
            <w:pPr>
              <w:jc w:val="center"/>
              <w:ind w:left="6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w:t>
            </w:r>
          </w:p>
        </w:tc>
        <w:tc>
          <w:tcPr>
            <w:tcW w:w="860" w:type="dxa"/>
            <w:vAlign w:val="bottom"/>
            <w:gridSpan w:val="5"/>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 Business</w:t>
            </w:r>
          </w:p>
        </w:tc>
        <w:tc>
          <w:tcPr>
            <w:tcW w:w="860" w:type="dxa"/>
            <w:vAlign w:val="bottom"/>
            <w:gridSpan w:val="5"/>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1A. Risk Factors</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1B. Unresolved Staff Comments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1C. Cybersecurity</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2. Properties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3. Legal Proceedings</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4. Mine Safety Disclosures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6. [Reserved]</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9A. Controls and Procedures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9B. Other Information</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III</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11. Executive Compensation</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IV</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15. Exhibits and Financial Statements Schedules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16. Form 10-K Summary</w:t>
            </w:r>
          </w:p>
        </w:tc>
        <w:tc>
          <w:tcPr>
            <w:tcW w:w="156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101</w:t>
            </w: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156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spacing w:after="0" w:line="221"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spacing w:after="0" w:line="219"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0" w:lineRule="exact"/>
        <w:rPr>
          <w:sz w:val="20"/>
          <w:szCs w:val="20"/>
          <w:color w:val="auto"/>
        </w:rPr>
      </w:pPr>
    </w:p>
    <w:p>
      <w:pPr>
        <w:spacing w:after="0" w:line="218"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All references to “Academy”, “we”, “us,” “our” or the “Company” in this Annual Report and the accompanying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w:t>
      </w:r>
    </w:p>
    <w:p>
      <w:pPr>
        <w:spacing w:after="0" w:line="141" w:lineRule="exact"/>
        <w:rPr>
          <w:sz w:val="20"/>
          <w:szCs w:val="20"/>
          <w:color w:val="auto"/>
        </w:rPr>
      </w:pPr>
    </w:p>
    <w:p>
      <w:pPr>
        <w:jc w:val="both"/>
        <w:ind w:firstLine="292"/>
        <w:spacing w:after="0" w:line="250" w:lineRule="auto"/>
        <w:rPr>
          <w:sz w:val="20"/>
          <w:szCs w:val="20"/>
          <w:color w:val="auto"/>
        </w:rPr>
      </w:pPr>
      <w:r>
        <w:rPr>
          <w:rFonts w:ascii="Times New Roman" w:cs="Times New Roman" w:eastAsia="Times New Roman" w:hAnsi="Times New Roman"/>
          <w:sz w:val="18"/>
          <w:szCs w:val="18"/>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“2021” “2022,” “2023,” and “2024” relate to our fiscal years ended January 29, 2022, January 28, 2023, February 3, 2024, and February 1, 2025, respectively, unless the context requires otherwise.</w:t>
      </w:r>
    </w:p>
    <w:p>
      <w:pPr>
        <w:spacing w:after="0" w:line="204"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including in China, which exposes us to various international risks, including additional tariffs;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w:t>
      </w:r>
    </w:p>
    <w:p>
      <w:pPr>
        <w:spacing w:after="0" w:line="9"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quality team members in sufficient numbers, increases in wage and labor costs, and changes in laws and other labor issues;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train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to support our existing business and future initiatives;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suppliers to supply us with merchandise that we purchase for resale;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31" w:lineRule="exact"/>
        <w:rPr>
          <w:sz w:val="20"/>
          <w:szCs w:val="20"/>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31" w:lineRule="exact"/>
        <w:rPr>
          <w:sz w:val="20"/>
          <w:szCs w:val="20"/>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could delay or prevent a change of control;</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3"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included elsewhere in this Annual Report for the fiscal year ended February 1, 2025.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Academy Sports + Outdoors is a leading full-line sporting goods and outdoor recreation retailer in the United States. Originally founded in 1938 as a family business in Texas, we now operate 298 stores across 19 contiguous states as of February 1, 2025.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30%, 27%, 23% and 20% of our 2024 net sales, respectively) through both leading national brands and a portfolio of 19 private label brands, which go well beyond traditional sporting goods and apparel offerings.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attributes differentiate us from our competitors:</w:t>
      </w:r>
    </w:p>
    <w:p>
      <w:pPr>
        <w:spacing w:after="0" w:line="11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 and is localized for individual stores.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growing and profitable omnichannel strategy that leverages our buy-online-pickup-in-store program (“BOPIS”) and shipping fulfillment capabilities.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primarily in the southern United States with a growing presence in some of the fastest-growing Metropolitan Statistical Areas (or “MSAs”).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new stores for both existing and adjacent geographies and new markets.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We carefully curate our products to provide the right assortment that appeals to customers from beginners to experts, including families and casual participants.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access to national brand and private label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77% of our 2024 merchandise sales was comprised of national brand products, with the remainder coming from exclusive products in our portfolio of private label brands. No single brand we carry accounted for more than approximately 12% of our 2024 sales.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Our average customer visits our stores anywhere from two to three times per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15" w:lineRule="exact"/>
        <w:rPr>
          <w:sz w:val="20"/>
          <w:szCs w:val="20"/>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and department stores (examples: Walmart, Kohl’s, Target and Macy's) generally range in size from 50,000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200,000 square feet and are typically located in shopping centers, free-standing sites or regional malls. Sporting goods merchandise and apparel and outdoor recreation products may represent a small portion of the total merchandise in these stores.</w:t>
      </w:r>
    </w:p>
    <w:p>
      <w:pPr>
        <w:spacing w:after="0" w:line="6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offer a broad selection of sporting goods and outdoor recreation merchandise.</w:t>
      </w:r>
    </w:p>
    <w:p>
      <w:pPr>
        <w:spacing w:after="0" w:line="50" w:lineRule="exact"/>
        <w:rPr>
          <w:rFonts w:ascii="Times New Roman" w:cs="Times New Roman" w:eastAsia="Times New Roman" w:hAnsi="Times New Roman"/>
          <w:sz w:val="18"/>
          <w:szCs w:val="18"/>
          <w:color w:val="auto"/>
        </w:rPr>
      </w:pPr>
    </w:p>
    <w:p>
      <w:pPr>
        <w:jc w:val="both"/>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 square feet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frequently located in regional malls and shopping centers and typically carry a varied assortment of primarily sporting goods merchandise.</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typically focus on specific categories such as outdoor recreation.</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 feet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focus on specific categories such as athletic footwear.</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eBay, and Fanatics)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merchandise consists of a full range of industry-leading national brands and strong private brands providing our customers with diversified product categories of good, better, best price points. We deliver Academy’s unique product assortment through our strong partnerships with our vendors. In 2024, we purchased merchandise from approximately 1,500 vendors. For 2024, 2023 and 2022 no vendor represented more than 11% of our total purchases. Our relationships with key brands, on-trend private brands, and exclusive product offerings differentiates our assortment from our peers.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preferred access to hundreds of well-recognized national brands, such as Nike, including its Jordan Brand which we expect to launch starting in April 2025, Under Armour, adidas, Winchester, Columbia Sportswear, The North Face, Brooks, Skechers, Yeti, Stanley and Carhartt, which are critical to our market penetration. These and some of our other national brands rely on us to broaden their consumer reach, which fosters a mutually beneficial relationship when it comes to pricing and assortment, and we play a critical role in delivering customer volume for these brands. Our national brand assortment spans across each brand’s price spectrum, which we complement with an assortment of our private label brands priced below the national brand price spectrum. As such, we receive favorable product allocations from leading suppliers.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private label brand portfolio consists of 19 brands, including Magellan Outdoors, Academy Sports + Outdoors, BCG, O'rageous, Game Winner, Outdoor Gourmet, Freely and R.O.W. Our private label brand strategy focuses on in-filling categories and price points that our national brand products may not satisfy. Our private label brand offerings support and complement our overall merchandising strategy due to limited price-point overlap with national brands. Additionally, our private label brands generate strong brand equity and drive significant customer loyalty. Approximately 52% of our customers purchased a private label brand from us in 2024 and approximately 23% of our 2024 merchandise sales was comprised of private brand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color w:val="auto"/>
        </w:rPr>
        <w:t>As of February 1, 2025, we generally organized our merchandise in four divisions made up of sixteen categories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2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6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Primary product types</w:t>
            </w:r>
          </w:p>
        </w:tc>
      </w:tr>
      <w:tr>
        <w:trPr>
          <w:trHeight w:val="74"/>
        </w:trPr>
        <w:tc>
          <w:tcPr>
            <w:tcW w:w="19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6800" w:type="dxa"/>
            <w:vAlign w:val="bottom"/>
          </w:tcPr>
          <w:p>
            <w:pPr>
              <w:spacing w:after="0"/>
              <w:rPr>
                <w:sz w:val="6"/>
                <w:szCs w:val="6"/>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Camping</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Coolers and drinkware, camping accessories and camping equipment</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Fishing</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198"/>
        </w:trPr>
        <w:tc>
          <w:tcPr>
            <w:tcW w:w="1940" w:type="dxa"/>
            <w:vAlign w:val="bottom"/>
            <w:shd w:val="clear" w:color="auto" w:fill="CCEEFF"/>
          </w:tcPr>
          <w:p>
            <w:pPr>
              <w:spacing w:after="0"/>
              <w:rPr>
                <w:sz w:val="17"/>
                <w:szCs w:val="17"/>
                <w:color w:val="auto"/>
              </w:rPr>
            </w:pPr>
          </w:p>
        </w:tc>
        <w:tc>
          <w:tcPr>
            <w:tcW w:w="250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Hunting</w:t>
            </w:r>
          </w:p>
        </w:tc>
        <w:tc>
          <w:tcPr>
            <w:tcW w:w="68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Firearms, ammunition, archery and archery equipment, camouflage apparel, waders,</w:t>
            </w:r>
          </w:p>
        </w:tc>
      </w:tr>
      <w:tr>
        <w:trPr>
          <w:trHeight w:val="241"/>
        </w:trPr>
        <w:tc>
          <w:tcPr>
            <w:tcW w:w="194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shooting accessories, gun safes, optics, airguns and hunting equipment</w:t>
            </w:r>
          </w:p>
        </w:tc>
      </w:tr>
      <w:tr>
        <w:trPr>
          <w:trHeight w:val="94"/>
        </w:trPr>
        <w:tc>
          <w:tcPr>
            <w:tcW w:w="1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800" w:type="dxa"/>
            <w:vAlign w:val="bottom"/>
          </w:tcPr>
          <w:p>
            <w:pPr>
              <w:spacing w:after="0"/>
              <w:rPr>
                <w:sz w:val="8"/>
                <w:szCs w:val="8"/>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Fitness</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Fitness equipment, fitness accessories and nutrition supplies</w:t>
            </w:r>
          </w:p>
        </w:tc>
      </w:tr>
      <w:tr>
        <w:trPr>
          <w:trHeight w:val="175"/>
        </w:trPr>
        <w:tc>
          <w:tcPr>
            <w:tcW w:w="1940" w:type="dxa"/>
            <w:vAlign w:val="bottom"/>
          </w:tcPr>
          <w:p>
            <w:pPr>
              <w:spacing w:after="0"/>
              <w:rPr>
                <w:sz w:val="15"/>
                <w:szCs w:val="15"/>
                <w:color w:val="auto"/>
              </w:rPr>
            </w:pPr>
          </w:p>
        </w:tc>
        <w:tc>
          <w:tcPr>
            <w:tcW w:w="25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Team sports</w:t>
            </w:r>
          </w:p>
        </w:tc>
        <w:tc>
          <w:tcPr>
            <w:tcW w:w="68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Team and specialty sports equipment, including baseball, football, basketball, soccer, golf,</w:t>
            </w:r>
          </w:p>
        </w:tc>
      </w:tr>
      <w:tr>
        <w:trPr>
          <w:trHeight w:val="239"/>
        </w:trPr>
        <w:tc>
          <w:tcPr>
            <w:tcW w:w="1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racket sports, volleyball, backpacks and sports bags</w:t>
            </w:r>
          </w:p>
        </w:tc>
      </w:tr>
      <w:tr>
        <w:trPr>
          <w:trHeight w:val="180"/>
        </w:trPr>
        <w:tc>
          <w:tcPr>
            <w:tcW w:w="1940" w:type="dxa"/>
            <w:vAlign w:val="bottom"/>
            <w:shd w:val="clear" w:color="auto" w:fill="CCEEFF"/>
          </w:tcPr>
          <w:p>
            <w:pPr>
              <w:spacing w:after="0"/>
              <w:rPr>
                <w:sz w:val="15"/>
                <w:szCs w:val="15"/>
                <w:color w:val="auto"/>
              </w:rPr>
            </w:pPr>
          </w:p>
        </w:tc>
        <w:tc>
          <w:tcPr>
            <w:tcW w:w="25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8"/>
                <w:szCs w:val="18"/>
                <w:color w:val="auto"/>
              </w:rPr>
              <w:t>Recreation</w:t>
            </w:r>
          </w:p>
        </w:tc>
        <w:tc>
          <w:tcPr>
            <w:tcW w:w="680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Patio furniture, outdoor cooking, wheeled goods (bicycles, skateboards and other ride-on</w:t>
            </w:r>
          </w:p>
        </w:tc>
      </w:tr>
      <w:tr>
        <w:trPr>
          <w:trHeight w:val="243"/>
        </w:trPr>
        <w:tc>
          <w:tcPr>
            <w:tcW w:w="19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toys), trampolines, play sets, watersports and pet equipment</w:t>
            </w:r>
          </w:p>
        </w:tc>
      </w:tr>
      <w:tr>
        <w:trPr>
          <w:trHeight w:val="234"/>
        </w:trPr>
        <w:tc>
          <w:tcPr>
            <w:tcW w:w="1940" w:type="dxa"/>
            <w:vAlign w:val="bottom"/>
          </w:tcPr>
          <w:p>
            <w:pPr>
              <w:spacing w:after="0"/>
              <w:rPr>
                <w:sz w:val="20"/>
                <w:szCs w:val="20"/>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Front end</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Sunglasses and front-end (consumables, batteries, etc.), electronics, and watches</w:t>
            </w:r>
          </w:p>
        </w:tc>
      </w:tr>
      <w:tr>
        <w:trPr>
          <w:trHeight w:val="90"/>
        </w:trPr>
        <w:tc>
          <w:tcPr>
            <w:tcW w:w="19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0" w:type="dxa"/>
            <w:vAlign w:val="bottom"/>
          </w:tcPr>
          <w:p>
            <w:pPr>
              <w:spacing w:after="0"/>
              <w:rPr>
                <w:sz w:val="7"/>
                <w:szCs w:val="7"/>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Outdoor and seasonal apparel</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Outdoor apparel, seasonal apparel, denim, work apparel, graphic t-shirts and accessories</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Youth apparel</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Athletic apparel</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Sporting apparel and apparel for fitness</w:t>
            </w:r>
          </w:p>
        </w:tc>
      </w:tr>
      <w:tr>
        <w:trPr>
          <w:trHeight w:val="234"/>
        </w:trPr>
        <w:tc>
          <w:tcPr>
            <w:tcW w:w="1940" w:type="dxa"/>
            <w:vAlign w:val="bottom"/>
          </w:tcPr>
          <w:p>
            <w:pPr>
              <w:spacing w:after="0"/>
              <w:rPr>
                <w:sz w:val="20"/>
                <w:szCs w:val="20"/>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Licensed apparel</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90"/>
        </w:trPr>
        <w:tc>
          <w:tcPr>
            <w:tcW w:w="19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0" w:type="dxa"/>
            <w:vAlign w:val="bottom"/>
          </w:tcPr>
          <w:p>
            <w:pPr>
              <w:spacing w:after="0"/>
              <w:rPr>
                <w:sz w:val="7"/>
                <w:szCs w:val="7"/>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Casual and seasonal footwear</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Casual shoes, slippers, seasonal footwear and socks</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Work footwear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Work and western boots, shoes and hunting footwear</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Youth footwear</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Boys and girls footwear</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Athletic footwear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Running shoes, athletic lifestyle and training shoes</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Team sports footwear</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Team and specialty sports footwear and slides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8" w:name="page9"/>
    <w:bookmarkEnd w:id="8"/>
    <w:p>
      <w:pPr>
        <w:ind w:right="1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February 3, 2024</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Outdoors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1,739,876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1,727,018</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1,819,418</w:t>
            </w: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1,357,811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1,488,187</w:t>
            </w: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Apparel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1,611,435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1,758,993</w:t>
            </w: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1,187,605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1,235,643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1,291,227</w:t>
            </w:r>
          </w:p>
        </w:tc>
      </w:tr>
      <w:tr>
        <w:trPr>
          <w:trHeight w:val="223"/>
        </w:trPr>
        <w:tc>
          <w:tcPr>
            <w:tcW w:w="490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5,896,727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6,125,876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6,357,825</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w:t>
            </w:r>
          </w:p>
        </w:tc>
      </w:tr>
      <w:tr>
        <w:trPr>
          <w:trHeight w:val="223"/>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5,933,450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6,159,291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6,395,073</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 of 10.5%, 10.7% and 10.7% of merchandise sales for 2024, 2023 and 2022, respectively.</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 primarily of gift card breakage income, credit card bounties and royalties, shipping income, net hunting and fishing license income, sales return allowance and other items.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stores, all of which are based in the U.S., are designed to provide our customers with an easy-in, easy-out shopping experience. The interior of most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stores average approximately 70,000 gross square feet, of which approximately 85% is dedicated to selling space. 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At this time, no stores are connected to malls. We seek to lease all of our stores in long-term lease agreements with third-party landlords, which typically range from 15 to 20 years. Of the 298 stores operated as of February 1, 2025, 296 are leased from third parties and two stores are owned by the Company.</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and our long-time customers have grown up with Academy and passed their passion for us on to the next generation, enabling us to benefit from strong customer loyalty and shopping frequency.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color w:val="auto"/>
        </w:rPr>
        <w:t>As of February 1, 2025, the number of stores that we operated, exclusively in the U.S., by state was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6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 Stores</w:t>
            </w:r>
          </w:p>
        </w:tc>
      </w:tr>
      <w:tr>
        <w:trPr>
          <w:trHeight w:val="223"/>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real estate strategy has positioned us well for further expansion, and our track record has demonstrated that we can open and operate stores profitably. We believe there is significant near-term opportunity for expansion in both new and existing markets.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5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Our marketing approach is anchored in helping active minded families have fun in their pursuit of sports and outdoors activities. The strategy is designed to generate awareness and consideration for the Academy brand while improving intent to purchase across the broad selection of fun categories,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top national and private brands at a compelling value within our sporting goods assortment. We analyze first party data from across our customer data platform and data science environments, customer insights studies and retail industry market share data sources to develop annual and seasonal go to market strategies that lead to creation of engaging content and customer experiences that are communicated across a diverse range of owned and paid media channels.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utilize the customer data platform to generate first party data audiences for targeted customer lifecycle management campaigns designed to retain current customers and encourage omnichannel shopping behaviors. First party data is also used to inform creation of third party data audiences across a mix of media channels to drive engagement and acquisition of new customers through the use of brand designed, influencer and</w:t>
      </w: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created content. These campaigns are executed across a blend of digital and traditional, including paid search, email, text message, mobile app, digital advertising networks, affiliates, and social media along with linear and digital video, audio, print, outdoor and direct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are focused on implementing and continually improving our customer centric marketing technologies, omnichannel services and experiences to save customers time and money while improving the long term health of our customer portfolio. In July 2024, we launched our myAcademy loyalty program, which provides us a powerful tool to build a deeper connection and understanding of our customers. The Academy Credit Card program, myAcademy loyalty program, and Academy Sports + Outdoors app are foundational to build loyalty among customers while providing a seamless omnichannel shopping experience.</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making a positive impact on the communities we serve and partner with over 542 organizations, including youth sports leagues that reach approximately 600,000 participants. We also partner with school districts, Historically Black Colleges and Universities (HBCUs), collegiate and professional sports properties, local parks, hunting and fishing organizations, military bases and local first responders.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the capacity to service up to approximately 125 stores per distribution center.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information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customer,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store-level operations, and customer engagement. We have agreements with third parties to provide hosting services and administrative support for portions of our infrastructure, and utilize cloud-based systems in addition to those hosted on premises.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August/September back-to-school selling season during the third quarter and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Members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provide “Fun for All” and a critical component to our success is our people. As of February 1, 2025, we employed approximately 22,000 team members in the U.S. and eleven team members in Hong Kong. Of those team members, approximately 45% were full-time and 55% were part-time. Our employment levels may fluctuate over the course of the year due to the seasonality of our business. None of our team members are covered by collective bargaining agreements. The Company believes that it has a good working relationship with its team members.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 and Core Values. </w:t>
      </w:r>
      <w:r>
        <w:rPr>
          <w:rFonts w:ascii="Times New Roman" w:cs="Times New Roman" w:eastAsia="Times New Roman" w:hAnsi="Times New Roman"/>
          <w:sz w:val="18"/>
          <w:szCs w:val="18"/>
          <w:color w:val="auto"/>
        </w:rPr>
        <w:t>We strive to provide rewarding careers, benefits, and a workplace culture where team members are empowered to be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authentic self—drawing on their unique perspectives, passions, skills, interests, and experiences in their day-to-day jobs. Our core values establish a strong foundation for our culture and represent the key expectations we have of our team members. These include the following:</w:t>
      </w:r>
    </w:p>
    <w:p>
      <w:pPr>
        <w:spacing w:after="0" w:line="1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 and service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Excellence in all we do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leadership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with urgency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Students of the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always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impact on our communities</w:t>
      </w:r>
    </w:p>
    <w:p>
      <w:pPr>
        <w:spacing w:after="0" w:line="1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Management. </w:t>
      </w:r>
      <w:r>
        <w:rPr>
          <w:rFonts w:ascii="Times New Roman" w:cs="Times New Roman" w:eastAsia="Times New Roman" w:hAnsi="Times New Roman"/>
          <w:sz w:val="18"/>
          <w:szCs w:val="18"/>
          <w:color w:val="auto"/>
        </w:rPr>
        <w:t>We believe the best way to serve our customers is to invest in top talent, be open to innovation, and have the vision to succeed.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creating a winning team by recruiting and retaining great people, promoting teamwork, and fostering an enjoyable and rewarding work environment. We also strive to provide all team members with opportunities for personal growth, cross functional training, job opportunities and career advancement. We offer a mix of instructor-led, online, and blended courses in several key areas, including Career Development and Leadership Development. Our wide variety of courses ranges from job specific (i.e., functional) to broad based leadership training to safety, security, ethics, and compliance training. We also engage in regular and ongoing feedback, annual performance reviews and annual talent calibration conversations. Succession planning is conducted on an annual basis to identify suitable internal candidates for key positions within the Company.</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We offer a competitive compensation and benefits package. Our benefits package is designed to allow team members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pick and choose which benefits are the best for their and their family’s health and well-being. Depending on the team member’s employment and work status, they may be eligible for: medical, dental, and vision insurance; participation in the Company’s 401(k) Plan with a six percent dollar for dollar match up to the IRS deferral limit; participation in the Company’s Employee Stock Purchase Plan which provides a 15 percent discount on the lower of the stock price at the beginning or the end of each offering period; paid time off and paid vacations; the ability for team members to get a portion of their earnings paid daily; tuition reimbursement programs; professional license/certification reimbursement; medical, family, and bereavement leave; additional voluntary short/long term, life, legal, pet, and accident insurance; paid maternity and parental leave; and a 20 percent team member discount on most all of our merchandise, to name a few. We also provide, in all our distribution centers and our Katy corporate office, subsidized meals for all team members at our onsite café and an annual health and benefits fair. Specific to our Katy corporate office, we engage our team members through the opportunity to participate in intramural sport teams, 5K fun walk/run events, subsidized membership in the company gym and exercise classes (this is also open to our Katy distribution team members); onsite dental and car wash service; and a company holiday party and other team member appreciation events.</w:t>
      </w:r>
    </w:p>
    <w:p>
      <w:pPr>
        <w:spacing w:after="0" w:line="16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Workplace, Health and Safety. </w:t>
      </w:r>
      <w:r>
        <w:rPr>
          <w:rFonts w:ascii="Times New Roman" w:cs="Times New Roman" w:eastAsia="Times New Roman" w:hAnsi="Times New Roman"/>
          <w:sz w:val="18"/>
          <w:szCs w:val="18"/>
          <w:color w:val="auto"/>
        </w:rPr>
        <w:t>The health and safety of our customers, team members, and communities is our top priority. We strive to ensure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 and hygienic working environment is provided and that occupational health and safety practices which prevent accidents and injury are promoted. Throughout our stores, distribution centers, and corporate headquarters, we employ policies, procedures, and training to promote safe and healthy work environments.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team member handbook outlines safety expectations, but we also empower our team members with knowledge and skills from various safety training courses during the onboarding process and on an ongoing basis through our learning engagement system with topics such as incident reporting, evacuation, active shooter response, hazardous materials, and heat safety. We continue to focus on developing and driving our safety-first culture through awareness, training, and actions to reduce the frequency and severity of safety incidents.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list of our executive officers, their respective ages as of March 20, 2025 and a brief account of the business experience of each of them.</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4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60" w:type="dxa"/>
            <w:vAlign w:val="bottom"/>
          </w:tcPr>
          <w:p>
            <w:pPr>
              <w:spacing w:after="0"/>
              <w:rPr>
                <w:sz w:val="20"/>
                <w:szCs w:val="20"/>
                <w:color w:val="auto"/>
              </w:rPr>
            </w:pPr>
          </w:p>
        </w:tc>
        <w:tc>
          <w:tcPr>
            <w:tcW w:w="60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(Steve) P. Lawrence</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57</w:t>
            </w: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(Sam) J. Johnson</w:t>
            </w:r>
          </w:p>
        </w:tc>
        <w:tc>
          <w:tcPr>
            <w:tcW w:w="14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 Carlton (Carl) Ford IV</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(Matt) M. McCabe</w:t>
            </w:r>
          </w:p>
        </w:tc>
        <w:tc>
          <w:tcPr>
            <w:tcW w:w="14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(Steve) P. Lawrence </w:t>
      </w:r>
      <w:r>
        <w:rPr>
          <w:rFonts w:ascii="Times New Roman" w:cs="Times New Roman" w:eastAsia="Times New Roman" w:hAnsi="Times New Roman"/>
          <w:sz w:val="18"/>
          <w:szCs w:val="18"/>
          <w:color w:val="auto"/>
        </w:rPr>
        <w:t>has served as Chief Executive Officer and a member of the Board of Directors since June 2023. Mr. Lawrence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February 2019 as Executive Vice President and Chief Merchandising Officer.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Foley’s/May Co. Mr. Lawrence obtained his Bachelor of Business Administration in Finance from the University of Notre Dame.</w:t>
      </w:r>
    </w:p>
    <w:p>
      <w:pPr>
        <w:spacing w:after="0" w:line="20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President since October 2023. Mr. Johnson joined the Company in April 2017 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Operations. Prior to joining the Company,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 Carlton (Carl) Ford IV </w:t>
      </w:r>
      <w:r>
        <w:rPr>
          <w:rFonts w:ascii="Times New Roman" w:cs="Times New Roman" w:eastAsia="Times New Roman" w:hAnsi="Times New Roman"/>
          <w:sz w:val="18"/>
          <w:szCs w:val="18"/>
          <w:color w:val="auto"/>
        </w:rPr>
        <w:t>has served as Executive Vice President and Chief Financial Officer since July 2023. Mr. Ford joined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2019, and served as the Senior Vice President, Finance, where he led the Financial Planning and Analysis function of the Company from January 2019 to July 2023 and the Loss Prevention and Inventory Control teams from February 2020 to July 2023. Prior to joining the Company, Mr. Ford served as the Vice President of Financial Planning &amp; Analysis at Belk, Inc. He also served as the Vice President of Internal Audit and held other leadership roles in accounting and treasury during his 15 years at Belk, Inc. Prior to joining Belk, Inc., Mr. Ford worked for Deloitte &amp; Touche in their Audit practice. Mr. Ford holds a master's degree in accounting from the University of Alabama, a bachelor's degree in accounting from the University of Southern Mississippi and is an active Certified Public Accountant.</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(Matt) McCabe </w:t>
      </w:r>
      <w:r>
        <w:rPr>
          <w:rFonts w:ascii="Times New Roman" w:cs="Times New Roman" w:eastAsia="Times New Roman" w:hAnsi="Times New Roman"/>
          <w:sz w:val="18"/>
          <w:szCs w:val="18"/>
          <w:color w:val="auto"/>
        </w:rPr>
        <w:t>has served as the Executive Vice President and Chief Merchandising Officer since June 2023. Mr. McCabe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December 2016 as the Vice President, Divisional Merchandise Manager of Athletic and Licensed Apparel and served as the Senior Vice President, General Merchandise Manager of Footwear from September 2017 to June 2023. In this role, he was responsible for setting the merchandising objectives and business strategy for the Footwear division. Prior to joining the Company, Mr. McCabe served as Vice President at Golfsmith International, where he led the apparel, footwear and soft consumables buying and private brand businesses. He has more than 25 years of experience in men's and women's apparel and footwear, and held various leadership roles at The Bon Ton Department Stores, Bachrach, Sears &amp; Roebuck Co., and Mark Shale. Mr. McCabe holds a Bachelor of Science from Miami University.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private label brands, such as Academy Sports + Outdoors, Magellan Outdoors, BCG, O’rageous, Game Winner, Outdoor Gourmet and Freely, and our designs, names, slogans, images and trade dress associated with these brands, are valuable assets that are critical to our success.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Specifically,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 and forced labor prevention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or FCPA, the U.K. Bribery Act, or UKBA, and other anti-corruption laws;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1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are a federally licensed firearms dealer, and we sell firearms, ammunition, and related accessories. Firearms represented approximately 6% of our net sales in 2024.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United States Department of Justice announced a new policy to underscore zero tolerance for willful violations of the law by federally licensed firearms dealers that put public safety at risk. In the future, there may be increased federal, state or local regulation and enforcement affecting the sale of firearms, ammunition, and related accessories, including taxation or restrictions on the type of firearms and ammunition available for retail sale, which could reduce our sales and profitability.</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see the risk factors herein in “Item 1A. Risk Factors” under the sub-caption “Legal and Regulatory Risks”.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Annual Report, you should consider the following risk factors before investing in our securities. Risks in this section are grouped in the following categories: (1) Risks Related to Our Business and Industry; (2) Legal and Regulatory Risks; (3) Risks Related to Our Indebtedness; and (4) Risks Related to the Ownership of Our Common Stock. Many risks affect more than one category, and the risks are not in order of significance or probability of occurrence because they have been grouped by categories.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63"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events (such as pandemics and epidemics) and their effect on our customers, team members, vendors/suppliers and other stakeholders;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Increasing volatility in financial markets may cause some of the aforementioned conditions to change with even greater degree of frequency and magnitude.</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comparable sales, net sales per square foot, customer traffic or average value per transaction may be adversely affected if, for example, our customers reduce their purchases with us due to inflationary pressures,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including as a result of increases in interest rates,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including additional tariffs, that could have a material adverse effect on our business and results of operations.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private label brand merchandise, is manufactured in countries such as China, Bangladesh, Vietnam, and Brazil.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supply chain disruptions including those caused by extreme weather, natural disasters, public health events (such as pandemics)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For example, in late 2021, the United States Government enacted the Uyghur Forced Labor Prevention Act (“UFLPA”), which presumes goods produced in the Xinjiang Uyghur Autonomous Region of China, or with labor linked to specified Chinese government-sponsored labor programs, were produced using forced labor and prohibits importation of such goods into the United States absent clear and convincing evidence proving otherwise. Compliance with UFLPA could have a material adverse effect on our business, financial condition and results of operations. Merchandise or raw materials purchased from alternative sources may be of lesser quality or more expensive than the merchandise or raw materials we currently were to cause a disruption of trade from the countries in which our suppliers are located, our inventory levels may be reduced or the costs of our merchandise may increase.</w:t>
      </w:r>
    </w:p>
    <w:p>
      <w:pPr>
        <w:spacing w:after="0" w:line="14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For example, during the COVID-19 pandemic in China, we experienced a temporary closure of third party manufacturer facilities, interruptions in labor and product supply, and restrictions on the export or shipment of our products, which resulted in disruptions in our supply chain in China. Also, for example on February 10, 2025 the Trump Administration has imposed 25% duties on all imports of steel, aluminum, and their derivative products, effective March 12, 2025.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Additionally, the prices charged for the merchandise that we purchase by foreign manufacturers may be affected by the fluctuation of their local currency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become more expensive or may no longer be available at a commercially attractive price or at all, each of which in turn could have a material adverse effect on our business, financial condition and results of operations.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the Trump administration ultimately imposing multiple rounds of tariffs on imports from China, where we and many of our vendors source commodities. As a result, we have experienced rising inventory costs on private label brand products we directly source from China, as well as national brand products from China that we source through our vendors. These higher inventory costs have resulted in higher prices and/or lower margins, thus resulting in a negative impact to sales and/or gross margin. These tariffs have had an adverse effect on our business, financial condition and results of operations. In response to the tariffs, we have sought alternative suppliers or vendors, raised prices, and made changes to our operations. On February 1, 2025, and again on March 4, 2025, President Trump issued executive orders increasing the tariff on products from China to 20% on top of any preexisting tariffs. As a result, China has imposed retaliatory tariffs on the United States. The continuation or escalation of the U.S.-China trade tensions could have further adverse effects on our sales and profitability, results of operations and financial condition.</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systems could disrupt our operations and negatively impact our business operations and materially and adversely affect our financial results.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efficient operation of our business is dependent on the successful integration and operation of our information systems, some of which require interoperability to perform the intended function or are dependent on services managed or provided by third-parties. For example, we rely on our information systems to manage merchandise planning and replenishment, warehousing and distribution, store operations, customer relationships, e-commerce, and customer transactions, optimize our overall inventory levels, process financial information and sales transactions, pay and receive funds, prevent security breaches and fraud, communicate internally and externally, provide support services, and comply with legal and regulatory obligations.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information systems, if not functioning properly or if failing to function altogether, could disrupt our ability to track, record, and analyze sales and inventory and could cause disruptions of operations, including, among other things, our ability to order, process and ship inventory, process financial information including credit card transactions, prepare financial statements,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or other cybersecurity incidents, catastrophic events and severe weather such as fires, floods, tornadoes, earthquakes and hurricanes, and usage or coding errors by our team members or partners. From time to time we have experienced, and we may in the future further experience, interruptions, damages, or failures of our information systems, some of which disrupt our business and cause us to expend additional resources to rectify. Although we attempt to mitigate the risk of possible business interruptions by employing customary strategies, any material disruption, malfunction or any other similar problem in or with our information systems could negatively impact our business operations and materially and adversely affect our financial results.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our information systems may require repair, upgrade, enhancement, integration and/or replacement for us to maintain successful current operations and achieve future sales and store growth.</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7" w:name="page18"/>
    <w:bookmarkEnd w:id="17"/>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Updating our existing information systems subjects us to numerous risks, including:</w:t>
      </w:r>
    </w:p>
    <w:p>
      <w:pPr>
        <w:spacing w:after="0" w:line="63"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system ultimately does not meet the needs of the business.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failure to successfully update and maintain our information systems, and any missteps, delays, cost overruns, vendor disputes, technical challenges or other similar issues that may arise during the updating of our information systems, could have a material impact on our business, financial condition, results of operations, internal controls over financial reporting and ability to manage our business effectively.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systems to improve and enhance our capabilities, whether for operational, financial or risk reduction purposes. Any failure to timely, properly or adequately implement these information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managing our inventory balances, our sales may decline and our results of operations may be negatively affected.</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factors beyond our control, such as severe weather, local safety concerns, player-lockouts or strikes, may significantly affect whether or not certain sports leagues are able to host their games in their usual seasons, and if they are, whether or not spectators can or are able to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obtain access to, and sell brand name merchandise at competitive prices, then we may lose customers and our sales may decline and our results of operations may be negatively affected.</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and obtain access to a broad assortment of brands and styles, to enable us to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14" w:lineRule="exact"/>
        <w:rPr>
          <w:sz w:val="20"/>
          <w:szCs w:val="20"/>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travel, media (including social media) and electronics-driven leisure activities;</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recession, inflation or other factors, such as global or local pandemics;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inflation, rising fuel prices, rising participation fees and rising sporting license fees; and</w:t>
      </w:r>
    </w:p>
    <w:p>
      <w:pPr>
        <w:spacing w:after="0" w:line="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or man-made disasters (e.g., an oil spill closing large areas of hunting or fishing), including heat waves, freezes, hurricanes, tornadoes, large storms and floods.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brand names merchandise.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artificial intelligence initiatives,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website design and functionality, including search capabilities;</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investments from competitors, and maintain investments necessary for our e-commerce operation;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accurate website content and functionality, timely and accurately fulfilling orders, integrating our e-commerce business with our store operations, and growing the operation as part of our overall strategic plan. In addition, offering different products through each channel could cause conflicts and cause some of our current or potential e-commerce customers to consider our competitors. Offering products through our e-commerce platform could also cause some of our current or potential vendors to consider competing internet or mobile offerings of their products either on their own or through competing distributors.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confidentiality, and availability of our information systems (including our technology infrastructure and networks, third party services, and hosted and on-premises software) and data that we hold relating to us and our customers, team members, and partners (including vendors) could result in lost sales, fines, penalties, assessments, investigations, inquiries, and/or lawsuits, a loss of confidence in us, and harm to our reputation, business, results of operations, and financial condition.</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security of our information systems (including our technology infrastructure and networks, third party services, artificial intelligence, and hosted and on-premises software) and data (including from our customers, team members and partners) is critical to our business as a retailer, and we devote significant resources to protecting our information systems and data. In order to operate our business and to provide products and services to our customers, we collect, source, store, maintain, and process data that can be used to identify a person (i.e., personal data or personally identifiable information), including customers, partners, and team members, along with our intellectual property and proprietary business information. We share data with third parties for further processing consistent with applicable terms and conditions. Our retail stores and online operations depend on the secure transmission and processing of confidential information and the continued operation of information systems necessary to perform store operations and to process transactions. Our customers provide payment card and gift card information, alternative payment information, and other personal information to purchase products or services, enroll in promotional programs, apply for credit, create accounts and make purchases on our website or mobile applications, participate in our loyalty program, or otherwise communicate and interact with us. Job applicants provide personal information in connection with their employment application and our team members provide personal information in connection with their continued employment. We may share information about individual persons with partners assisting with certain aspects of our business. Some personal data and personally identifiable information may be deemed sensitive or otherwise protected under applicable laws or regulations and may be subject to specific requirements for collection, processing, sharing, security, and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and our partners rely on commercially available information security technology and industry standard operational practices for collecting, storing, maintaining, transmitting, protecting, and processing data. Despite our security measures, we may not be able to anticipate, prevent, and stop future cybersecurity incidents, including attacks to our information systems and data and those of our partners. Threat actors may have the ability to defeat our security measures and may obtain access to data (including personal data or personally identifiable information) that we hold relating to us and our customers, team members, and vendors, or may cause operational harm. For example, ransomware events could cause key systems to be unavailable for use, or credential stuffing attacks of customer accounts on our website could cause customer privacy breaches and unauthorized charges to payment or gift cards, or phishing/smishing attacks, in which attackers masquerade as a trustworthy entity in an electronic communication (including email or text message), could gain control of a user's device and/or credentials. The techniques used by threat actors to attack or access information systems and data evolve and may not be recognized until or after being launched against a target. We may not have the resources or technical sophistication to anticipate, prevent or stop new or evolving cybersecurity incidents, including attacks to our information systems and data and those of our partners. We may also be vulnerable to breaches due to human error or other disruptions, including data privacy breaches by employees, insiders or others with authorized access, or other cybersecurity incidents. As new and improved technologies and methodologies become available to threat actors (for example, artificial intelligence), increased risks and currently unknown vulnerabilities could result in significant future expenditures related to our information systems, technology infrastructure and operations. A future cybersecurity incident could also (1) result in unauthorized access, disclosure, loss, or misuse of our intellectual property, proprietary information, or team member, customer or supplier data, (2) attract substantial media attention, (3) damage our relationships with our customers, team members, and partners, (4) cause a loss of confidence in us or cause us to violate applicable privacy laws and obligations, (5) expose us to costly government enforcement actions or private litigation and financial liability (possibly beyond our insurance coverage), (6) increase the costs we incur to protect against or remediate cybersecurity incidents and vulnerabilities, (7) result in additional costs and operational activities to comply with consumer protection and data privacy laws and obligations, and/or (8) disrupt our operations and distract our management and other key personnel from performing their primary operational duties, any of which could adversely affect our reputation, competitiveness, business, results of operations, and financial condition. Any of the foregoing can be exacerbated by a delay or failure to detect a cybersecurity incident or the full extent of such incident.</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cyber liability insurance in an amount and coverage we deem appropriate, taking into account the specific coverages and coverage requirements in the marketplace. There is no guarantee that our cyber liability insurance will cover a particular cyber incident, that such coverage will be sufficient, or that insurance proceeds will be paid in a timely manner. If an insurance carrier seeks to deny coverage of a particular loss, we may incur costs to dispute the denial of coverage, which could result in paying costs that otherwise would be recovered from insurance and delays in or ultimate denial of coverage.</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data privacy and cybersecurity regulatory environment is constantly changing, with new and increasingly rigorous or complex requirements. Consumer data privacy, cybersecurity, artificial intelligence, and related laws and related regulations have been enacted and additional laws and regulations are under consideration by various state and federal legislatures and regulatory authorities. Maintaining compliance with those requirements may require significant effort, cost, new or improved technical capabilities, and changes to our business practices, and may limit our ability to obtain or use data to provide a personalized customer experience or to engage in certain marketing practices. In addition, any alleged or actual failure to comply with applicable requirements could subject us to fines, sanctions, governmental investigations, lawsuits, reputational damage, and other risks and costs that may be difficult to anticipate but could become 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intensely competitive, and continually evolving.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14"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sell directly to customers.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free merchandise shipping, and suppliers selling directly to consumers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our distribution network or the timely receipt of inventory could adversely impact sales or increase our transportation costs, which would decrease our profits.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For example, during fiscal 2021, we experienced a period of decreased or delayed supply and high inflation as a result of increased competition across the industry for resources, which constrained the supply chain and negatively impacted our transportation and inventory costs. While we have seen some improvement to these constraints, resulting in decreased freight costs over the past couple of years, we may from time to time experience decreased or delayed supply. In addition, changes in regulations may result in higher fuel costs through taxation, transportation restrictions or other means. Fluctuations in transportation costs and availability could adversely affect our results of operations.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have historically had and could potentially continue to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man-made or natural disasters and public health events, could negatively affect our business.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growth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vacant retail stores or developable store sites. The availability of second-generation retail store space and developable store sites (i.e., land and redevelopment sites) that meet our criteria is very low. In addition, land prices and lease rents have continued to increase due to various macroeconomic factors. Further,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typically lease our stores under operating leases with initial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expanding and improving our operating capabilities,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are not able to meet new challenges in expanding in new and existing markets, our sales could decrease and our operating costs could increase.</w:t>
      </w:r>
    </w:p>
    <w:p>
      <w:pPr>
        <w:spacing w:after="0" w:line="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In 2020 and 2021, in response to the then-current retail environment, we temporarily stopped new store openings, before resuming in 2022 and continuing through the date of this Annual Report.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Furthermore, the success of our stores depends on several factors including the sustained success of the shopping center where the store is located, consumer demographics, and consumer shopping habits and patterns. Changes in consumer shopping habits and patterns, reduced customer traffic in the shopping centers where our stores are located, financial difficulties of our landlords, or the shopping center operators, anchor tenants or a significant number of other retailers, and shopping center vacancies or closures, could impact the profitability of our stores and increase the likelihood that our landlords or the shopping centers operators fail to fulfill their obligations and conditions under our lease agreements or governing documents. Thus, our failure to achieve our expansion plans could materially and adversely affect our business, financial condition and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our sales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train and retain quality team members in sufficient numbers, increases in wage and labor costs, and changes in laws and other labor issues could adversely affect our business.</w:t>
      </w:r>
    </w:p>
    <w:p>
      <w:pPr>
        <w:spacing w:after="0" w:line="1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which can lead to increased training and retention costs, particularly if employment opportunities increase.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changes in immigration laws, demand for certain labor expertise, prevailing wage rates, wage inflation, changing demographics, health and other insurance costs, adoption of new or revised employment and labor laws and regulations, and the impacts of man-made or natural disasters, such as tornadoes, hurricanes, and public health events. We have experienced, and expect to continue to experience, a shortage of labor for certain functions, which has increased our labor costs and negatively impacted our profitability. The extent and duration of the effect of these labor market challenges are subject to numerous factors, including availability of qualified persons in the markets where we and our contracted service providers operate and unemployment levels within these markets, behavioral changes, prevailing wage rates and other benefits, inflation, adoption of new or revised employment and labor laws and regulations (including immigration/visa processing) or government programs, safety levels of our operations, and our reputation within the labor market.</w:t>
      </w:r>
    </w:p>
    <w:p>
      <w:pPr>
        <w:spacing w:after="0" w:line="14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Recent or potential future legislative initiatives may seek to increase the federal minimum wage in the United States, as well as the minimum wage in a number of individual states or markets.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all of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against inventory shrink, our results of operations and financial condition could be adversely affected.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effectively manage our inventory. We have historically experienced loss of inventory (also called shrink) due to damage, theft (including from organized retail crime), and other causes. We continue to experience elevated levels of inventory shrink relative to historical levels, which has adversely affected, and could continue to adversely affect, our results of operations and financial condition. To protect against rising inventory shrink, we have taken, and may continue to take, certain operational and strategic actions that could adversely affect our reputation, customer experience, and results of operations. In addition, sustained high rates of inventory shrink at certain stores could impact the profitability of those stores and result in the impairment of long-term assets.</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The payment methods that we offer also subject us to potential fraud and theft by criminals, who are becoming increasingly sophisticated, seeking to obtain unauthorized access to or exploit weaknesses that may exist in the payment systems.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or increase our costs of compliance.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public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our e-commerce orders, especially during peak shopping seasons.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events, such as pandemics, natural disasters, such as earthquakes, hurricanes, tornadoes, freezes, snow or ice storms, floods and heavy rains, heatwaves, and man-made disasters, such as an oil spill closing large areas of hunting or fishing, could disrupt our operations or the operations of our suppliers, as well as affect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Global climate change may result in significant natural disasters occurring more frequently or with greater intensity, such as drought, wildfires, storms, sea-level rise, and flooding. Socio-political factors, such as foreign wars, civil unrest or other economic or political uncertainties that contribute to consumer unease or harm to our supply chain or store base, may also result in decreased discretionary spending, property damage and/or business interruption losses. For example, we may face losses related to the civil unrest in the United States, such as that which occurred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and any precautions that we may take may not be adequate to mitigate the impact of such events. If these events impact areas in which we have our corporate headquarters, distribution centers, a concentration of retail stores or vendor sources or foreign and/or U.S. ports, such events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there is a regional economic downturn or any other adverse regional event in the southern United States, there could be an adverse impact on our net sales and results of operations and our ability to implement our planned expansion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increases in commodity prices and other factors could negatively impact our consolidated and combined results of operations.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including as a result of increases in commodity prices and tariffs on them, could dramatically increase the costs associated with manufacturing the merchandise that we purchase from our suppliers, which could cause the price of our merchandise to increase and could have a negative impact on our sales and profitability.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 disruption or a prolonged interruption in the operations at any of these distribution centers or third-party transportation providers due to a work stoppage, labor shortage, operations significantly below historical efficiency levels, supply chain disruption, public health events (such as pandemics), severe weather (such as tornadoes) or natural or man-made disasters (including events that may be caused or exacerbated by climate change), system failures or cyber incidents, slowdowns or strikes, acts of terror or other unforeseen events in the areas or regions of these facilities could impair our ability to adequately stock our stores, process returns of products to vendors and ship products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in order to support our existing business and future initiatives and may not be able to retain or replace these team members, recruit additional qualified personnel or effectively manage succession.</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without appropriate successors in place,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significant, and we cannot be sure we will be able to find suitable successors promptly, or at all, or to successfully integrate any successors, or that we will be able to attract, retain, and develop a sufficient number of qualified individuals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1,500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depend on approximately 1,500 suppliers to supply us in a timely and efficient manner with the merchandise we sell. Our significant dependence on these suppliers exposes us to various risks that could have a material adverse effect on our business and results of operations. In 2024, purchases from our largest vendor represented approximately 11%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as a result of public health emergencies, and measures taken by the Chinese government or other governments in response to such events),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 For example, during fiscal 2021, we began to see increased competition across the industry for resources throughout the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 Fluctuations in the supply chain or changes in our relationships with our suppliers (which can occur for various reasons in or out of our control)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Further, vendors increasingly sell their products directly to customers or through broadened or alternative distribution channels, such as department stores, family footwear stores, or e-commerce companies.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private label brand merchandise exposes us to various risks generally encountered by companies that source, manufacture, market and retail exclusive private label brand merchandise.</w:t>
      </w:r>
    </w:p>
    <w:p>
      <w:pPr>
        <w:spacing w:after="0" w:line="51"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private label brand merchandise, most of which is sold exclusively by Academy. The sale of private label brand merchandise subjects us to certain risks, including:</w:t>
      </w:r>
    </w:p>
    <w:p>
      <w:pPr>
        <w:spacing w:after="0" w:line="1" w:lineRule="exact"/>
        <w:rPr>
          <w:sz w:val="20"/>
          <w:szCs w:val="20"/>
          <w:color w:val="auto"/>
        </w:rPr>
      </w:pPr>
    </w:p>
    <w:p>
      <w:pPr>
        <w:ind w:left="1300" w:right="20" w:hanging="320"/>
        <w:spacing w:after="0" w:line="28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1"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private label brand merchandise;</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13"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private label brand merchandise and other risks generally encountered by entities that source, manufacture, market and retail private label brand merchandise.</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In some cases, we rely on a single vendor for such services.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or incur substantial time in finding and implementing replacement service vendors or, alternatively, hiring new team members, making additional technology purchases, and changing information systems configurations to provide these business services and solutions in-house.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cybersecurity incidents, product liability and product recalls, our social media activity, our handling of issues relating to corporate responsibility matters, including our response to such matters, failure to comply with applicable laws and regulations or enforce our own policies, our policies related to the sale of firearms, ammunition and accessories, our policies relating to public health, public stances on controversial social or political issues, concerns surrounding labor, environmental, workplace safety and other practices that may vary from U.S. standards in any of our foreign manufacturers, whether directly or indirectly,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It may be difficult to address negative publicity across media channels, regardless of its accuracy or the reputability of its source, and this challenge could be further exacerbated by fictitious media content, such as content produced by generative artificial intelligence or bad actors.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We must carry a significant amount of inventory, particularly before these selling periods.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 If we are not successful in selling our inventory during these periods, we may be forced to rely on markdowns or promotional sales to dispose of the excess inventory or may not be able to sell the inventory at all, which could have a material adverse effect on our business, financial condition and results of operations.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or public health emergencies (such as snow storms, hurricanes, tornadoes, floods, pandemics, and civil disturbances);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access to, new products or brands;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developments in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the substance or enforcement of such laws may change or become more stringent.</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(DOJ), Department of Treasury, Federal Trade Commission, Customs and Border Protection, Bureau of Alcohol, Tobacco, Firearms and Explosives (ATF), Securities and Exchange Commission (SEC), Internal Revenue Service, or IRS, and Environmental Protection Agency and comparable state and local agencies.</w:t>
      </w:r>
    </w:p>
    <w:p>
      <w:pPr>
        <w:spacing w:after="0" w:line="7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federally licensed firearms dealer and we sell firearms, ammunition, and related accessories. Firearms represented approximately 6% of our net sales in 2024.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DOJ announced a new policy to underscore zero tolerance for willful violations of the law by federally licensed firearms dealers that put public safety at risk. In 2024, ATF (a law enforcement agency in the DOJ) revoked 147 federal firearms licenses and 157 in 2023, compared to 88 licenses revoked in 2022 and five in the last six months of 2021. In the future, there may be increased federal, state or local regulation or enforcement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FCPA, the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1" w:lineRule="exact"/>
        <w:rPr>
          <w:sz w:val="20"/>
          <w:szCs w:val="20"/>
          <w:color w:val="auto"/>
        </w:rPr>
      </w:pPr>
    </w:p>
    <w:p>
      <w:pPr>
        <w:jc w:val="both"/>
        <w:ind w:left="1300" w:hanging="320"/>
        <w:spacing w:after="0" w:line="26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17"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private label brand products;</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1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300" w:hanging="320"/>
        <w:spacing w:after="0" w:line="281"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to our information systems or facilities that results in a breach of data security or privacy; and</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federal and state laws and regulations covering such products.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currently self-insure a portion of our commercial insurance deductible risk through our captive insurance company. To the extent that our captive insurance company is unable to bear that risk, we may be required to fund additional capital to our captive insurance company or we may be required to bear that loss.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 from our vendors sufficient to offset liability losses or, in the case of our private label brand products, where almost all of the manufacturing occurs outside the United States, that we will be able to collect anything at all.</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all claims and lawsuits, however, there is a risk that liabilities, fines and losses may not be covered by insurance or indemnity or may exceed insurance or indemnity coverage.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operating results could be adversely affected by product safety concerns.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products that we offer, including from both national brands and our private label brands, do not meet applicable safety standards or our customers’ expectations regarding safety, we could experience decreased sales, increased costs, and/or be exposed to legal and reputational risk. All of our vendors must comply with applicable product safety laws, and we rely on our vendors to ensure that the products we buy comply with all federal, state, and local requirements for sale, including product safety, labeling, and testing requirements. Negative customer perceptions and publicity regarding the safety and sourcing of the products we sell, and events that give rise to actual, potential, or perceived product safety concerns could expose us to government enforcement action and/or private litigation. Furthermore, reputational damage caused by real or perceived product safety concerns could have a negative impact on our sales and operating results.</w:t>
      </w:r>
    </w:p>
    <w:p>
      <w:pPr>
        <w:spacing w:after="0" w:line="13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climate change and other sustainability-related matters, or legal, regulatory or market expectations and responses.</w:t>
      </w:r>
    </w:p>
    <w:p>
      <w:pPr>
        <w:spacing w:after="0" w:line="10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including increases in global temperatures, changes in weather patterns and increasingly frequent and/or prolonged extreme weather and climate related events, could present risks to our</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operations. The potential impacts of climate change present a variety of risks. The physical effects of climate change, such as extreme weather conditions, drought, and rising sea levels, could adversely affect our results of operations, including by increasing our energy costs, disrupting our supply chain, negatively impacting our workforce, damaging our stores, distribution centers, and inventory, and threatening the habitability of the locations in which we operate.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operations in certain states where natural disasters are more prevalent. Natural disasters in those states or in other areas where we operate could result in significant physical damage to or closure of one or more of our stores, distribution centers, facilities, or key vendors. In addition, weather conditions, natural disasters, and other catastrophic events in areas where we or our vendors operate, or depend upon for continued operations, could adversely affect the availability and cost of certain products within our supply chain, affect consumer purchasing power, and reduce consumer demand. Any of these events could adversely affect our results of operations. For additional information, see also our risk factor related to the impact of severe weather under “Risks Related to Our Business and Industry” above.</w:t>
      </w:r>
    </w:p>
    <w:p>
      <w:pPr>
        <w:spacing w:after="0" w:line="7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Climate change could exacerbate challenges relating to the availability and quality of water and raw materials, including those used in the production of the private label and other merchandise that we sell, may lead to increased energy usage and costs, and may result in changes in regulations or consumer</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preferences that could have a material adverse effect on our business, results of operations and financial condition. Uncharacteristic or significant weather conditions, including the physical impacts of climate change, can affect consumer shopping patterns, particularly in apparel and seasonal items, which could lead to lower sales or greater than expected markdowns and adversely affect our results of operations. There has been an increased focus by governmental and non-governmental organizations, customers, team members and other stakeholders on products that are sustainably made and other sustainability matters, including responsible sourcing, the use of plastic, conservation, energy and water, the recyclability of packaging and materials</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transparency, all of which may require us to incur increased costs for additional transparency, due diligence, and reporting. Additionally, recent proposed legislative and regulatory changes related to climate change and reporting at both the federal and state levels could increase the complexity of, and compliance costs associated with, such regulations, which could have a material adverse effect on our business, results of operations and financial condition.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trademarks, service marks, copyrights, patents, processes, trade secrets, domain names and other intellectual property, including our Academy Sports + Outdoors brand, our private label brands, such as Academy Sports + Outdoors, Magellan Outdoors, BCG, O'rageous, Game Winner, Outdoor Gourmet, Freely and R.O.W., and our goodwill, designs, names, slogans, images and trade dress associated with these brands, are valuable assets, and are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requires that we dedicate a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February 1, 2025, we had approximately $88.8 million outstanding under the Term Loan and $400.0 million outstanding under the Notes, all of which is secured. As of February 1, 2025, we had no borrowings outstanding under the ABL Facility (as defined in Note 4 of the accompanying financial statements), an available borrowing capacity under the ABL Facility of approximately $955.5 million (which is subject to customary borrowing conditions, including a borrowing base), and outstanding letters of credit of $9.3 million, all of which were issued under the ABL Facility.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portion of our cash flows to debt service payments. The Term Loan (as defined in Note 4 of the accompanying financial statements) requires quarterly principal payments through September 30, 2027, and monthly cash interest payments through maturity. The ABL Facility, under which we had no borrowings as of February 1, 2025, matures on March 8, 2029. The Notes (as defined in Note 4 of the accompanying financial statements) require semi-annual payments of interest (in arrears) and matures on November 15, 2027.</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indebtedness reduces the funds that would otherwise be available for operations, future business opportunities and payments of our debt obligations and limits our ability to:</w:t>
      </w:r>
    </w:p>
    <w:p>
      <w:pPr>
        <w:spacing w:after="0" w:line="54"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Despite our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February 1, 2025, we had no borrowings outstanding under the ABL Facility, and an available borrowing capacity under the ABL Facility of approximately $955.5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14"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In the past we have used, and in the future we may again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(or at all), our liquidity may be adversely affected. In addition, the lenders under the ABL Facility may reduce the borrowing base under the facility in certain circumstances, which could adversely impact our liquidity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in the future, to secure sale-leaseback financing at attractive cap rates. Our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level of indebtedness could adversely affect the profitability of our business, which could make it more difficult for us to generate cash flow sufficient to satisfy our obligations under our indebtedness.</w:t>
      </w: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may be adversely affected due to a number of factors, many of which are beyond our control, including without limitation those listed elsewhere under this “Risk Factors” section, and the following:</w:t>
      </w:r>
    </w:p>
    <w:p>
      <w:pPr>
        <w:spacing w:after="0" w:line="1" w:lineRule="exact"/>
        <w:rPr>
          <w:sz w:val="20"/>
          <w:szCs w:val="20"/>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policy or interest rate regulation;</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or the perception that such sales may occur;</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63"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acts of terrorism, civil unrest, wars or responses to these events.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provide any guaranty of future dividend payments or that we will repurchase our common stock pursuant to our share repurchase program, and our indebtedness could limit our ability to pay future dividends on our common stock.</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declared and paid our first quarterly cash dividend for the fourth quarter for fiscal 2021 and have paid a quarterly cash dividend consistently thereafter. However, we are not required to declare dividends. Any determination to pay future dividends to holders of our common stock will be at the discretion of our Board of Directors and will depend upon many factors, including our financial condition, results of operations, projections, liquidity, earnings, business strategy, legal requirements, covenant compliance, restrictions in our existing and any future debt agreements and other factors that our Board of Directors deems relevant. Therefore, there can be no assurance that we will pay any dividends to holders of our common stock or as to the amount of any such dividends. In addition, our historical results of operations, including cash flow, are not indicative of future financial performance, and our actual results of operations could differ significantly from our historical results of operations. We have not adopted, and do not currently expect to adopt, a separate written dividend policy. Furthermore, although our Board of Directors has authorized a share repurchase program,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our operations are conducted through our wholly owned subsidiaries and our ability to generate cash to meet our debt service obligations or to make future dividend payments or conduct share repurchases, if any, is highly dependent on the earnings of, and the receipt of funds from, our subsidiaries via dividends or intercompany loans. In addition, Delaware law may impose requirements that may restrict our ability to pay dividends to holders of our common stock or our ability to repurchase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63" w:lineRule="exact"/>
        <w:rPr>
          <w:sz w:val="20"/>
          <w:szCs w:val="20"/>
          <w:color w:val="auto"/>
        </w:rPr>
      </w:pPr>
    </w:p>
    <w:p>
      <w:pPr>
        <w:ind w:left="1140" w:hanging="322"/>
        <w:spacing w:after="0" w:line="281"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is divided into three classes, with each class serving for staggered three-year terms;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without stockholder approval;</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 2/3% of the shares of common stock entitled to vote generally in the election of directors; and</w:t>
      </w:r>
    </w:p>
    <w:p>
      <w:pPr>
        <w:spacing w:after="0" w:line="1"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 2/3% of shares of common stock entitled to vote generally in the election of directors.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remove or sunset some or all of these provisions, 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approximately 232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New Academy Holding Company, LLC 2011 Unit Incentive Plan (the “2011 Equity Plan”), our 2020 Omnibus Incentive Plan (the “2020 Equity Plan”), and our 2020 Employee Stock Purchase Plan (the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security of our information systems and data is critical to our business as a retailer, and we devote significant resources to protecting our information systems and data. We continue to invest in people, technology, and processes to protect data and systems against evolving cybersecurity threats. We have implemented a cybersecurity program that we believe is reasonably designed to manage risks from cybersecurity threats, including those that may result in adverse effects on the confidentiality, integrity, and availability of our information systems, and impact the security of information we create, maintain, and process on our information systems. Our program is designed to enable us to prevent, monitor, identify, detect, investigate, respond to, mitigate, and report on cybersecurity threats and incidents.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adopted a cross-functional and multi-management level approach to assessing and managing risks arising from cybersecurity threats. The audit committee of our Board of Directors (the “Audit Committee”) oversees the Company’s enterprise risk management program. As part of this oversight, the Audit Committee has primary responsibility for overseeing risks related to cybersecurity, although the full Board of Directors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(CIO) and our Chief Legal Officer (CLO) at its quarterly meetings on a range of topics, including our cybersecurity program and processes, our information systems, risk identification and mitigation strategies, the evolving cybersecurity threat landscape, regulatory developments, board education, and notable incidents or threats affecting the Company. From time to time between quarterly meetings, our CIO and CLO or other members of management may hold additional cybersecurity-related discussions with the Audit Committee. The Audit Committee regularly reports on its cybersecurity program oversight to the Board of Directors.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CIO is the primary executive responsible for leading the Company’s cybersecurity risk management program and has over 20 years of experience in various technology-related roles, including responsibilities related to managing information security, developing cybersecurity strategy, and implementing cybersecurity programs. Our cybersecurity team is responsible for the operations of our cybersecurity program, including implementing, monitoring, and maintaining cybersecurity and data protection solutions and practices across the enterprise. The team is led by our Director of IT Security and Compliance (our “Security Director”), who reports to our CIO. Our Security Director has over 20 years of IT experience and over 12 years of cybersecurity experience, and holds a Master of Science in Cybersecurity and Information Assurance. Our cybersecurity team works with our crisis management team and cybersecurity advisors we may engage to respond to and manage the resolution of cybersecurity incidents. Our CIO, Security Director, and cybersecurity team also work closely with our legal team on various aspects of our cybersecurity program.</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Cyber Security Committee, which is chaired by the CIO, and includes the CLO, the Chief Administrative Officer, and the Security Director among other team members, is a management committee chartered to oversee our cybersecurity program. The Cyber Security Committee meets at least quarterly and more frequently as appropriate to review and discuss the Company’s cybersecurity program. Our CIO and Security Director provide reports at each Cyber Security Committee meeting on cybersecurity program matters and initiatives. The Cyber Security Committee reviews any significant cybersecurity threats or incidents reported by the Security Director. The Cyber Security Committee elevates cybersecurity threats and incidents to the Audit Committee, CEO and CFO, Disclosure Committee, and crisis management team, as appropriate. Our Disclosure Committee, a cross-functional group consisting of accounting, legal, finance, investor relations, internal audit, and IT management personnel, is responsible for disclosures concerning material cybersecurity incidents and the Company’s cybersecurity practices.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cybersecurity program is based on the National Institute of Standards and Technology (NIST) Cybersecurity Framework and applies, as appropriate, to the Company’s internal and external information systems, applications, networks, and operations. We conduct scanning, testing, and assessments designed to identify risks from cybersecurity threats, assess controls, and calibrate planning in response to rapidly evolving cybersecurity risks, and use the results from this testing to adjust our cybersecurity program roadmap to mitigate cybersecurity risks as they evolve. Our internal audit team performs audits on various aspects of cybersecurity and reports the results of these audits in its quarterly reports to management, the Cyber Security Committee, and the Audit Committee. Our internal auditors assess the sufficiency of security controls for relevant systems. Leaders from our risk management and internal audit teams administer our enterprise risk management program, which is designed to identify, assess and manage our top enterprise risks, including risks arising from cybersecurity threats.</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employ a risk-based approach to secure access to our networks, systems, and applications by partners and vendors. We have implemented risk assessment processes for partners and vendors receiving access to our environment and data. Our partners and vendors with whom we share information to conduct our business are required to safeguard it by appropriate means, including elevated contractual commitments when appropriate. We provide cybersecurity training to our team members during onboarding and regularly thereafter. We maintain a software vulnerability management program supported by internal personnel and third-party service providers. We deploy technologies to automate and enhance our operational security capabilities. We also use third-party managed security services to augment our cybersecurity team’s capabilities.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and maintain a Cyber Security Incident Response Plan (the “CSIRP”) to provide a standardized framework for responding to cybersecurity incidents. The CSIRP is a coordinated approach to investigate, contain, mitigate, and document cybersecurity incidents, including reporting and escalating findings as appropriate (including to the crisis management team). We also periodically engage external assessors, consultants, Payment Card Industry-Data Security Standards (PCI-DSS) auditors, or other third parties to assist with our cybersecurity program. When appropriate, we engage forensic investigators and legal counsel to investigate cybersecurity threats and incidents.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the information available to us as of the date of this Annual Report, we believe that risks from cybersecurity threats, including as a result of any previous cybersecurity incidents, have not materially affected us, including our business strategy, results of operations or financial condition, and as of the date of this Annual Report, we are not aware of any material risks from cybersecurity threats that are reasonably likely to do so. However, we cannot eliminate all risks from cybersecurity threats or provide assurances that the Company will not be materially affected by such risks in the future. Due to evolving cybersecurity threats, despite our security measures, we may not able to anticipate, prevent, and stop future cybersecurity incidents, including attacks to our information systems and data and those of our partners. Additional information on cybersecurity risks we face is discussed in Item 1A of Part I, “Risk Factors”, which should be read in conjunction with the foregoing.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260" w:firstLine="324"/>
        <w:spacing w:after="0" w:line="271"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The following table sets forth the location, use and size of our corporate and distribution center facilities:</w:t>
      </w:r>
    </w:p>
    <w:tbl>
      <w:tblPr>
        <w:tblLayout w:type="fixed"/>
        <w:tblInd w:w="0" w:type="dxa"/>
        <w:tblCellMar>
          <w:top w:w="0" w:type="dxa"/>
          <w:left w:w="0" w:type="dxa"/>
          <w:bottom w:w="0" w:type="dxa"/>
          <w:right w:w="0" w:type="dxa"/>
        </w:tblCellMar>
      </w:tblPr>
      <w:tr>
        <w:trPr>
          <w:trHeight w:val="185"/>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44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Use</w:t>
            </w:r>
          </w:p>
        </w:tc>
        <w:tc>
          <w:tcPr>
            <w:tcW w:w="3100" w:type="dxa"/>
            <w:vAlign w:val="bottom"/>
          </w:tcPr>
          <w:p>
            <w:pPr>
              <w:jc w:val="right"/>
              <w:ind w:right="90"/>
              <w:spacing w:after="0" w:line="185" w:lineRule="exact"/>
              <w:rPr>
                <w:sz w:val="20"/>
                <w:szCs w:val="20"/>
                <w:color w:val="auto"/>
              </w:rPr>
            </w:pPr>
            <w:r>
              <w:rPr>
                <w:rFonts w:ascii="Times New Roman" w:cs="Times New Roman" w:eastAsia="Times New Roman" w:hAnsi="Times New Roman"/>
                <w:sz w:val="18"/>
                <w:szCs w:val="18"/>
                <w:b w:val="1"/>
                <w:bCs w:val="1"/>
                <w:color w:val="auto"/>
              </w:rPr>
              <w:t>Approximate Square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auto"/>
            </w:tcBorders>
            <w:vMerge w:val="continue"/>
          </w:tcPr>
          <w:p>
            <w:pPr>
              <w:spacing w:after="0"/>
              <w:rPr>
                <w:sz w:val="21"/>
                <w:szCs w:val="21"/>
                <w:color w:val="auto"/>
              </w:rPr>
            </w:pPr>
          </w:p>
        </w:tc>
        <w:tc>
          <w:tcPr>
            <w:tcW w:w="4440" w:type="dxa"/>
            <w:vAlign w:val="bottom"/>
            <w:tcBorders>
              <w:bottom w:val="single" w:sz="8" w:color="auto"/>
            </w:tcBorders>
            <w:vMerge w:val="continue"/>
          </w:tcPr>
          <w:p>
            <w:pPr>
              <w:spacing w:after="0"/>
              <w:rPr>
                <w:sz w:val="21"/>
                <w:szCs w:val="21"/>
                <w:color w:val="auto"/>
              </w:rPr>
            </w:pPr>
          </w:p>
        </w:tc>
        <w:tc>
          <w:tcPr>
            <w:tcW w:w="3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Footage</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Corporate Office Building 1</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shd w:val="clear" w:color="auto" w:fill="CCEEFF"/>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Bulk Warehouse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Distribution Center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Twiggs County, Georgia</w:t>
            </w:r>
          </w:p>
        </w:tc>
        <w:tc>
          <w:tcPr>
            <w:tcW w:w="4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Distribution Center</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Cookeville, Tennessee</w:t>
            </w:r>
          </w:p>
        </w:tc>
        <w:tc>
          <w:tcPr>
            <w:tcW w:w="4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Distribution Center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Kowloon, Hong Kong</w:t>
            </w:r>
          </w:p>
        </w:tc>
        <w:tc>
          <w:tcPr>
            <w:tcW w:w="4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Global Sourcing Office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2007. Lease expires in 2032.</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2015. Lease expires in 2035.</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2012. Lease expires in 2027.</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2007. Lease expires in 2032.</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2011. Lease expires in 2038.</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2014. Lease expires in 2039.</w:t>
      </w:r>
    </w:p>
    <w:p>
      <w:pPr>
        <w:spacing w:after="0" w:line="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lease commenced in 2020. Lease expires in 2027.</w:t>
      </w:r>
    </w:p>
    <w:p>
      <w:pPr>
        <w:spacing w:after="0" w:line="24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two retail stores which we own, we lease all of our retail stores, distribution centers and corporate offices. Our initial store lease terms are typically 15 to 20 years with various renewal options and lease escalation structures. We believe that all of our leases are entered into at then-prevailing market lease rates. As of February 1, 2025, our combined leased and owned store square footage was approximately 20.6 million square feet.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12 — Commitments to our consolidated financial statements included under Part IV, Item 15 of this Annual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Academy's common stock began trading on the Nasdaq Stock Market LLC, or Nasdaq, under the symbol “ASO” on October 2, 2020. Prior to that date, there was no public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commencing October 2, 2020 (the Company’s initial day of trading) through January 31, 2025. All values assume a $100 initial investment at the opening price of the Company’s common stock on Nasdaq and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829300" cy="3248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table summarizes the repurchases and cancellations of our common stock during the fourth quarter of 2024:</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2024 to November 30,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2024 to January 4,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5, 2025 to February 1, 2025</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0" w:type="dxa"/>
            <w:vAlign w:val="bottom"/>
          </w:tcPr>
          <w:p>
            <w:pPr>
              <w:spacing w:after="0"/>
              <w:rPr>
                <w:sz w:val="15"/>
                <w:szCs w:val="15"/>
                <w:color w:val="auto"/>
              </w:rPr>
            </w:pPr>
          </w:p>
        </w:tc>
        <w:tc>
          <w:tcPr>
            <w:tcW w:w="15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780" w:type="dxa"/>
            <w:vAlign w:val="bottom"/>
            <w:gridSpan w:val="2"/>
            <w:vMerge w:val="continue"/>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 (a)</w:t>
            </w:r>
          </w:p>
        </w:tc>
        <w:tc>
          <w:tcPr>
            <w:tcW w:w="34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Share (b)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Plans or Programs (c)</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396,425,342</w:t>
            </w:r>
          </w:p>
        </w:tc>
        <w:tc>
          <w:tcPr>
            <w:tcW w:w="0" w:type="dxa"/>
            <w:vAlign w:val="bottom"/>
          </w:tcPr>
          <w:p>
            <w:pPr>
              <w:spacing w:after="0"/>
              <w:rPr>
                <w:sz w:val="1"/>
                <w:szCs w:val="1"/>
                <w:color w:val="auto"/>
              </w:rPr>
            </w:pPr>
          </w:p>
        </w:tc>
      </w:tr>
      <w:tr>
        <w:trPr>
          <w:trHeight w:val="229"/>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676,151,069</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635,475,139</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1,706,487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635,475,139</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-334010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-633730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220" w:space="720"/>
            <w:col w:w="7300"/>
          </w:cols>
          <w:pgMar w:left="320" w:top="995" w:right="339" w:bottom="1440" w:gutter="0" w:footer="0" w:header="0"/>
          <w:type w:val="continuous"/>
        </w:sectPr>
      </w:pPr>
    </w:p>
    <w:p>
      <w:pPr>
        <w:ind w:left="260" w:hanging="252"/>
        <w:spacing w:after="0" w:line="261" w:lineRule="auto"/>
        <w:tabs>
          <w:tab w:leader="none" w:pos="21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excludes shares which were net-settled, and therefore not issued, to cover employee withholding taxes related to the vesting of certain restricted stock awards and exercise of certain stock option awards.</w:t>
      </w:r>
    </w:p>
    <w:p>
      <w:pPr>
        <w:ind w:left="220" w:hanging="212"/>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14" w:lineRule="exact"/>
        <w:rPr>
          <w:rFonts w:ascii="Times New Roman" w:cs="Times New Roman" w:eastAsia="Times New Roman" w:hAnsi="Times New Roman"/>
          <w:sz w:val="14"/>
          <w:szCs w:val="14"/>
          <w:color w:val="auto"/>
        </w:rPr>
      </w:pPr>
    </w:p>
    <w:p>
      <w:pPr>
        <w:ind w:left="260" w:right="60" w:hanging="252"/>
        <w:spacing w:after="0" w:line="261" w:lineRule="auto"/>
        <w:tabs>
          <w:tab w:leader="none" w:pos="21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29, 2023, the Board of Directors of the Company authorized a share repurchase program (the “2023 Share Repurchase Program”) under which the Company is authorized to purchase up to $600 million of its outstanding shares during the three-year period ending November 29, 2026. On December 4, 2024, the Board of Directors authorized a share repurchase program under which the Company is authorized to purchase up to $700 million of its outstanding shares during the three-year period ending December 4, 2027 (the “2024 Share Repurchase Program”), and which replaces the 2023 Share Repurchase Program. As of February 1, 2025, approximately $635.5 million remained available for share repurchases pursuant to the 2024 Share Repurchase Program (see Note 2 to the accompanying financial statements). The 2024 Share Repurchase Program does not obligate the Company to acquire any particular number of common shares, and the programs may be suspended, extended, modified or discontinued at any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13, 2025, there were 11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declared and paid our first quarterly cash dividend for the fourth quarter for fiscal 2021 and have paid a quarterly cash dividend consistently thereafter. See “Management’s Discussion and Analysis of Financial Condition and Results of Operations” for information regarding quarterly dividend payments for 2024. However, we are not required to declare dividends. Any determination to pay future dividends to holders of our common stock will be subject to the discretion and approval of the Board of Directors and will depend upon many factors, including, the Company’s results of operations, liquidity, earnings, business strategy, legal requirements, covenant compliance, restrictions in our existing and any future debt agreements and other factors that our Board of Directors deems relevant.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100" w:firstLine="324"/>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year ended February 1, 2025 (“2024”) and the year ended February 3, 2024 (“2023”) should be read together with our consolidated financial statements and related notes included elsewhere in this Annual Report for the fiscal year ended February 1, 2025 (this “Annual Report”). Year-to-year comparisons between 2023 and 2022 have been omitted from this Annual Report, but may be found in “Management’s Discussion and Analysis of Financial Condition and Results of Operations” in Part II, Item 7 of the Company’s Annual Report on Form 10-K for the year ended February 3, 2024.</w:t>
      </w:r>
    </w:p>
    <w:p>
      <w:pPr>
        <w:spacing w:after="0" w:line="82"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“Part I. Item 1A. Risk Factors” section of this Annual Report.</w:t>
      </w:r>
    </w:p>
    <w:p>
      <w:pPr>
        <w:spacing w:after="0" w:line="75" w:lineRule="exact"/>
        <w:rPr>
          <w:sz w:val="20"/>
          <w:szCs w:val="20"/>
          <w:color w:val="auto"/>
        </w:rPr>
      </w:pPr>
    </w:p>
    <w:p>
      <w:pPr>
        <w:jc w:val="both"/>
        <w:ind w:firstLine="292"/>
        <w:spacing w:after="0" w:line="284" w:lineRule="auto"/>
        <w:rPr>
          <w:sz w:val="20"/>
          <w:szCs w:val="20"/>
          <w:color w:val="auto"/>
        </w:rPr>
      </w:pPr>
      <w:r>
        <w:rPr>
          <w:rFonts w:ascii="Times New Roman" w:cs="Times New Roman" w:eastAsia="Times New Roman" w:hAnsi="Times New Roman"/>
          <w:sz w:val="18"/>
          <w:szCs w:val="18"/>
          <w:i w:val="1"/>
          <w:iCs w:val="1"/>
          <w:color w:val="auto"/>
        </w:rPr>
        <w:t>Any reference in this Annual Report to “year” or any year in particular refers to our fiscal year, which represents the fifty-two or fifty-three week period ending on the Saturday closest to January 31. Unless otherwise specified, all comparisons or changes regarding 2024 are made to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references in this discussion and analysis to “2024”, “2023” and “2022” or like terms relate to our fiscal years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7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23"/>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top w:val="single" w:sz="8" w:color="CCEEFF"/>
            </w:tcBorders>
            <w:shd w:val="clear" w:color="auto" w:fill="CCEEFF"/>
          </w:tcPr>
          <w:p>
            <w:pPr>
              <w:spacing w:after="0"/>
              <w:rPr>
                <w:sz w:val="19"/>
                <w:szCs w:val="19"/>
                <w:color w:val="auto"/>
              </w:rPr>
            </w:pPr>
          </w:p>
        </w:tc>
        <w:tc>
          <w:tcPr>
            <w:tcW w:w="7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2025</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7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February 3, 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2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January 28, 2023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outdoors, apparel, sports &amp; recreation and footwear (representing 30%, 27%, 23% and 20% of our 2024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August/September back-to-school selling season during the third quarter, the November/December holiday selling season, and in part by the sales of cold weather sporting goods and apparel during the fourth quarter.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February 1, 2025, we operated 298 stores that range in size from approximately 40,000 to 130,000 gross square feet, with an average size of approximately 70,000 gross square feet, throughout 19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268</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Q3 new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Q4 new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2140" w:type="dxa"/>
            <w:vAlign w:val="bottom"/>
            <w:gridSpan w:val="3"/>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other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thirteen months.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comparable sales metric for 2024 (52 week fiscal year) compares the fiscal year ending February 1, 2025 to the final 52 weeks of the fiscal year 2023 ended February 3, 2024. Fiscal year 2023 was a 53 week year. Merchandise net sales for the 2023 53rd week were $73.3 million.</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6" w:name="page47"/>
    <w:bookmarkEnd w:id="46"/>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which focus on customer segmentation with the intention of improving customer identification and increasing customer engagement. Additionally, we continue to implement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2024,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growth strategy encompasses both deepening our presence in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fiscal year 2024, we opened 16 new stores. We plan to open 20 to 25 stores in fiscal year 2025 and we are continuously evaluating available locations that meet our size requirements and market criteria. Our strategic real estate approach, including the 39 stores opened since fiscal year 2021, has positioned us effectively for continued expansion.</w:t>
      </w: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7" w:name="page48"/>
    <w:bookmarkEnd w:id="47"/>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duties, tariffs,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A prolonged period of significant increased shrink could have a material negative impact on our gross margin and results of operations.</w:t>
      </w:r>
    </w:p>
    <w:p>
      <w:pPr>
        <w:spacing w:after="0" w:line="10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23.3% in 2023 to 24.8% in 2024. The majority of the increase in SG&amp;A from the prior year was driven by investments in our growth initiatives, including costs related to new stores (such as additional property and facility fees, employee compensation costs and advertising costs).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80" w:type="dxa"/>
            <w:vAlign w:val="bottom"/>
          </w:tcPr>
          <w:p>
            <w:pPr>
              <w:spacing w:after="0"/>
              <w:rPr>
                <w:sz w:val="19"/>
                <w:szCs w:val="19"/>
                <w:color w:val="auto"/>
              </w:rPr>
            </w:pP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7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(in millions)</w:t>
            </w:r>
          </w:p>
        </w:tc>
        <w:tc>
          <w:tcPr>
            <w:tcW w:w="1760" w:type="dxa"/>
            <w:vAlign w:val="bottom"/>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closed on a sale-leaseback agreement involving a store property in Cypress, Texas. We determined that the sale-leaseback transaction qualifies as a sale in accordance with ASC 842 (See Note 11). In connection with the sale-leaseback transaction, we recognized a net gain of approximately $7.1 million in Selling, General, and Administrative expenses on the Consolidated Statements of Income.</w:t>
      </w:r>
    </w:p>
    <w:p>
      <w:pPr>
        <w:spacing w:after="0" w:line="11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 In 2022 and 2023, we utilized cash on hand to voluntarily prepay $100 million of outstanding borrowings on our Term Loan. However, this prepayment in principal on our Term Loan was largely offset by increases made by the Federal Reserve to the federal funds benchmark rate during 2022 and 2023, resulting in a decrease in interest expense in 2024 compared to 2023.</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 result of changes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discussion regarding Results of Operations and Analysis of Financial Condition for the fiscal year ended February 3, 2024, as compared to the fiscal year ended January 28, 2023, is included in “Part II – Item 7. Management’s Discussion and Analysis of Financial Condition and Results of Operations” to our Annual Report on Form 10-K for the fiscal year ended February 3,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(52 weeks) Compared to 2023 (53 weeks)</w:t>
      </w:r>
    </w:p>
    <w:p>
      <w:pPr>
        <w:spacing w:after="0" w:line="256" w:lineRule="exact"/>
        <w:rPr>
          <w:sz w:val="20"/>
          <w:szCs w:val="20"/>
          <w:color w:val="auto"/>
        </w:rPr>
      </w:pPr>
    </w:p>
    <w:p>
      <w:pPr>
        <w:ind w:right="48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520"/>
              <w:spacing w:after="0" w:line="241" w:lineRule="exact"/>
              <w:rPr>
                <w:sz w:val="20"/>
                <w:szCs w:val="20"/>
                <w:color w:val="auto"/>
              </w:rPr>
            </w:pPr>
            <w:r>
              <w:rPr>
                <w:rFonts w:ascii="Times New Roman" w:cs="Times New Roman" w:eastAsia="Times New Roman" w:hAnsi="Times New Roman"/>
                <w:sz w:val="18"/>
                <w:szCs w:val="18"/>
                <w:b w:val="1"/>
                <w:bCs w:val="1"/>
                <w:color w:val="auto"/>
              </w:rPr>
              <w:t>Fiscal Year Ended</w:t>
            </w:r>
            <w:r>
              <w:rPr>
                <w:rFonts w:ascii="Times New Roman" w:cs="Times New Roman" w:eastAsia="Times New Roman" w:hAnsi="Times New Roman"/>
                <w:sz w:val="23"/>
                <w:szCs w:val="23"/>
                <w:b w:val="1"/>
                <w:bCs w:val="1"/>
                <w:color w:val="auto"/>
                <w:vertAlign w:val="superscript"/>
              </w:rPr>
              <w:t>(a)</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80" w:type="dxa"/>
            <w:vAlign w:val="bottom"/>
          </w:tcPr>
          <w:p>
            <w:pPr>
              <w:spacing w:after="0"/>
              <w:rPr>
                <w:sz w:val="19"/>
                <w:szCs w:val="19"/>
                <w:color w:val="auto"/>
              </w:rPr>
            </w:pPr>
          </w:p>
        </w:tc>
        <w:tc>
          <w:tcPr>
            <w:tcW w:w="22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5,933,450</w:t>
            </w: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6,159,291</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(225,841)</w:t>
            </w: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3,921,990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4,049,080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(127,090)</w:t>
            </w: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2,011,460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2,110,211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5"/>
        </w:trPr>
        <w:tc>
          <w:tcPr>
            <w:tcW w:w="32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1,472,821</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1,432,356</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3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538,639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677,855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(139,216)</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(36,908)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(32,877)</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538,225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663,156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119,778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143,966</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418,447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60" w:right="1920" w:hanging="289"/>
        <w:spacing w:after="0" w:line="220" w:lineRule="auto"/>
        <w:tabs>
          <w:tab w:leader="none" w:pos="46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Fiscal year 2023 consisted of 53 weeks compared with 52 weeks in fiscal year 2024. Merchandise net sales for the 53rd week in 2023 were $73.3 million. * Percentages in table may not sum properly due to rounding.</w:t>
      </w:r>
    </w:p>
    <w:p>
      <w:pPr>
        <w:spacing w:after="0" w:line="200" w:lineRule="exact"/>
        <w:rPr>
          <w:sz w:val="20"/>
          <w:szCs w:val="20"/>
          <w:color w:val="auto"/>
        </w:rPr>
      </w:pPr>
    </w:p>
    <w:p>
      <w:pPr>
        <w:spacing w:after="0" w:line="3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$225.8 million, or 3.7%, in fiscal year 2024 (a 52 week year) over fiscal year 2023 (a 53 week year). This is primarily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decreased comparable sales, which was partially offset by $88.5 million of net sales, including e-commerce, generated by 16 new stores opened since the end of the 2023 fiscal year. Since re-launching our new store program in 2022, we have opened 39 new stores, 23 of which have been open for at least twelve months. Over the last twelve months, those 23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Comparable sales decreased 5.1% driven by lower sales across all merchandise divisions as a result of a 6.3% decrease in comparable transactions, partially offset by an increase in average ticket of 1.2%. The decrease of 3.7% in net sales was driven by decreased sales of 6.5% in the sports and recreation merchandise division, 5.8% in the apparel division and 3.9% in the footwear division, partially offset by an increase of 0.7% in the outdoor merchandise division. Fiscal year 2024 was a 52 week year compared to fiscal year 2023, which was a 53 week year. Merchandise net sales for the 53rd week in 2023 were $73.3 million.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sales represented 10.5% of merchandise sales for 2024 compared to 10.7% for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9" w:name="page50"/>
    <w:bookmarkEnd w:id="49"/>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$98.8 million, or 4.7%. As a percentage of net sales, gross margin decreased 40 basis points from 34.3%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33.9% in 2024. The decrease of 40 basis points in gross margin was primarily attributable to:</w:t>
      </w:r>
    </w:p>
    <w:p>
      <w:pPr>
        <w:spacing w:after="0" w:line="51"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basis points of unfavorability due to increased supply chain costs associated with our transition to a new warehouse management system at our Georgia distribution center and increased freight costs;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basis points of unfavorability in merchandise margin as a result of a higher sales mix of hard goods</w:t>
      </w:r>
    </w:p>
    <w:p>
      <w:pPr>
        <w:spacing w:after="0" w:line="20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$40.5 million, or 2.8%, to $1,472.8 million in 2024 from $1,432.4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primarily as a result of our increased strategic investments of $66.4 million in new stores and technology and deleverage from decreased sales. This was partially offset by an additional week of SG&amp;A expense in the prior year of approximately $17.1 million as fiscal year 2023 was a 53-week year.</w:t>
      </w:r>
    </w:p>
    <w:p>
      <w:pPr>
        <w:spacing w:after="0" w:line="14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retirement of debt. </w:t>
      </w:r>
      <w:r>
        <w:rPr>
          <w:rFonts w:ascii="Times New Roman" w:cs="Times New Roman" w:eastAsia="Times New Roman" w:hAnsi="Times New Roman"/>
          <w:sz w:val="18"/>
          <w:szCs w:val="18"/>
          <w:color w:val="auto"/>
        </w:rPr>
        <w:t>We utilized cash on hand to voluntarily prepay $100 million of outstanding borrowings under the Term Loan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of 2024, which resulted in a loss on early retirement of debt of $1.5 million for 2023.</w:t>
      </w:r>
    </w:p>
    <w:p>
      <w:pPr>
        <w:spacing w:after="0" w:line="14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increased by $0.4 million for the year-to-date 2024 when compared with the year-to-date 2023, in connection with the amendment in the 2024 first quarter that led to the write off of deferred loan costs on the ABL Facility.</w:t>
      </w:r>
    </w:p>
    <w:p>
      <w:pPr>
        <w:spacing w:after="0" w:line="11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$9.2 million, or 19.9%, to $36.9 million in 2024 from $46.1 million in 2023 resulting primarily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outstanding balance on our long-term debt, driven by a voluntary prepayment of $100.0 million under the Term Loan made on February 1, 2024.</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$4.0 million in 2024 when compared to 2023, primarily driven by increased money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the current year.</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$24.2 million to $119.8 million in 2024 as compared to $144.0 million in 2023,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a decrease in pre-tax income. ASO, Inc.'s effective tax rate for 2024 was 22.3% compared to 21.7% in 2023. The increase in effective tax rate was largely driven by the decrease in pre-tax income in the current year, as well as decreased permanent adjustments related to stock compensation awards during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Annual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right="7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418,447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628,001</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190,319</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118,070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106,762</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(b)</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720,246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994,661</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(106,762)</w:t>
            </w: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602,176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735,109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887,899</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400" w:right="20" w:hanging="374"/>
        <w:spacing w:after="0" w:line="268"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year ended February 1, 2025, includes a $15.0 million gain pertaining to a litigation settlement and a $7.1 million gain on a sale-leaseback transaction, both of which occurred in the fourth quarter of 2024. Net income for the year ended February 3, 2024, includes a $15.9 million net gain relative to a credit card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See Note 2 of the accompanying financial statements.</w:t>
      </w:r>
    </w:p>
    <w:p>
      <w:pPr>
        <w:spacing w:after="0" w:line="23" w:lineRule="exact"/>
        <w:rPr>
          <w:rFonts w:ascii="Times New Roman" w:cs="Times New Roman" w:eastAsia="Times New Roman" w:hAnsi="Times New Roman"/>
          <w:sz w:val="14"/>
          <w:szCs w:val="14"/>
          <w:color w:val="auto"/>
        </w:rPr>
      </w:pPr>
    </w:p>
    <w:p>
      <w:pPr>
        <w:ind w:left="400" w:right="20" w:hanging="374"/>
        <w:spacing w:after="0" w:line="302"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 based compensation, which vary from period to period depending on certain factors,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1, 2025</w:t>
            </w:r>
          </w:p>
        </w:tc>
        <w:tc>
          <w:tcPr>
            <w:tcW w:w="18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February 3, 2024</w:t>
            </w:r>
          </w:p>
        </w:tc>
        <w:tc>
          <w:tcPr>
            <w:tcW w:w="200" w:type="dxa"/>
            <w:vAlign w:val="bottom"/>
          </w:tcPr>
          <w:p>
            <w:pPr>
              <w:spacing w:after="0"/>
              <w:rPr>
                <w:sz w:val="18"/>
                <w:szCs w:val="18"/>
                <w:color w:val="auto"/>
              </w:rPr>
            </w:pPr>
          </w:p>
        </w:tc>
        <w:tc>
          <w:tcPr>
            <w:tcW w:w="156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January 28, 2023</w:t>
            </w:r>
          </w:p>
        </w:tc>
      </w:tr>
      <w:tr>
        <w:trPr>
          <w:trHeight w:val="21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418,447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519,190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628,001</w:t>
            </w:r>
          </w:p>
        </w:tc>
      </w:tr>
      <w:tr>
        <w:trPr>
          <w:trHeight w:val="214"/>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(b)</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21,175</w:t>
            </w:r>
          </w:p>
        </w:tc>
      </w:tr>
      <w:tr>
        <w:trPr>
          <w:trHeight w:val="21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early retirement of debt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 off of deferred loan costs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effects of these adjustments (c)</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w:t>
            </w:r>
          </w:p>
        </w:tc>
      </w:tr>
      <w:tr>
        <w:trPr>
          <w:trHeight w:val="211"/>
        </w:trPr>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439,487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539,471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645,757</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75"/>
        </w:trPr>
        <w:tc>
          <w:tcPr>
            <w:tcW w:w="58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4"/>
        </w:trPr>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per Share: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4"/>
        </w:trPr>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8"/>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71,343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81,590</w:t>
            </w:r>
          </w:p>
        </w:tc>
      </w:tr>
      <w:tr>
        <w:trPr>
          <w:trHeight w:val="212"/>
        </w:trPr>
        <w:tc>
          <w:tcPr>
            <w:tcW w:w="5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73,048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83,895</w:t>
            </w:r>
          </w:p>
        </w:tc>
      </w:tr>
    </w:tbl>
    <w:p>
      <w:pPr>
        <w:spacing w:after="0" w:line="116" w:lineRule="exact"/>
        <w:rPr>
          <w:sz w:val="20"/>
          <w:szCs w:val="20"/>
          <w:color w:val="auto"/>
        </w:rPr>
      </w:pPr>
    </w:p>
    <w:p>
      <w:pPr>
        <w:jc w:val="both"/>
        <w:ind w:left="400" w:right="20" w:hanging="374"/>
        <w:spacing w:after="0" w:line="268" w:lineRule="auto"/>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year ended February 1, 2025, includes a $15.0 million gain pertaining to a litigation settlement and a $7.1 million gain on a sale-leaseback transaction, both of which occurred in the fourth quarter of 2024. Net income for the year ended February 3, 2024, includes a $15.9 million net gain relative to a credit card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See Note 2 of the accompanying financial statements.</w:t>
      </w:r>
    </w:p>
    <w:p>
      <w:pPr>
        <w:spacing w:after="0" w:line="23" w:lineRule="exact"/>
        <w:rPr>
          <w:rFonts w:ascii="Times New Roman" w:cs="Times New Roman" w:eastAsia="Times New Roman" w:hAnsi="Times New Roman"/>
          <w:sz w:val="14"/>
          <w:szCs w:val="14"/>
          <w:color w:val="auto"/>
        </w:rPr>
      </w:pPr>
    </w:p>
    <w:p>
      <w:pPr>
        <w:ind w:left="400" w:right="20" w:hanging="374"/>
        <w:spacing w:after="0" w:line="291" w:lineRule="auto"/>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 based compensation, which vary from period to period depending on certain factors including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400" w:hanging="374"/>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total adjustments made to arrive at Adjusted Net Income at our historical tax rate.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62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528,082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535,779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552,005</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(186,120)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(206,139)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rPr>
              <w:t>(108,806)</w:t>
            </w: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341,962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329,640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443,199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use cash to repurchase our common stock. We may fund our liquidity requirements through cash and cash equivalents, cash generated from operating activities, and borrowings under our ABL Facility (as defined below). On February 1, 2025, our cash and cash equivalents totaled $288.9 million. We believe our existing cash and cash equivalents, cash flows from operations, as well as availability under the ABL Facility, will be sufficient to fund our cash requirements for the foreseeable future.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 2025, the Company's long-term debt consists of:</w:t>
      </w:r>
    </w:p>
    <w:p>
      <w:pPr>
        <w:spacing w:after="0" w:line="11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- 8.38% variable rate term-loan with $88.8 million in principal outstanding maturing November 6, 2027 and requiring quarterly principal payments of $750 thousand through September 30, 2027;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8"/>
          <w:szCs w:val="18"/>
          <w:color w:val="auto"/>
        </w:rPr>
        <w:t>See Note 4 to the accompanying financial statements for further disclosure regarding our debt agreements. The following table summarizes our current debt obligations by fiscal year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92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106,479</w:t>
            </w:r>
          </w:p>
        </w:tc>
      </w:tr>
      <w:tr>
        <w:trPr>
          <w:trHeight w:val="230"/>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8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472,000</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2,500</w:t>
            </w:r>
          </w:p>
        </w:tc>
        <w:tc>
          <w:tcPr>
            <w:tcW w:w="9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r>
    </w:tbl>
    <w:p>
      <w:pPr>
        <w:spacing w:after="0" w:line="72"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no balances drawn on our ABL Facility.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(amounts in thousands):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6"/>
        </w:trPr>
        <w:tc>
          <w:tcPr>
            <w:tcW w:w="5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740" w:type="dxa"/>
            <w:vAlign w:val="bottom"/>
          </w:tcPr>
          <w:p>
            <w:pPr>
              <w:spacing w:after="0"/>
              <w:rPr>
                <w:sz w:val="19"/>
                <w:szCs w:val="19"/>
                <w:color w:val="auto"/>
              </w:rPr>
            </w:pPr>
          </w:p>
        </w:tc>
        <w:tc>
          <w:tcPr>
            <w:tcW w:w="1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955,495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935,550</w:t>
            </w:r>
          </w:p>
        </w:tc>
      </w:tr>
      <w:tr>
        <w:trPr>
          <w:trHeight w:val="545"/>
        </w:trPr>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5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22"/>
                <w:szCs w:val="22"/>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7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955,495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February 1, 2025. In the fiscal year ended February 1, 2025, we opened 16 new locations. The following table summarizes our operating lease obligations by fiscal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1,017,626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2,119,522</w:t>
            </w:r>
          </w:p>
        </w:tc>
      </w:tr>
    </w:tbl>
    <w:p>
      <w:pPr>
        <w:spacing w:after="0" w:line="72"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$2.0 million due in the future under non-cancelable subleases.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February 1, 2025.</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29, 2023, the Board of Directors authorized a new share repurchase program (the “2023 Share Repurchase Program”) under which the Company may purchase up to $600 million of its outstanding shares during the three-year period ending November 29, 2026.</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2023 Share Repurchase Program, repurchases can be made using a variety of methods, which may include open market purchases, block trades, privately negotiated transactions, accelerated share repurchase programs and/or Rule 10b5-1 or other a non-discretionary trading plans, all in compliance with the rules of the SEC and other applicable legal requirements. The timing, manner, price and amount of any common share repurchases under the 2023 Share Repurchase Program are determined by the Company in its discretion and depend on a variety of factors, including legal requirements, price and economic and market conditions. The 2023 Share Repurchase Program does not obligate the Company to acquire any particular number of common shares, and the program may be suspended, extended, modified or discontinued at any time.</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authorized a new share repurchase program under which the Company is authorized to purchase up to $700 million of its outstanding shares during the three-year period ending December 4, 2027 (the “2024 Share Repurchase Program”), and which replaces the 2023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share repurchases for the fiscal year ended February 1, 2025 (dollar amounts in thousands, except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0"/>
        </w:trPr>
        <w:tc>
          <w:tcPr>
            <w:tcW w:w="566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360" w:type="dxa"/>
            <w:vAlign w:val="bottom"/>
          </w:tcPr>
          <w:p>
            <w:pPr>
              <w:spacing w:after="0"/>
              <w:rPr>
                <w:sz w:val="20"/>
                <w:szCs w:val="20"/>
                <w:color w:val="auto"/>
              </w:rPr>
            </w:pPr>
          </w:p>
        </w:tc>
        <w:tc>
          <w:tcPr>
            <w:tcW w:w="154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0"/>
                <w:szCs w:val="20"/>
                <w:color w:val="auto"/>
              </w:rPr>
            </w:pPr>
          </w:p>
        </w:tc>
        <w:tc>
          <w:tcPr>
            <w:tcW w:w="1600" w:type="dxa"/>
            <w:vAlign w:val="bottom"/>
          </w:tcPr>
          <w:p>
            <w:pPr>
              <w:jc w:val="right"/>
              <w:ind w:right="23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122,425</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5, 2024 to August 3,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4, 2024 to November 2, 2024)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r>
      <w:tr>
        <w:trPr>
          <w:trHeight w:val="230"/>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Fourth Quarter (November 3, 2024 to February 1, 2025) </w:t>
            </w:r>
            <w:r>
              <w:rPr>
                <w:rFonts w:ascii="Times New Roman" w:cs="Times New Roman" w:eastAsia="Times New Roman" w:hAnsi="Times New Roman"/>
                <w:sz w:val="23"/>
                <w:szCs w:val="23"/>
                <w:color w:val="auto"/>
                <w:vertAlign w:val="superscript"/>
              </w:rPr>
              <w:t>(2)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1,706,487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91,146</w:t>
            </w: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6,544,337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68" w:lineRule="exact"/>
        <w:rPr>
          <w:rFonts w:ascii="Times New Roman" w:cs="Times New Roman" w:eastAsia="Times New Roman" w:hAnsi="Times New Roman"/>
          <w:sz w:val="14"/>
          <w:szCs w:val="14"/>
          <w:color w:val="auto"/>
        </w:rPr>
      </w:pPr>
    </w:p>
    <w:p>
      <w:pPr>
        <w:ind w:firstLine="8"/>
        <w:spacing w:after="0" w:line="271" w:lineRule="auto"/>
        <w:tabs>
          <w:tab w:leader="none" w:pos="21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5 - Market for Registrant's Common Equity, Related Stockholder Matters and Issuer Purchases of Equity Securities for further detail on the 2024 fourth quarter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quarterly dividend payments for the fiscal year ended February 1, 2025 (amounts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Dividends Paid per</w:t>
            </w:r>
          </w:p>
        </w:tc>
        <w:tc>
          <w:tcPr>
            <w:tcW w:w="18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Dividends Paid</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26, 2024</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5, 2024 to August 3,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4, 2024 to November 2,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 (November 3, 2024 to February 1, 2025)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December 18, 2024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6, 2025, the Company announced that the Board of Directors declared a quarterly cash dividend with respect to the quarter ended February 1, 2025 of $0.13 per share of common stock, payable on April 17, 2025, to stockholders of record as of the close of business on March 25, 2025.</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periods shown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 and relocations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50,019</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w:t>
            </w: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108,304</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capital expenditures for fiscal year 2025 to be between $220 million and $250 million. The following table summarizes our forecasted allocation of capital expenditures for fiscal year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our capital expenditures based on business conditions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7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Our Consolidated Statements of Cash Flows are summarized as follows (in thousands):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99"/>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528,082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552,005</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(108,806)</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(592,052)</w:t>
            </w:r>
          </w:p>
        </w:tc>
      </w:tr>
      <w:tr>
        <w:trPr>
          <w:trHeight w:val="22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(148,853)</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inventory increase being the most significant.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in 2024 decreased $7.7 million compared to 2023. This decrease is attributable to:</w:t>
      </w:r>
    </w:p>
    <w:p>
      <w:pPr>
        <w:spacing w:after="0" w:line="25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$100.7 million decrease in net income; partially offset by</w:t>
      </w:r>
    </w:p>
    <w:p>
      <w:pPr>
        <w:spacing w:after="0" w:line="63"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 million net increase in non-cash charges offset by a $7.1 million gain, net of fees, on a sale-leaseback transaction in the fourth quarter of fiscal year 2024 (see Note 11);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 million net increase in cash flows provided by operating assets and liabilities.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cash flows from operating assets and liabilities was primarily attributable to:</w:t>
      </w:r>
    </w:p>
    <w:p>
      <w:pPr>
        <w:spacing w:after="0" w:line="252" w:lineRule="exact"/>
        <w:rPr>
          <w:sz w:val="20"/>
          <w:szCs w:val="20"/>
          <w:color w:val="auto"/>
        </w:rPr>
      </w:pPr>
    </w:p>
    <w:p>
      <w:pPr>
        <w:ind w:left="660" w:hanging="328"/>
        <w:spacing w:after="0" w:line="281" w:lineRule="auto"/>
        <w:tabs>
          <w:tab w:leader="none" w:pos="655"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$208.1 million increase in cash flows from accounts payable, due to timing of payments for increased merchandise inventories relative to the prior year period;</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 million increase in cash flows from prepaid expenses and other current assets primarily due to an increase of $25 million related to a legal settlement in the fourth quarter of 2024 as well as timing of payments relative to the prior year period;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 million increase in cash flows from accrued expenses and other current liabilities,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 million decrease in cash flows from merchandise inventories, net due to lower sales in the current year period;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 million decrease in cash flows from income taxes payables, due to timing of payments relative to the prior year period</w:t>
      </w:r>
    </w:p>
    <w:p>
      <w:pPr>
        <w:spacing w:after="0" w:line="302"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decreased $20.0 million in 2024 compared to 2023. The decrease in cash used in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is primarily related to:</w:t>
      </w:r>
    </w:p>
    <w:p>
      <w:pPr>
        <w:spacing w:after="0" w:line="186" w:lineRule="exact"/>
        <w:rPr>
          <w:sz w:val="20"/>
          <w:szCs w:val="20"/>
          <w:color w:val="auto"/>
        </w:rPr>
      </w:pPr>
    </w:p>
    <w:p>
      <w:pPr>
        <w:ind w:left="660" w:right="20" w:hanging="328"/>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decrease in capital expenditures, primarily driven by decreased spending related to Corporate, e-commerce, and information technology programs in the year-to-date 2024 compared to the year-to-date 2023;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 million increase in cash inflows from proceeds from a sale-leaseback transaction related to our retail store in Cypress, TX (see Note 11).</w:t>
      </w: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$82.1 million in 2024, compared to 2023. The primary drivers of the increase were:</w:t>
      </w:r>
    </w:p>
    <w:p>
      <w:pPr>
        <w:spacing w:after="0" w:line="256" w:lineRule="exact"/>
        <w:rPr>
          <w:sz w:val="20"/>
          <w:szCs w:val="20"/>
          <w:color w:val="auto"/>
        </w:rPr>
      </w:pPr>
    </w:p>
    <w:p>
      <w:pPr>
        <w:ind w:left="660" w:hanging="328"/>
        <w:spacing w:after="0" w:line="28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$162.1 million increase in cash outflows primarily caused by an increase in repurchases and simultaneous retirement of common stock in the current year;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million decrease in proceeds from the exercise of stock options;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decrease in cash outflows due to the prepayment of $100 million on our Term Loan in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w:t>
      </w:r>
    </w:p>
    <w:p>
      <w:pPr>
        <w:spacing w:after="0" w:line="25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expect our existing cash balances, internally generated cash flows and available borrowings under our ABL Facility will be fulfill anticipated obligations such as capital expenditures, dividends, stock repurchases, working capital needs and scheduled debt maturities for the foreseeable future. As of February 1, 2025, we had $955.5 million of available capacity under our ABL Facility and $288.9 million of cash and cash equivalents.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upon the Company's consolidated financial statements, which have been prepared in accordance with U.S. generally accepted accounting principles (U.S. GAAP). The preparation of these financial statements requires the Company to make estimates, judgments, and assumptions that can have a meaningful effect on the reporting of consolidated financial statements. See Note 2 to the accompanying financial statements for additional information.</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defined as those reflective of significant judgments, estimates and uncertainties, which may result in materially different results under different assumptions and conditions. The Company believes the following are its critical accounting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Merchandise inventories are stated at the lower of weighted average cost and net realizable value. Merchandise inventories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cost of merchandise and capitalized costs related to procurement, warehousing and distribution and are reflected net of shrinkage, vendor allowances and other valuation reserves.</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We record an inventory reserve for the estimated shrinkage between physical inventories on a location by location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perform a full physical inventory count for each store at least once a year, throughout the year, after which our shrinkage accrual rate to sales for each store is updated based on historical results. For vendor allowances based on contractual provisions, we develop accrual rates for receivables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For inventory shrinkage, our reserves may be inaccurate if our historical physical inventory shrinkage rates,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differ significantly from actual rates due to consistent misses to our accrual. However, due to the frequency with which we perform full physical inventory counts, our assumptions are regularly updated, and we constantly analyze the physical inventory results to our accruals and, where necessary, adjust our store accruals to compensate for consistent patterns identified. We have not had a history of significant differences to our reserves for vendor allowances, and the assumptions generally do not have a significant impact on reserves since they are typically short-term and contractual in nature. We book a reserve for inventory permanently marked down below the inventory’s historical cost. Additionally, for slow moving or obsolete inventory, we book reserves based on historical margins received for marked down inventory with similarly slow historical sell-through rates. A 20% decrease in assumed margins would not have a material impact to our financial statements. We believe our long history of operations has given us sufficient data to enable us to accurately predict these reserves.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We review the carrying value of long-lived assets, including property and equipment at our stores, for indicators of impairment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whenever events and circumstances indicate that the carrying value of an asset may not be recoverable.</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We test stores operating over a long enough time span, based on our previous store history for similar locations,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meaningful analysis of future operating results.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The assumptions used to project store impairment loss is based on projected future store income and considers variables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historical and current trends, macroeconomic conditions, store location and local economy and supply chain factors. Additionally, the long-term store income projections also contain a projection of future store specific costs such as store wages and advertising. Actual long-term income results could vary significantly from our projections due to a variety of reasons such as changes in the local retail environment or macroeconomic factors not used in our assumptions. In addition to variables considered in developing projected long-term store income, assumptions are made to develop the assumed discount rate based on company specific factors. There is significant judgment used in determining these assumptions used in the assessment of store impairment and variability in the assumptions could cause us to reach a materially different conclusion on impairment, however, we do not believe the net book value of any individual store assets are material to the Company’s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annual goodwill impairment test provides for the option of first performing a qualitative assessment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as well as guideline transactions. These approaches use key input assumptions such as our projected future operating results, the discount rate, the weighting for each valuation approach and the comparable set of companies and transactions.</w:t>
      </w: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The assumptions used to project long-term company income consider variables such as historical and current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macroeconomic conditions, supply chain factors, projections consistent with the Company’s operating strategy, such as the future development of e-commerce and our assumptions used on future store openings, and other variables expected to impact future sales. Additionally, the long-term company income projections also contain a projection of future company costs such as wages, freight and transportation, and advertising. Actual long-term company income results could vary significantly from our projections due to a variety of reasons such as changes in the retail environment or macroeconomic factors not used in our assumptions. In addition to variables considered in developing projected long-term company income, assumptions are made to develop the discount rate, which is based on an assumed risk-free rate, and an equity risk premium developed from general historical market data and comparable companies. The earnings multiples and control premiums used in the market approach can vary dependent on which companies and guideline transactions are selected in our comparable set. A history of declining trends in our operating results such as comparable sales, gross margin, net income and cash flow from operations could impact these assumptions and serve as indicators of future impairment. There is significant judgment used in determining these assumptions used in the assessment of goodwill impairment and variability in the assumptions could cause us to reach a different conclusion on impairment. In 2024, we performed a quantitative impairment assessment and determined that the fair value of the reporting unit exceeded its carrying amount by a significant margin. The Company has not recorded any impairment charges related to goodwill during fiscal 2024, fiscal 2023, or fiscal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Intangible assets primarily consists of the trade name “Academy Sports + Outdoors” (the “Trade Name”). The Trade Name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cash flows indefinitely and, therefore, is accounted for as an indefinite-lived asset not subject to amortization. The Trade Name is tested for impairment annually or whenever events or circumstances indicate that the carrying amount of the Trade Name may not be recoverable.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9" w:name="page60"/>
    <w:bookmarkEnd w:id="59"/>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annual Trade Name impairment test provides for the option of first performing a qualitative assessment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The assumptions used to project long-term company sales consider variables such as historical and current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macroeconomic conditions, supply chain factors, projections consistent with the Company’s operating strategy, such as the future development of e-commerce and our assumptions used on future store openings, and other variables expected to impact future sales. Actual long-term income results could vary significantly from our projections due to a variety of reasons such as changes in the retail environment or macroeconomic factors not used in our assumptions. In addition to variables considered in developing projected long-term sales, assumptions are made to develop the royalty rates and discount rates. The royalty rates are based on market data where royalty rates are applicable and the discount rates are based on an assumed risk-free rate, and an equity risk premium based on general historical market data and comparable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on intangible asset impairment and variability in the assumptions could cause us to reach a different conclusion on impairment. In 2024, we performed a quantitative impairment assessment and determined that the fair value of Trade Name exceeded its carrying amount by a significant margin. The Company has not recorded any impairment charges related to intangible assets during fiscal 2024, fiscal 2023, or fiscal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discussion of recent accounting pronouncements, see Note 2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Term Loan and ABL Facility, as these borrowings have variable interest rates. When appropriate, we also enter into fixed interest rate debt, such as the Notes, to limit the floating interest rate exposure on our long term debt or historically we have used derivative financial instruments to mitigate the risk from such exposure. As of February 1, 2025, we do not have any derivative financial instruments outstanding. The detrimental effect of a hypothetical 100 basis point increase in interest rates on current borrowings under the Term Loan and ABL Facility would increase our interest expense by approximately $0.9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Results and Seasonality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August/September back-to-school selling season during the third quarter and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financial statements required to be filed hereunder are set forth on pages 67 through 101 of this Annual Report on Form 10-K.</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accounting principles generally accepted in the United States of America. The Company's internal control over financial reporting includes:</w:t>
      </w:r>
    </w:p>
    <w:p>
      <w:pPr>
        <w:spacing w:after="0" w:line="7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records that in reasonable detail accurately and fairly reflect our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assurance that transactions are recorded as necessary for preparation of our financial statements;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assurance that receipts and expenditures of Company assets are made in accordance with management authorization;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assurance that unauthorized acquisition, use or disposition of Company assets that could have a material effect on our financial statements would be prevented or detected on a timely basis.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risk that controls may become inadequate because of change in conditions, or that the degree of compliance with the policies or procedures may deteriorate.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conducted an evaluation of the effectiveness of our internal control over financial reporting based on the framework and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concluded that the Company’s internal control over financial reporting was effective as of the end of the period covered by this Annual Report.</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the Company’s internal control over financial reporting which is set forth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above, 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Academy Sports and Outdoors, Inc. and subsidiaries (the “Company”)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February 1, 2025, of the Company and our report dated March 20,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56"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During the quarter ended February 1, 2025, no director or officer (as defined by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32" w:right="6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concerning our executive officers is set forth under the heading “Information about our Executive Officers” in Part I of this report. Further information required by this item will be included in our definitive proxy statement for the 2025 Annual Meeting of Stockholders and is incorporated herein by reference.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or the Company, that we believe is reasonably designed to promote compliance with insider trading laws, rules and regulations, and the exchange listing standards applicable to us. A copy of our insider trading policy is filed as Exhibit 19.1 to this Annual Report on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The following table gives information about the Company's common stock that may be issued upon the exercise of options, warrants and rights under all of the Company's equity compensation plans as of February 1, 2025. The table includes the 2011 Unit Incentive Plan, the 2020 Omnibus Incentive Plan and the 2020 Employee Stock Purchase Plan.</w:t>
      </w: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80" w:type="dxa"/>
            <w:vAlign w:val="bottom"/>
          </w:tcPr>
          <w:p>
            <w:pPr>
              <w:spacing w:after="0"/>
              <w:rPr>
                <w:sz w:val="16"/>
                <w:szCs w:val="16"/>
                <w:color w:val="auto"/>
              </w:rPr>
            </w:pPr>
          </w:p>
        </w:tc>
        <w:tc>
          <w:tcPr>
            <w:tcW w:w="1640" w:type="dxa"/>
            <w:vAlign w:val="bottom"/>
          </w:tcPr>
          <w:p>
            <w:pPr>
              <w:jc w:val="center"/>
              <w:ind w:right="50"/>
              <w:spacing w:after="0" w:line="186"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32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180" w:type="dxa"/>
            <w:vAlign w:val="bottom"/>
          </w:tcPr>
          <w:p>
            <w:pPr>
              <w:spacing w:after="0"/>
              <w:rPr>
                <w:sz w:val="16"/>
                <w:szCs w:val="16"/>
                <w:color w:val="auto"/>
              </w:rPr>
            </w:pPr>
          </w:p>
        </w:tc>
        <w:tc>
          <w:tcPr>
            <w:tcW w:w="16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24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324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8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324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rPr>
              <w:t>equity compensation plans (excluding</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32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securities reflected in column (a))</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Service-Based Stock Options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3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120,239</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Service-Based Restricted Stock Units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676,509</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384,162</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 Employee Stock Purchase Plan</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3,543,018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32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8"/>
        <w:spacing w:after="0" w:line="268" w:lineRule="auto"/>
        <w:tabs>
          <w:tab w:leader="none" w:pos="21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plans listed above, only 2020 Omnibus Incentive Plan and the 2020 Employee Stock Purchase Plan allow for future grants of securities. The maximum number of shares that may be granted under the 2020 Omnibus Incentive Plan (inclusive of unissued shares that were carried over from the 2011 Unit Incentive Plan) is approximately 5,205,413. Stock options and restricted stock units are counted on a one-for-one basis. Total shares available for future issuance under the 2020 Omnibus Incentive Plan is 4,108,925. The total shares available for issuance under the 2020 Employee Stock Purchase Plan is 1,475,080.</w:t>
      </w:r>
    </w:p>
    <w:p>
      <w:pPr>
        <w:spacing w:after="0" w:line="2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exercise price of outstanding options only.</w:t>
      </w:r>
    </w:p>
    <w:p>
      <w:pPr>
        <w:spacing w:after="0" w:line="2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required by this item will be included in our definitive proxy statement for the 2025 Annual Meeting of Stockholders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54" w:lineRule="exact"/>
        <w:rPr>
          <w:sz w:val="20"/>
          <w:szCs w:val="20"/>
          <w:color w:val="auto"/>
        </w:rPr>
      </w:pPr>
    </w:p>
    <w:p>
      <w:pPr>
        <w:ind w:left="400" w:hanging="374"/>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7" w:lineRule="exact"/>
        <w:rPr>
          <w:rFonts w:ascii="Times New Roman" w:cs="Times New Roman" w:eastAsia="Times New Roman" w:hAnsi="Times New Roman"/>
          <w:sz w:val="18"/>
          <w:szCs w:val="18"/>
          <w:color w:val="auto"/>
        </w:rPr>
      </w:pPr>
    </w:p>
    <w:p>
      <w:pPr>
        <w:ind w:left="940" w:right="220" w:hanging="550"/>
        <w:spacing w:after="0" w:line="234" w:lineRule="auto"/>
        <w:tabs>
          <w:tab w:leader="none" w:pos="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consolidated Financial Statements required to be filed hereunder are listed in the Index to Consolidated Financial Statements on page 68 of this Annual Report on Form 10-K.</w:t>
      </w:r>
    </w:p>
    <w:p>
      <w:pPr>
        <w:spacing w:after="0" w:line="226" w:lineRule="exact"/>
        <w:rPr>
          <w:rFonts w:ascii="Times New Roman" w:cs="Times New Roman" w:eastAsia="Times New Roman" w:hAnsi="Times New Roman"/>
          <w:sz w:val="18"/>
          <w:szCs w:val="18"/>
          <w:color w:val="auto"/>
        </w:rPr>
      </w:pPr>
    </w:p>
    <w:p>
      <w:pPr>
        <w:jc w:val="both"/>
        <w:ind w:left="940" w:hanging="550"/>
        <w:spacing w:after="0"/>
        <w:tabs>
          <w:tab w:leader="none" w:pos="940" w:val="left"/>
        </w:tabs>
        <w:numPr>
          <w:ilvl w:val="1"/>
          <w:numId w:val="4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Financial Statement Schedule. The consolidated financial statements schedule to be filed hereunder is included on page 108 of this Annual Report on Form 10-K. Other schedules have not been included because they are not applicable or because the information is included elsewhere in this report.</w:t>
      </w:r>
    </w:p>
    <w:p>
      <w:pPr>
        <w:spacing w:after="0" w:line="102" w:lineRule="exact"/>
        <w:rPr>
          <w:rFonts w:ascii="Times New Roman" w:cs="Times New Roman" w:eastAsia="Times New Roman" w:hAnsi="Times New Roman"/>
          <w:sz w:val="34"/>
          <w:szCs w:val="34"/>
          <w:color w:val="auto"/>
          <w:vertAlign w:val="superscript"/>
        </w:rPr>
      </w:pPr>
    </w:p>
    <w:p>
      <w:pPr>
        <w:ind w:left="940" w:right="140" w:hanging="550"/>
        <w:spacing w:after="0" w:line="231" w:lineRule="auto"/>
        <w:tabs>
          <w:tab w:leader="none" w:pos="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Index to Exhibits, which appears on pages 102 to 106 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3"/>
        </w:trPr>
        <w:tc>
          <w:tcPr>
            <w:tcW w:w="97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tc>
        <w:tc>
          <w:tcPr>
            <w:tcW w:w="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69</w:t>
            </w:r>
          </w:p>
        </w:tc>
        <w:tc>
          <w:tcPr>
            <w:tcW w:w="660" w:type="dxa"/>
            <w:vAlign w:val="bottom"/>
            <w:tcBorders>
              <w:bottom w:val="single" w:sz="8" w:color="CCEEFF"/>
            </w:tcBorders>
            <w:shd w:val="clear" w:color="auto" w:fill="CCEEFF"/>
          </w:tcPr>
          <w:p>
            <w:pPr>
              <w:spacing w:after="0"/>
              <w:rPr>
                <w:sz w:val="17"/>
                <w:szCs w:val="17"/>
                <w:color w:val="auto"/>
              </w:rPr>
            </w:pPr>
          </w:p>
        </w:tc>
      </w:tr>
      <w:tr>
        <w:trPr>
          <w:trHeight w:val="189"/>
        </w:trPr>
        <w:tc>
          <w:tcPr>
            <w:tcW w:w="9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February 1, 2025 and February 3, 2024</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660" w:type="dxa"/>
            <w:vAlign w:val="bottom"/>
          </w:tcPr>
          <w:p>
            <w:pPr>
              <w:spacing w:after="0"/>
              <w:rPr>
                <w:sz w:val="16"/>
                <w:szCs w:val="16"/>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Income for the fiscal years ended February 1, 2025, February 3, 2024 and January 28, 2023</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66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February 1, 2025, February 3, 2024 and January 28, 2023</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660" w:type="dxa"/>
            <w:vAlign w:val="bottom"/>
          </w:tcPr>
          <w:p>
            <w:pPr>
              <w:spacing w:after="0"/>
              <w:rPr>
                <w:sz w:val="16"/>
                <w:szCs w:val="16"/>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February 1, 2025, February 3, 2024 and January 28, 2023</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66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4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6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Academy Sports and Outdoors, Inc. and subsidiaries (the "Company") as of February 1, 2025 and February 3, 2024, the related consolidated statements of income, stockholders' equity, and cash flows, for each of the three years in the period ended February 1, 2025, and the related notes and schedule listed in the Index at Item 15 (collectively referred to as the “financial statements”). In our opinion, the financial statements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20,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Contingency - Refer to Note 12 to the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described in Note 12 of the financial statements, in January 2025, the Company settled a legal matter pertaining to a third-party vendor where the Company is the plaintiff. In connection with this settlement, the Company recognized a net gain of approximately $15.0 million in Other (income), net on the consolidated statements of income, when the gain became realizable. Auditing management's accounting for, and disclosure of a contingency is complex and highly judgmental as it involved our assessment of the significant judgments made by management when determining whether an estimate of the amount of contingency could be made, and assessing whether a gain contingency was realized or realizable.</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judgment included the following, among others:</w:t>
      </w:r>
    </w:p>
    <w:p>
      <w:pPr>
        <w:spacing w:after="0" w:line="63" w:lineRule="exact"/>
        <w:rPr>
          <w:sz w:val="20"/>
          <w:szCs w:val="20"/>
          <w:color w:val="auto"/>
        </w:rPr>
      </w:pPr>
    </w:p>
    <w:p>
      <w:pPr>
        <w:ind w:left="660" w:right="7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management’s identification, monitoring and evaluation of contingencies.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documents provided to the Company by outside legal counsel, read letters received directly by us from internal and outside legal counsel, and evaluated the current status of the contingency based on discussions with internal and outside legal counsel.</w:t>
      </w:r>
    </w:p>
    <w:p>
      <w:pPr>
        <w:spacing w:after="0" w:line="5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minutes of the meetings of the Board of Directors and committees of the Board of Directors to search for any contradictory evidence, which may indicate that the accounting and disclosures for the contingency might not be appropriate.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of management, including the Company’s internal legal counsel and Chief legal officer, regarding the status of the contingency and whether any settlement discussions had been held.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amount of gain contingency realizable as of year end, including vouching the amount received and consideration of any contrary evidence for events subsequent to year end.</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experience in accounting for contingencies, we evaluated the reasonableness of the judgments and accounting guidance used by the Company to record the gain contingency that was realizable as of year end.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347,920</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$2,752 and $2,217, respectively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1,194,159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1,644,900</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1,173,075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1,111,237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578,236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0" w:type="dxa"/>
            <w:vAlign w:val="bottom"/>
          </w:tcPr>
          <w:p>
            <w:pPr>
              <w:spacing w:after="0"/>
              <w:rPr>
                <w:sz w:val="1"/>
                <w:szCs w:val="1"/>
                <w:color w:val="auto"/>
              </w:rPr>
            </w:pPr>
          </w:p>
        </w:tc>
      </w:tr>
      <w:tr>
        <w:trPr>
          <w:trHeight w:val="22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4,900,963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4,676,713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612,424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541,077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217,932</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960,881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879,858</w:t>
            </w:r>
          </w:p>
        </w:tc>
        <w:tc>
          <w:tcPr>
            <w:tcW w:w="0" w:type="dxa"/>
            <w:vAlign w:val="bottom"/>
          </w:tcPr>
          <w:p>
            <w:pPr>
              <w:spacing w:after="0"/>
              <w:rPr>
                <w:sz w:val="1"/>
                <w:szCs w:val="1"/>
                <w:color w:val="auto"/>
              </w:rPr>
            </w:pPr>
          </w:p>
        </w:tc>
      </w:tr>
      <w:tr>
        <w:trPr>
          <w:trHeight w:val="148"/>
        </w:trPr>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482,679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484,551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1,185,741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1,091,294</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256,815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2,896,928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2,722,063</w:t>
            </w:r>
          </w:p>
        </w:tc>
        <w:tc>
          <w:tcPr>
            <w:tcW w:w="0" w:type="dxa"/>
            <w:vAlign w:val="bottom"/>
          </w:tcPr>
          <w:p>
            <w:pPr>
              <w:spacing w:after="0"/>
              <w:rPr>
                <w:sz w:val="1"/>
                <w:szCs w:val="1"/>
                <w:color w:val="auto"/>
              </w:rPr>
            </w:pPr>
          </w:p>
        </w:tc>
      </w:tr>
      <w:tr>
        <w:trPr>
          <w:trHeight w:val="129"/>
        </w:trPr>
        <w:tc>
          <w:tcPr>
            <w:tcW w:w="7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authorized 50,000,000 shares; none issued and outstanding</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$0.01 par value, authorized 300,000,000 shares; 68,332,961 and 74,349,927 issued</w:t>
            </w:r>
          </w:p>
        </w:tc>
        <w:tc>
          <w:tcPr>
            <w:tcW w:w="1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as of February 1, 2025 and February 3, 2024, respectively</w:t>
            </w:r>
          </w:p>
        </w:tc>
        <w:tc>
          <w:tcPr>
            <w:tcW w:w="1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1,756,258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1,711,809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2,004,035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1,954,650</w:t>
            </w:r>
          </w:p>
        </w:tc>
        <w:tc>
          <w:tcPr>
            <w:tcW w:w="0" w:type="dxa"/>
            <w:vAlign w:val="bottom"/>
          </w:tcPr>
          <w:p>
            <w:pPr>
              <w:spacing w:after="0"/>
              <w:rPr>
                <w:sz w:val="1"/>
                <w:szCs w:val="1"/>
                <w:color w:val="auto"/>
              </w:rPr>
            </w:pPr>
          </w:p>
        </w:tc>
      </w:tr>
      <w:tr>
        <w:trPr>
          <w:trHeight w:val="223"/>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4,900,963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4,676,713</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5,933,450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6,159,291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6,395,073</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3,921,990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4,182,571</w:t>
            </w: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2,011,460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2,212,502</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1,472,821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1,365,953</w:t>
            </w: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538,639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846,549</w:t>
            </w:r>
          </w:p>
        </w:tc>
      </w:tr>
      <w:tr>
        <w:trPr>
          <w:trHeight w:val="256"/>
        </w:trPr>
        <w:tc>
          <w:tcPr>
            <w:tcW w:w="5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(20,175)</w:t>
            </w: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818,320</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190,319</w:t>
            </w: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418,447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81,590</w:t>
            </w: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83,895</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ACADEMY SPORTS AND OUTDOORS,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7"/>
                <w:szCs w:val="17"/>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6"/>
                <w:szCs w:val="16"/>
                <w:color w:val="auto"/>
              </w:rPr>
            </w:pPr>
          </w:p>
        </w:tc>
        <w:tc>
          <w:tcPr>
            <w:tcW w:w="104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29, 2022</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198,016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1,268,060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purchase plan</w:t>
            </w: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216,209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1,411,330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plan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1,711,809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418,447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(342,535)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Settlement of vested Restricted Stock Units, net of</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withheld</w:t>
            </w:r>
          </w:p>
        </w:tc>
        <w:tc>
          <w:tcPr>
            <w:tcW w:w="12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plan</w:t>
            </w:r>
          </w:p>
        </w:tc>
        <w:tc>
          <w:tcPr>
            <w:tcW w:w="12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1, 2025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1,756,258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2,004,035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60" w:type="dxa"/>
            <w:vAlign w:val="bottom"/>
            <w:gridSpan w:val="9"/>
          </w:tcPr>
          <w:p>
            <w:pPr>
              <w:ind w:left="8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9A9A9A"/>
            </w:tcBorders>
          </w:tcPr>
          <w:p>
            <w:pPr>
              <w:spacing w:after="0"/>
              <w:rPr>
                <w:sz w:val="17"/>
                <w:szCs w:val="17"/>
                <w:color w:val="auto"/>
              </w:rPr>
            </w:pPr>
          </w:p>
        </w:tc>
        <w:tc>
          <w:tcPr>
            <w:tcW w:w="39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80" w:type="dxa"/>
            <w:vAlign w:val="bottom"/>
          </w:tcPr>
          <w:p>
            <w:pPr>
              <w:spacing w:after="0"/>
              <w:rPr>
                <w:sz w:val="16"/>
                <w:szCs w:val="16"/>
                <w:color w:val="auto"/>
              </w:rPr>
            </w:pPr>
          </w:p>
        </w:tc>
        <w:tc>
          <w:tcPr>
            <w:tcW w:w="14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18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418,447</w:t>
            </w:r>
          </w:p>
        </w:tc>
        <w:tc>
          <w:tcPr>
            <w:tcW w:w="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519,190</w:t>
            </w: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628,001</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6"/>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118,070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110,936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106,762</w:t>
            </w:r>
          </w:p>
        </w:tc>
      </w:tr>
      <w:tr>
        <w:trPr>
          <w:trHeight w:val="209"/>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compensation</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21,175</w:t>
            </w:r>
          </w:p>
        </w:tc>
      </w:tr>
      <w:tr>
        <w:trPr>
          <w:trHeight w:val="209"/>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r>
      <w:tr>
        <w:trPr>
          <w:trHeight w:val="196"/>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41,831</w:t>
            </w:r>
          </w:p>
        </w:tc>
      </w:tr>
      <w:tr>
        <w:trPr>
          <w:trHeight w:val="209"/>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loss on early retirement of debt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r>
      <w:tr>
        <w:trPr>
          <w:trHeight w:val="196"/>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Write-off of Deferred Loan Costs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w:t>
            </w:r>
          </w:p>
        </w:tc>
      </w:tr>
      <w:tr>
        <w:trPr>
          <w:trHeight w:val="196"/>
        </w:trPr>
        <w:tc>
          <w:tcPr>
            <w:tcW w:w="60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Merchandise inventories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(114,681)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(111,709)</w:t>
            </w:r>
          </w:p>
        </w:tc>
      </w:tr>
      <w:tr>
        <w:trPr>
          <w:trHeight w:val="20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(11,287)</w:t>
            </w:r>
          </w:p>
        </w:tc>
      </w:tr>
      <w:tr>
        <w:trPr>
          <w:trHeight w:val="196"/>
        </w:trPr>
        <w:tc>
          <w:tcPr>
            <w:tcW w:w="60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(14,088)</w:t>
            </w:r>
          </w:p>
        </w:tc>
      </w:tr>
      <w:tr>
        <w:trPr>
          <w:trHeight w:val="20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(55,400)</w:t>
            </w:r>
          </w:p>
        </w:tc>
      </w:tr>
      <w:tr>
        <w:trPr>
          <w:trHeight w:val="196"/>
        </w:trPr>
        <w:tc>
          <w:tcPr>
            <w:tcW w:w="60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(58,395)</w:t>
            </w:r>
          </w:p>
        </w:tc>
      </w:tr>
      <w:tr>
        <w:trPr>
          <w:trHeight w:val="20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w:t>
            </w:r>
          </w:p>
        </w:tc>
      </w:tr>
      <w:tr>
        <w:trPr>
          <w:trHeight w:val="196"/>
        </w:trPr>
        <w:tc>
          <w:tcPr>
            <w:tcW w:w="6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96"/>
        </w:trPr>
        <w:tc>
          <w:tcPr>
            <w:tcW w:w="6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528,082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535,779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552,005</w:t>
            </w:r>
          </w:p>
        </w:tc>
      </w:tr>
      <w:tr>
        <w:trPr>
          <w:trHeight w:val="81"/>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(199,589)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(108,304)</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6"/>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2,151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(186,120)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(108,806)</w:t>
            </w:r>
          </w:p>
        </w:tc>
      </w:tr>
      <w:tr>
        <w:trPr>
          <w:trHeight w:val="81"/>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Reduction in Revolving Credit Facilities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Term Loan</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(103,000)</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issuance fees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21,249</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program</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w:t>
            </w: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 of common stock for retirement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(489,475)</w:t>
            </w:r>
          </w:p>
        </w:tc>
      </w:tr>
      <w:tr>
        <w:trPr>
          <w:trHeight w:val="196"/>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Dividends paid</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(31,463)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(27,218)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(24,633)</w:t>
            </w:r>
          </w:p>
        </w:tc>
      </w:tr>
      <w:tr>
        <w:trPr>
          <w:trHeight w:val="196"/>
        </w:trPr>
        <w:tc>
          <w:tcPr>
            <w:tcW w:w="6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(400,953)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(318,865)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(592,052)</w:t>
            </w:r>
          </w:p>
        </w:tc>
      </w:tr>
      <w:tr>
        <w:trPr>
          <w:trHeight w:val="81"/>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(148,853)</w:t>
            </w:r>
          </w:p>
        </w:tc>
      </w:tr>
      <w:tr>
        <w:trPr>
          <w:trHeight w:val="19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347,920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337,145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485,998</w:t>
            </w:r>
          </w:p>
        </w:tc>
      </w:tr>
      <w:tr>
        <w:trPr>
          <w:trHeight w:val="22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288,929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347,920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34,897</w:t>
            </w:r>
          </w:p>
        </w:tc>
        <w:tc>
          <w:tcPr>
            <w:tcW w:w="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45,446</w:t>
            </w: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43,250</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132,126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168,180</w:t>
            </w:r>
          </w:p>
        </w:tc>
      </w:tr>
      <w:tr>
        <w:trPr>
          <w:trHeight w:val="95"/>
        </w:trPr>
        <w:tc>
          <w:tcPr>
            <w:tcW w:w="6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capital expenditures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12,273</w:t>
            </w:r>
          </w:p>
        </w:tc>
        <w:tc>
          <w:tcPr>
            <w:tcW w:w="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6,687</w:t>
            </w: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w:t>
            </w: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134,181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116,652</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w:t>
      </w:r>
    </w:p>
    <w:p>
      <w:pPr>
        <w:spacing w:after="0" w:line="129" w:lineRule="exact"/>
        <w:rPr>
          <w:sz w:val="20"/>
          <w:szCs w:val="20"/>
          <w:color w:val="auto"/>
        </w:rPr>
      </w:pPr>
    </w:p>
    <w:p>
      <w:pPr>
        <w:jc w:val="both"/>
        <w:ind w:left="340"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February 1, 2025, we operated 298 “Academy Sports + Outdoors” retail locations in 19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2024 relate to the 52-week fiscal year ended February 1, 2025, and references herein to 2023 and 2022 relate to the 53-week fiscal year ended February 3, 2024 and the 52-week fiscal year ended January 28, 2023, respectively.</w:t>
      </w:r>
    </w:p>
    <w:p>
      <w:pPr>
        <w:spacing w:after="0" w:line="199"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56"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and debt. The carrying amounts of cash and cash equivalents, accounts receivable, accounts payable and accrued liabilities approximate their fair values due to the short-term nature of those instruments. The fair value of debt is influenced by fluctuations in market conditions for interest rates (see Note 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believe that the financial risks associated with these financial instruments are minimal.</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1,500 vendors. In each of the years 2024, 2023 and 2022, purchases from our largest vendor represented approximately 11% of our total inventory purchases. No other vendor in any of the aforementioned years exceeded 11% of our purchases. We typically do not enter into long-term inventory purchase commitments, and we did not have any such commitments as of February 1, 2025 or February 3, 2024.</w:t>
      </w:r>
    </w:p>
    <w:p>
      <w:pPr>
        <w:spacing w:after="0" w:line="20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war or other disruptions affecting the business or operations of third-party manufacturers located outside of the United States.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geographic concentration in the southern United States subjects us to certain regional risks, such as the state of regional economies, including downturns in the housing market, increased unemployment and gas prices. Other regional risks include legislation, politics, cultural views, severe weather conditions or man-made disasters (such as an oil spill closing large areas of hunting or fishing), fires, heat waves, freezes, hurricanes, tornadoes, large storms and floods and other natural disasters specific to the states in which the Company operates.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Merchandise inventories are stated at the lower of weighted average cost and net realizable value. Merchandise inventories include the direct cost of merchandise and capitalized costs related to procurement, warehousing and distribution and are reflected net of shrinkage, vendor allowances and other valuation reserves. We record an inventory reserve for the estimated shrinkage between physical inventories on a by location basis. We generally perform a full physical inventory count for each store at least once a year, throughout the year, after which our shrinkage accrual rate for each store is updated based on historical results. For vendor allowances based on contractual provisions, we develop accrual rates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The following table shows our liability associated with these arrangements, which is presented within accounts payable on the Consolidated Balance Sheets, and the related activity for the periods presented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20" w:type="dxa"/>
            <w:vAlign w:val="bottom"/>
          </w:tcPr>
          <w:p>
            <w:pPr>
              <w:spacing w:after="0"/>
              <w:rPr>
                <w:sz w:val="20"/>
                <w:szCs w:val="20"/>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Invoices outstanding at the beginning of the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Invoices added</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44,673</w:t>
            </w:r>
          </w:p>
        </w:tc>
      </w:tr>
      <w:tr>
        <w:trPr>
          <w:trHeight w:val="22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Invoices paid</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outstanding at the end of the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ectPr>
          <w:pgSz w:w="11900" w:h="16838" w:orient="portrait"/>
          <w:cols w:equalWidth="0" w:num="1">
            <w:col w:w="10900"/>
          </w:cols>
          <w:pgMar w:left="660" w:top="1130" w:right="339" w:bottom="1440" w:gutter="0" w:footer="0" w:header="0"/>
        </w:sect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asset useful life or lease term</w:t>
      </w:r>
    </w:p>
    <w:p>
      <w:pPr>
        <w:spacing w:after="0" w:line="75"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Software and 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years</w:t>
      </w:r>
    </w:p>
    <w:p>
      <w:pPr>
        <w:spacing w:after="0" w:line="75" w:lineRule="exact"/>
        <w:rPr>
          <w:sz w:val="20"/>
          <w:szCs w:val="20"/>
          <w:color w:val="auto"/>
        </w:rPr>
      </w:pPr>
    </w:p>
    <w:p>
      <w:pPr>
        <w:sectPr>
          <w:pgSz w:w="11900" w:h="16838" w:orient="portrait"/>
          <w:cols w:equalWidth="0" w:num="2">
            <w:col w:w="2820" w:space="60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Other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5–10 years</w:t>
      </w:r>
    </w:p>
    <w:p>
      <w:pPr>
        <w:spacing w:after="0" w:line="75"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7–10 years</w:t>
      </w:r>
    </w:p>
    <w:p>
      <w:pPr>
        <w:spacing w:after="0" w:line="75"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40 years</w:t>
      </w:r>
    </w:p>
    <w:p>
      <w:pPr>
        <w:spacing w:after="0" w:line="200"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spacing w:after="0" w:line="1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$29.0 million, $33.3 million and $33.3 million in 2024, 2023 and 2022, respectively.</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Implementation costs for cloud-based information systems are capitalized in other non-current assets. Amortization of cloud-based software implementation costs is recognized in selling, general and administrative expenses and cost of goods sold, which is amortized over the longer of the contract term or expected benefit. The amounts capitalized were $20.6 million, $23.5 million and $12.3 million in 2024, 2023 and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$1.7 million, $2.1 million and $0.6 million in 2024, 2023 and 2022, respectively. Interest expense, net on the consolidated statement of income is shown net of capitalized interest.</w:t>
      </w: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0"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store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 As a result of our assessment, we did not record an impairment of long-lived assets in 2024, 2023 and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The market value approach is based on earnings multiples for a comparable set of public companies as well as guideline transactions.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did not record an impairment of goodwill for 2024, 2023 or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consists of the trade name “Academy Sports + Outdoors” (the “Trade Name”). The Trade Name is expected to generate cash flows indefinitely and, therefore, is accounted for as an indefinite-lived asset not subject to amortization.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Trade Name is tested for impairment annually or whenever events or circumstances indicate that the carrying amount of the Trade Name may not be recoverable. The annual Trade Name impairment test provides for the option of first performing a qualitative assessment to evaluate 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did not record an impairment of intangible assets for 2024, 2023 or 2022.</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256" w:lineRule="exact"/>
        <w:rPr>
          <w:sz w:val="20"/>
          <w:szCs w:val="20"/>
          <w:color w:val="auto"/>
        </w:rPr>
      </w:pPr>
    </w:p>
    <w:p>
      <w:pPr>
        <w:jc w:val="both"/>
        <w:ind w:firstLine="381"/>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our term loan and senior notes are recorded in long-term debt, net of current maturities and amortized as a component of interest expense over the terms of the related debt agreement using the effective interest method. The costs related to the issuance of our revolving credit facility is recorded in other noncurrent assets on the Consolidated Balance Sheets and amortized as a component of interest expense over the terms of the related debt agreements using the straight-line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self-insured retentions for workers' compensation, general liability and employee health benefits. The Company has a wholly owned captive insurance subsidiary (the “Captive”) with the primary purpose to enhance the Company's risk financing strategies by providing the Company the opportunity to negotiate insurance premiums in the non-retail insurance market. The Captive must maintain a sufficient level of liquidity to fund future reserve payments and secure the insurer's obligations for workers compensation, Texas non-subscriber, general liability, directors and officers liability, employment practices liability, and medical stop-loss programs.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account for our leases in accordance with Accounting Standards Codification (“ASC”) 842 which requires that lessees recognize assets and liabilities arising from operating leases on the balance sheet and disclose key information about leasing arrangements.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Nearly all of our store locations and all of our corporate office facilities, and warehouse and distribution centers are leased. We may receive reimbursement from a landlord for some or all of the cost of a construction project, which may be structured as a tenant improvement allowance or a construction allowance. Cash received from a landlord for tenant improvement allowances in store lease transactions is a reduction to the right-of-use assets on the balance sheet, which is amortized ratably over the remaining terms of the corresponding leases. Cash received for construction allowances is a reimbursement of certain spend incurred in the construction of the premises on behalf of the landlord, where the landlord owns the assets. In 2024, we entered into a sale-leaseback transaction which qualified for sale accounting under ASC 606. Further, per ASC 842, a gain was recognized up to the fair value of the asset (see Note 11).</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each lease and non-lease components for our building leases as a single lease component which allows certain costs such as common area maintenance associated with these leases to be included as rent expense. We exclude leases with contract terms of 12 months or less from ASC 842 accounting treatment, which results in straight-line recognition of the cost over the lease term with no associated balance sheet lease liability or right-of-use asset.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may contain a material future right.</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w:t>
      </w:r>
    </w:p>
    <w:p>
      <w:pPr>
        <w:spacing w:after="0" w:line="2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79" w:name="page80"/>
    <w:bookmarkEnd w:id="79"/>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6"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These costs consist primarily of payroll and benefits, occupancy costs, depreciation and freight.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5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256"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such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depreciation, advertising, credit card processing, information technology, pre-opening costs and other store and administrative expenses.</w:t>
      </w:r>
    </w:p>
    <w:p>
      <w:pPr>
        <w:spacing w:after="0" w:line="203"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closed on a sale-leaseback agreement involving a store property in Cypress, Texas. We determined that the sale-leaseback transaction qualifies as a sale in accordance with ASC 842 (See Note 11). In connection with the sale-leaseback transaction, we recognized a net gain of approximately $7.1 million in Selling, General, and Administrative expenses on the Consolidated Statements of Income.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5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$155.7 million, $153.7 million and $144.5 million in 2024, 2023 and 2022,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75" w:lineRule="exact"/>
        <w:rPr>
          <w:sz w:val="20"/>
          <w:szCs w:val="20"/>
          <w:color w:val="auto"/>
        </w:rPr>
      </w:pPr>
    </w:p>
    <w:p>
      <w:pPr>
        <w:jc w:val="both"/>
        <w:ind w:left="340" w:firstLine="324"/>
        <w:spacing w:after="0" w:line="264"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prior to sales generation or start of operations, which consist primarily of occupancy costs, marketing, payroll and recruiting costs, are expensed as incurred. The following table summarizes our pre-opening expense activity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February 3, 2024</w:t>
            </w:r>
          </w:p>
        </w:tc>
        <w:tc>
          <w:tcPr>
            <w:tcW w:w="1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(in millions)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20"/>
                <w:szCs w:val="20"/>
                <w:color w:val="auto"/>
              </w:rPr>
            </w:pPr>
          </w:p>
        </w:tc>
      </w:tr>
      <w:tr>
        <w:trPr>
          <w:trHeight w:val="616"/>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equity compensation in accordance with ASC 718,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recognize forfeitures as they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On November 29, 2023, the Board of Directors authorized a new share repurchase program (the “2023 Share Repurchase Program”) under which the Company may purchase up to $600 million of its outstanding shares during the three-year period ending November 29, 2026.</w:t>
      </w:r>
    </w:p>
    <w:p>
      <w:pPr>
        <w:spacing w:after="0" w:line="10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Under the 2023 Share Repurchase Program, repurchases can be made using a variety of methods, which may include open market purchases, block trades, privately negotiated transactions, accelerated share repurchase programs and/or Rule 10b5-1 or other non-discretionary trading plans, all in compliance with the rules of the SEC and other applicable legal requirements. The timing, manner, price and amount of any common share repurchases under the 2023 Share Repurchase Program are determined by the Company in its discretion and depend on a variety of factors, including legal requirements, price, economic and market conditions. The 2023 Share Repurchase Program does not obligate the Company to acquire any particular number of common shares, and the program may be suspended, extended, modified or discontinued at any time.</w:t>
      </w:r>
    </w:p>
    <w:p>
      <w:pPr>
        <w:spacing w:after="0" w:line="13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authorized a new share repurchase program under which the Company is authorized to purchase up to $700 million of its outstanding shares during the three-year period ending December 4, 2027 (the “2024 Share Repurchase Program”), and which replaces the 2023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economic and market conditions. The 2024 Share Repurchase Program does not obligate the Company to acquire any particular number of common shares, and the program may be suspended, extended, modified or discontinued at any time.</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5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6,544,337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3,651,231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11,903,636</w:t>
            </w:r>
          </w:p>
        </w:tc>
      </w:tr>
      <w:tr>
        <w:trPr>
          <w:trHeight w:val="29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r>
    </w:tbl>
    <w:p>
      <w:pPr>
        <w:ind w:left="20"/>
        <w:spacing w:after="0"/>
        <w:rPr>
          <w:sz w:val="20"/>
          <w:szCs w:val="20"/>
          <w:color w:val="auto"/>
        </w:rPr>
      </w:pPr>
      <w:r>
        <w:rPr>
          <w:rFonts w:ascii="Times New Roman" w:cs="Times New Roman" w:eastAsia="Times New Roman" w:hAnsi="Times New Roman"/>
          <w:sz w:val="14"/>
          <w:szCs w:val="14"/>
          <w:color w:val="auto"/>
        </w:rPr>
        <w:t>(1) Includes excise tax fees of $3.4 million for the fiscal year ended February 1, 2025.</w:t>
      </w:r>
    </w:p>
    <w:p>
      <w:pPr>
        <w:spacing w:after="0" w:line="273" w:lineRule="exact"/>
        <w:rPr>
          <w:sz w:val="20"/>
          <w:szCs w:val="20"/>
          <w:color w:val="auto"/>
        </w:rPr>
      </w:pPr>
    </w:p>
    <w:p>
      <w:pPr>
        <w:jc w:val="both"/>
        <w:ind w:firstLine="401"/>
        <w:spacing w:after="0" w:line="261" w:lineRule="auto"/>
        <w:rPr>
          <w:sz w:val="20"/>
          <w:szCs w:val="20"/>
          <w:color w:val="auto"/>
        </w:rPr>
      </w:pPr>
      <w:r>
        <w:rPr>
          <w:rFonts w:ascii="Times New Roman" w:cs="Times New Roman" w:eastAsia="Times New Roman" w:hAnsi="Times New Roman"/>
          <w:sz w:val="18"/>
          <w:szCs w:val="18"/>
          <w:color w:val="auto"/>
        </w:rPr>
        <w:t>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February 1, 2025, we had $635.5 million available for share repurchases pursuant to the 2024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w:t>
      </w:r>
    </w:p>
    <w:p>
      <w:pPr>
        <w:spacing w:after="0" w:line="2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realized or settled. The effect of a change in tax rates on deferred tax assets and liabilities is recognized in income in the period that includes the enactment date.</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Within the reconciliation table of the statutory U.S. federal income tax rate to our effective income tax rate presented in Note 10, certain tax effects were allocated among the effect of tax credits and the effect of other permanent items on the effective tax rate during 2023 due to the Company’s purchase of energy credits under the new Inflation Reduction Act related to tax years ending February 3, 2024 and February 1, 2025. As a result, we have reclassified the effect of other permanent items for fiscal year 2023 for comparability purposes (there was no impact to fiscal year 2022). This reclassification is in presentation only and did not impact the balances previously disclosed.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2022, the Company received and recognized approximately $7.2 million in business interruption proceeds due to the suspension of normal operations at some of our Texas store locations, as well as our e-commerce platform, for several days in February of 2021 as a result of a winter storm which had a significant impact on the energy infrastructure in the state of Texas. Additionally, during the fourth quarter of 2022 the Company completed a sale in which we factored rights to pursue a legal matter pertaining to the overpayment of certain tariffs and we received and recognized net proceeds of approximately $3.7 million. The proceeds for both events are included in Other (income), net on the Consolidated Statements of Income.</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settled a legal matter with credit card companies pertaining to the overcharge of credit card interchange fees for prior periods dating back to 2004. In connection with this settlement, we recognized a net gain of approximately $15.9 million in Other (income), net on the Consolidated Statements of Income.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the Company settled a legal matter with a third-party vendor. In connection with this settlement, we recognized a net gain of approximately $15.0 million in Other (income), net on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 components of other comprehensive income (loss), and therefore, comprehensive income equals net income.</w:t>
      </w: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3" w:right="339" w:bottom="1440" w:gutter="0" w:footer="0" w:header="0"/>
        </w:sectPr>
      </w:pPr>
    </w:p>
    <w:bookmarkStart w:id="82" w:name="page83"/>
    <w:bookmarkEnd w:id="82"/>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Accounting Guidance Adopted</w:t>
      </w:r>
    </w:p>
    <w:p>
      <w:pPr>
        <w:spacing w:after="0" w:line="252" w:lineRule="exact"/>
        <w:rPr>
          <w:sz w:val="20"/>
          <w:szCs w:val="20"/>
          <w:color w:val="auto"/>
        </w:rPr>
      </w:pPr>
    </w:p>
    <w:p>
      <w:pPr>
        <w:jc w:val="both"/>
        <w:ind w:left="332"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adopted ASU 2023-07 retrospectively effective February 1, 2025 (see Note 14). The adoption of this standard did not have a material impact on the Company’s consolidated financial statement disclosures.</w:t>
      </w:r>
    </w:p>
    <w:p>
      <w:pPr>
        <w:spacing w:after="0" w:line="19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52" w:lineRule="exact"/>
        <w:rPr>
          <w:sz w:val="20"/>
          <w:szCs w:val="20"/>
          <w:color w:val="auto"/>
        </w:rPr>
      </w:pPr>
    </w:p>
    <w:p>
      <w:pPr>
        <w:jc w:val="both"/>
        <w:ind w:left="332"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is evaluating the impact of adopting ASU 2023-09 on its consolidated financial statements.</w:t>
      </w:r>
    </w:p>
    <w:p>
      <w:pPr>
        <w:spacing w:after="0" w:line="209" w:lineRule="exact"/>
        <w:rPr>
          <w:sz w:val="20"/>
          <w:szCs w:val="20"/>
          <w:color w:val="auto"/>
        </w:rPr>
      </w:pPr>
    </w:p>
    <w:p>
      <w:pPr>
        <w:jc w:val="both"/>
        <w:ind w:left="332"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requires disclosures about specific types of expenses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expense 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evaluating the impact of adopting ASU 2024-03 on its consolidated financial statements.</w:t>
      </w:r>
    </w:p>
    <w:p>
      <w:pPr>
        <w:spacing w:after="0" w:line="207" w:lineRule="exact"/>
        <w:rPr>
          <w:sz w:val="20"/>
          <w:szCs w:val="20"/>
          <w:color w:val="auto"/>
        </w:rPr>
      </w:pPr>
    </w:p>
    <w:p>
      <w:pPr>
        <w:ind w:left="332" w:hanging="332"/>
        <w:spacing w:after="0"/>
        <w:tabs>
          <w:tab w:leader="none" w:pos="33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ind w:left="332" w:right="5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Merchandise division sales</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Outdoors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1,739,876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1,819,418</w:t>
            </w: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Sports and recreation</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1,488,187</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1,611,435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1,758,993</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Footwear</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1,187,605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1,291,227</w:t>
            </w:r>
          </w:p>
        </w:tc>
      </w:tr>
      <w:tr>
        <w:trPr>
          <w:trHeight w:val="223"/>
        </w:trPr>
        <w:tc>
          <w:tcPr>
            <w:tcW w:w="496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5,896,727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6,125,876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6,357,825</w:t>
            </w:r>
          </w:p>
        </w:tc>
      </w:tr>
      <w:tr>
        <w:trPr>
          <w:trHeight w:val="230"/>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w:t>
            </w:r>
          </w:p>
        </w:tc>
      </w:tr>
      <w:tr>
        <w:trPr>
          <w:trHeight w:val="22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5,933,450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6,159,291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6,395,073</w:t>
            </w: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32" w:hanging="308"/>
        <w:spacing w:after="0"/>
        <w:tabs>
          <w:tab w:leader="none" w:pos="6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10.5%, 10.7% and 10.7% of merchandise sales for 2024, 2023 and 2022, respectively.</w:t>
      </w:r>
    </w:p>
    <w:p>
      <w:pPr>
        <w:spacing w:after="0" w:line="55" w:lineRule="exact"/>
        <w:rPr>
          <w:rFonts w:ascii="Times New Roman" w:cs="Times New Roman" w:eastAsia="Times New Roman" w:hAnsi="Times New Roman"/>
          <w:sz w:val="14"/>
          <w:szCs w:val="14"/>
          <w:color w:val="auto"/>
        </w:rPr>
      </w:pPr>
    </w:p>
    <w:p>
      <w:pPr>
        <w:ind w:left="652" w:hanging="328"/>
        <w:spacing w:after="0" w:line="302" w:lineRule="auto"/>
        <w:tabs>
          <w:tab w:leader="none" w:pos="64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consists primarily of the gift card breakage income, credit card bounties and royalties, shipping income, net hunting and fishing license income, sales return allowance and other items.</w:t>
      </w:r>
    </w:p>
    <w:p>
      <w:pPr>
        <w:spacing w:after="0" w:line="112" w:lineRule="exact"/>
        <w:rPr>
          <w:sz w:val="20"/>
          <w:szCs w:val="20"/>
          <w:color w:val="auto"/>
        </w:rPr>
      </w:pPr>
    </w:p>
    <w:p>
      <w:pPr>
        <w:jc w:val="both"/>
        <w:ind w:left="332" w:firstLine="324"/>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A liability for gift cards, which is recorded in accrued expenses and other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78"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0"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February 3, 2024</w:t>
            </w:r>
          </w:p>
        </w:tc>
        <w:tc>
          <w:tcPr>
            <w:tcW w:w="16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482,679</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484,551</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262"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of February 1, 2025 and February 3, 2024, the balance in deferred loan costs related to the ABL Facility (as defined below) was approximately $6.1 million and $2.1 million, respectively, and was included in other noncurrent assets on our Consolidated Balance Sheets. Total amortization of deferred loan costs was $2.4 million, $2.4 million and $2.6 million in 2024, 2023 and 2022, respectively. Total expenses related to accretion of original issuance discount were $0.2 million, $0.3 million and $0.4 million in 2024, 2023 and 2022, respectively. The expenses related to amortization of deferred loan costs and accretion of original issuance discount are included in interest expense, net on the Consolidated Statements of Income.</w:t>
      </w:r>
    </w:p>
    <w:p>
      <w:pPr>
        <w:spacing w:after="0" w:line="12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On December 15, 2022 and February 1, 2024, the Company utilized cash on hand to voluntarily prepay $100.0 million of outstanding borrowings of the Term Loan, respectively.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refer to the 2020 Term Loan and then amendments thereto collectively as the “Term Loan”.</w:t>
      </w:r>
    </w:p>
    <w:p>
      <w:pPr>
        <w:spacing w:after="0" w:line="252"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named therein.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In connection with the 2020 Term Loan, the Company capitalized related professional fees of $5.8 million as deferred loan costs.</w:t>
      </w:r>
    </w:p>
    <w:p>
      <w:pPr>
        <w:spacing w:after="0" w:line="133"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On May 25, 2021, Academy, Ltd. entered into Amendment No. 4 (the “2021 Amendment”). Pursuant to the terms of the 2021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In connection with the principal payment in the 2021 Amendment, the Company recognized a non-cash loss on early retirement of debt of $2.2 million in 2021 from the write-off of deferred loan costs related to the original issuance discount associated with our 2020 Term Loan.</w:t>
      </w:r>
    </w:p>
    <w:p>
      <w:pPr>
        <w:spacing w:after="0" w:line="2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4" w:name="page85"/>
    <w:bookmarkEnd w:id="84"/>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December 15, 2022, the Company utilized cash on hand to voluntarily prepay $100.0 million of outstanding borrowings under the Term Loan. In connection with this principal payment, the Company recognized a non-cash loss on early retirement of debt of $2.0 million in 2022 from the write-off of deferred loan costs related to the original issuance discount associated with the Term Loan.</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17, 2023, Academy, Ltd. entered into a Conforming Changes Amendment (the “2023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As of February 1, 2025, the weighted average interest rate was 8.38%, with interest payable monthly. Quarterly principal payments of $750.0 thousand are required through September 30, 2027 and borrowings mature on November 6, 2027. The terms and conditions of the Term Loan also require that the outstanding balance under the Term Loan is prepaid under certain circumstances.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2024, the Company utilized cash on hand to voluntarily prepay $100.0 million of outstanding borrowings under the Term Loan. In connection with this principal payment, the Company recognized a non-cash loss on early retirement of debt of $1.5 million in 2023 from the write-off of deferred loan costs related to the original issuance discount associated with the Term Loan.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customary events of default such as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February 1, 2025, no prepayment was due under the terms and conditions of the Term Loan.</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as a part of the Refinancing Transactions, Academy, Ltd. issued $400.0 million of 6.00% senior secured notes which are due November 15, 2027 (the “Notes”), pursuant to an indenture, dated as of November 6, 2020 (the “Indenture”), with Academy, Ltd. the Guarantors (as defined below) and The Bank of New York Mellon Trust Company, N.A., as trustee and collateral agent (in such capacity, the “Notes Collateral Agent”). The Notes pay interest semi-annually in arrears in cash on May 15 and November 15 of each year at a rate of 6.00% per year, which commenced on May 15, 2021. In connection with issuance of the Notes, the Company capitalized related professional fees of $5.2 million as deferred loan costs.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spacing w:after="0" w:line="2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3" w:right="339" w:bottom="1440" w:gutter="0" w:footer="0" w:header="0"/>
        </w:sectPr>
      </w:pPr>
    </w:p>
    <w:bookmarkStart w:id="85" w:name="page86"/>
    <w:bookmarkEnd w:id="8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refer to the 2020 ABL Facility and the amendments thereto collectively as the “ABL Facility”.</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as a part of the Refinancing Transactions, Academy, Ltd., as borrower, and the Guarantors, as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(the “2020 ABL Facility”), among other things, extended the maturity of Academy, Ltd.’s asset-based revolving credit facility thereunder to November 6, 2025. In connection with the 2020 ABL Facility, the Company capitalized related professional fees of $3.1 million as deferred loan costs.</w:t>
      </w:r>
    </w:p>
    <w:p>
      <w:pPr>
        <w:spacing w:after="0" w:line="120"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in support of insurance contracts and occasionally for the purchase of import goods. As of February 1, 2025, we had outstanding letters of credit of approximately $9.3 million, all of which were issued under the ABL Facility, and we had no borrowings outstanding under the ABL Facility, leaving the available borrowing capacity under the ABL Facility of $955.5 million.</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0.375%. The terms and conditions of the ABL Facility also require that we prepay outstanding loans under the ABL Facility under certain circumstances. As of February 1, 2025, no future prepayments of outstanding loans have been triggered under the terms and conditions of the ABL Facility.</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8, 2024 Academy, Ltd. (“Academy”), a wholly-owned subsidiary of Academy Sports and Outdoors, Inc., as borrower, New Academy Holding Company, LLC, Associated Investors, L.L.C. and Academy Managing Co., L.L.C., each a direct or indirect, wholly-owned subsidiary of the Company,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if (i) more than $100 million of the aggregate principal amount of the 2027 Senior Notes (as defined in the ABL Amendment) or the Term Loans (as defined in the ABL Amendment), or any refinancing thereof, in each case, is outstanding on the date that is 91 days prior to the earliest maturity date of any such indebtedness or (ii) equal to or less than $100 million of the aggregate principal amount of the 2027 Senior Notes or the Term Loans, in either case, is outstanding on the date that is 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2027 Senior Notes and the Term Loans. In connection with the ABL Amendment and the reduction of two lenders who dropped out of the ABL Facility, the Company wrote off $0.4 million of deferred loan costs related to the ABL Facility.</w:t>
      </w:r>
    </w:p>
    <w:p>
      <w:pPr>
        <w:spacing w:after="0" w:line="2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3" w:right="339" w:bottom="1440" w:gutter="0" w:footer="0" w:header="0"/>
        </w:sectPr>
      </w:pPr>
    </w:p>
    <w:bookmarkStart w:id="86" w:name="page87"/>
    <w:bookmarkEnd w:id="8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Liens and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has a first priority lien on all Academy, Ltd.'s cash, accounts receivable, inventory, deposit and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and proceeds therefrom (the “ABL Collateral”). Additionally, the ABL Facility has a second priority lien on all other collateral of the Term Loan. All obligations under the Term Loan and the guarantees of those obligations are secured by:</w:t>
      </w:r>
    </w:p>
    <w:p>
      <w:pPr>
        <w:spacing w:after="0" w:line="121" w:lineRule="exact"/>
        <w:rPr>
          <w:sz w:val="20"/>
          <w:szCs w:val="20"/>
          <w:color w:val="auto"/>
        </w:rPr>
      </w:pPr>
    </w:p>
    <w:p>
      <w:pPr>
        <w:ind w:left="720" w:hanging="323"/>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27" w:lineRule="exact"/>
        <w:rPr>
          <w:rFonts w:ascii="Times New Roman" w:cs="Times New Roman" w:eastAsia="Times New Roman" w:hAnsi="Times New Roman"/>
          <w:sz w:val="18"/>
          <w:szCs w:val="18"/>
          <w:color w:val="auto"/>
        </w:rPr>
      </w:pPr>
    </w:p>
    <w:p>
      <w:pPr>
        <w:ind w:left="720" w:right="20" w:hanging="323"/>
        <w:spacing w:after="0" w:line="250" w:lineRule="auto"/>
        <w:tabs>
          <w:tab w:leader="none" w:pos="7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 the Guarantors; and</w:t>
      </w:r>
    </w:p>
    <w:p>
      <w:pPr>
        <w:ind w:left="720" w:right="20" w:hanging="323"/>
        <w:spacing w:after="0" w:line="260" w:lineRule="auto"/>
        <w:tabs>
          <w:tab w:leader="none" w:pos="7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1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Term Loan is guaranteed by the Guarantors on a senior secured basis. All obligations under the Term Loan and the guarantees of those obligations will be secured by:</w:t>
      </w:r>
    </w:p>
    <w:p>
      <w:pPr>
        <w:spacing w:after="0" w:line="108" w:lineRule="exact"/>
        <w:rPr>
          <w:sz w:val="20"/>
          <w:szCs w:val="20"/>
          <w:color w:val="auto"/>
        </w:rPr>
      </w:pPr>
    </w:p>
    <w:p>
      <w:pPr>
        <w:ind w:left="720" w:hanging="323"/>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Priority Collateral;</w:t>
      </w:r>
    </w:p>
    <w:p>
      <w:pPr>
        <w:spacing w:after="0" w:line="27" w:lineRule="exact"/>
        <w:rPr>
          <w:rFonts w:ascii="Times New Roman" w:cs="Times New Roman" w:eastAsia="Times New Roman" w:hAnsi="Times New Roman"/>
          <w:sz w:val="18"/>
          <w:szCs w:val="18"/>
          <w:color w:val="auto"/>
        </w:rPr>
      </w:pPr>
    </w:p>
    <w:p>
      <w:pPr>
        <w:ind w:left="720" w:hanging="323"/>
        <w:spacing w:after="0" w:line="250" w:lineRule="auto"/>
        <w:tabs>
          <w:tab w:leader="none" w:pos="7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and the Guarantors; and</w:t>
      </w:r>
    </w:p>
    <w:p>
      <w:pPr>
        <w:ind w:left="720" w:hanging="323"/>
        <w:spacing w:after="0" w:line="260" w:lineRule="auto"/>
        <w:tabs>
          <w:tab w:leader="none" w:pos="7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spacing w:after="0" w:line="122" w:lineRule="exact"/>
        <w:rPr>
          <w:sz w:val="20"/>
          <w:szCs w:val="20"/>
          <w:color w:val="auto"/>
        </w:rPr>
      </w:pPr>
    </w:p>
    <w:p>
      <w:pPr>
        <w:ind w:left="720" w:hanging="323"/>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lien on all of Academy, Ltd.’s and the Guarantors’ personal property that secure the Term Loan on a first-priority basis; and</w:t>
      </w:r>
    </w:p>
    <w:p>
      <w:pPr>
        <w:spacing w:after="0" w:line="27" w:lineRule="exact"/>
        <w:rPr>
          <w:rFonts w:ascii="Times New Roman" w:cs="Times New Roman" w:eastAsia="Times New Roman" w:hAnsi="Times New Roman"/>
          <w:sz w:val="18"/>
          <w:szCs w:val="18"/>
          <w:color w:val="auto"/>
        </w:rPr>
      </w:pPr>
    </w:p>
    <w:p>
      <w:pPr>
        <w:jc w:val="both"/>
        <w:ind w:left="720" w:hanging="323"/>
        <w:spacing w:after="0" w:line="255" w:lineRule="auto"/>
        <w:tabs>
          <w:tab w:leader="none" w:pos="7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spacing w:after="0" w:line="20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February 1, 2025.</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February 1, 2025, scheduled principal payments on our debt are as follows (amounts in thousands):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482,750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49" w:right="339" w:bottom="1440" w:gutter="0" w:footer="0" w:header="0"/>
        </w:sectPr>
      </w:pPr>
    </w:p>
    <w:bookmarkStart w:id="87" w:name="page88"/>
    <w:bookmarkEnd w:id="87"/>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234" w:lineRule="exact"/>
        <w:rPr>
          <w:sz w:val="20"/>
          <w:szCs w:val="20"/>
          <w:color w:val="auto"/>
        </w:rPr>
      </w:pPr>
    </w:p>
    <w:p>
      <w:pPr>
        <w:ind w:left="900" w:right="580" w:hanging="244"/>
        <w:spacing w:after="0" w:line="261" w:lineRule="auto"/>
        <w:tabs>
          <w:tab w:leader="none" w:pos="8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jc w:val="both"/>
        <w:ind w:left="900" w:hanging="244"/>
        <w:spacing w:after="0" w:line="250" w:lineRule="auto"/>
        <w:tabs>
          <w:tab w:leader="none" w:pos="8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 w:lineRule="exact"/>
        <w:rPr>
          <w:rFonts w:ascii="Times New Roman" w:cs="Times New Roman" w:eastAsia="Times New Roman" w:hAnsi="Times New Roman"/>
          <w:sz w:val="18"/>
          <w:szCs w:val="18"/>
          <w:color w:val="auto"/>
        </w:rPr>
      </w:pPr>
    </w:p>
    <w:p>
      <w:pPr>
        <w:ind w:left="900" w:hanging="244"/>
        <w:spacing w:after="0" w:line="260" w:lineRule="auto"/>
        <w:tabs>
          <w:tab w:leader="none" w:pos="8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$256.9 million and $303.4 million as of February 1, 2025 and February 3, 2024, respectively.</w:t>
      </w:r>
    </w:p>
    <w:p>
      <w:pPr>
        <w:spacing w:after="0" w:line="12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February 1, 2025 and February 3, 2024, the estimated fair value of the Term Loan and Notes was $0.5 billion and $0.5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22"/>
                <w:szCs w:val="22"/>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340" w:type="dxa"/>
            <w:vAlign w:val="bottom"/>
          </w:tcPr>
          <w:p>
            <w:pPr>
              <w:spacing w:after="0"/>
              <w:rPr>
                <w:sz w:val="19"/>
                <w:szCs w:val="19"/>
                <w:color w:val="auto"/>
              </w:rPr>
            </w:pPr>
          </w:p>
        </w:tc>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663,869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571,785</w:t>
            </w:r>
          </w:p>
        </w:tc>
      </w:tr>
      <w:tr>
        <w:trPr>
          <w:trHeight w:val="230"/>
        </w:trPr>
        <w:tc>
          <w:tcPr>
            <w:tcW w:w="3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733,939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688,143</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398,415</w:t>
            </w:r>
          </w:p>
        </w:tc>
      </w:tr>
      <w:tr>
        <w:trPr>
          <w:trHeight w:val="229"/>
        </w:trPr>
        <w:tc>
          <w:tcPr>
            <w:tcW w:w="3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38,873</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r>
      <w:tr>
        <w:trPr>
          <w:trHeight w:val="223"/>
        </w:trPr>
        <w:tc>
          <w:tcPr>
            <w:tcW w:w="34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1,899,631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1,712,135</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(1,374,495)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(1,266,926)</w:t>
            </w:r>
          </w:p>
        </w:tc>
      </w:tr>
      <w:tr>
        <w:trPr>
          <w:trHeight w:val="223"/>
        </w:trPr>
        <w:tc>
          <w:tcPr>
            <w:tcW w:w="34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525,136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445,209</w:t>
            </w:r>
          </w:p>
        </w:tc>
      </w:tr>
      <w:tr>
        <w:trPr>
          <w:trHeight w:val="20"/>
        </w:trPr>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$118.1 million, $110.9 million and $106.8 million in 2024, 2023 and 2022, respectively.</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8" w:name="page89"/>
    <w:bookmarkEnd w:id="88"/>
    <w:p>
      <w:pPr>
        <w:ind w:left="332" w:hanging="332"/>
        <w:spacing w:after="0"/>
        <w:tabs>
          <w:tab w:leader="none" w:pos="3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96,688</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w:t>
            </w:r>
          </w:p>
        </w:tc>
      </w:tr>
      <w:tr>
        <w:trPr>
          <w:trHeight w:val="248"/>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332" w:hanging="332"/>
        <w:spacing w:after="0"/>
        <w:tabs>
          <w:tab w:leader="none" w:pos="33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ind w:left="332"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February 1, 2025, there were 4,108,925 shares that were authorized and available for grant under the 2020 Omnibus Incentive Plan.</w:t>
      </w:r>
    </w:p>
    <w:p>
      <w:pPr>
        <w:spacing w:after="0" w:line="129"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and as of February 1, 2025, there were 1,475,080 shares authorized and available for future issuance under the ESPP.</w:t>
      </w:r>
    </w:p>
    <w:p>
      <w:pPr>
        <w:spacing w:after="0" w:line="12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provides total stock-based compensation recognized in the Consolidated Statements of Income (amounts in thousands):</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6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40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Equity compensation expense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w:t>
            </w: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related tax benefit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r>
    </w:tbl>
    <w:p>
      <w:pPr>
        <w:ind w:left="492" w:hanging="168"/>
        <w:spacing w:after="0" w:line="236" w:lineRule="auto"/>
        <w:tabs>
          <w:tab w:leader="none" w:pos="492"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These costs are included within selling, general and administrative expenses in the Consolidated Statements of Income.</w:t>
      </w:r>
    </w:p>
    <w:p>
      <w:pPr>
        <w:spacing w:after="0" w:line="235"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As of February 1, 2025, unrecognized compensation cost related to non-vested share-based compensation awards of $33.9 million is expected to be recognized over a weighted average life of two years. The grant date fair value of Restricted Units and Restricted Stock Units vested was $13.9 million, $11.7 million and $3.9 million for 2024, 2023 and 2022, respectively.</w:t>
      </w:r>
    </w:p>
    <w:p>
      <w:pPr>
        <w:spacing w:after="0" w:line="270"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0" w:right="339"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2011 Unit Incentive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Concurrent with the adoption of the 2020 Omnibus Incentive Plan on October 1, 2020, no further Awards are authorized to be granted under the 2011 Unit Incentive Plan.</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Omnibus Incentive Plan consist of Stock Options that vest upon the satisfaction of time-based requirements, each, a “Service Stock Option” (Service Unit Options and Service Stock Options together are “Service Options”).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and/or market-based requirements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 Option Fair Value Assumptions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granted was estimated using a Black-Scholes option-pricing model. The expected lives of the Service Options granted were based on the “SEC simplified” method. Expected price volatility was determined based on our own volatility and the implied volatilities of comparable companies over a historical period that matches the expected life of the Service Options. The risk-free interest rate was based on the expected U.S. Treasury rate over the expected life. In 2022 and 2023, the dividend yield was based on the most recent annualized quarterly dividend and the valuation date closing stock price. The assumptions used to calculate the fair value of Service Options granted are evaluated and modified, as necessary, to reflect current market conditions and experience.</w:t>
      </w:r>
    </w:p>
    <w:p>
      <w:pPr>
        <w:spacing w:after="0" w:line="2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49" w:right="339" w:bottom="1440" w:gutter="0" w:footer="0" w:header="0"/>
        </w:sectPr>
      </w:pPr>
    </w:p>
    <w:bookmarkStart w:id="90" w:name="page91"/>
    <w:bookmarkEnd w:id="90"/>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granted in 2023 and 2022 (the Company did not grant any Service Options in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28, 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6.2</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8"/>
              </w:rPr>
              <w:t>46% to 51%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 to 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43.0%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3.7% to 4.4%</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 to 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Weighted-average grant date fair value - Service Options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$27.60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Option activity is as follows: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Service Options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80" w:type="dxa"/>
            <w:vAlign w:val="bottom"/>
            <w:tcBorders>
              <w:top w:val="single" w:sz="8" w:color="auto"/>
            </w:tcBorders>
          </w:tcPr>
          <w:p>
            <w:pPr>
              <w:spacing w:after="0"/>
              <w:rPr>
                <w:sz w:val="21"/>
                <w:szCs w:val="21"/>
                <w:color w:val="auto"/>
              </w:rPr>
            </w:pPr>
          </w:p>
        </w:tc>
        <w:tc>
          <w:tcPr>
            <w:tcW w:w="2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18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(in</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29, 2022</w:t>
            </w:r>
          </w:p>
        </w:tc>
        <w:tc>
          <w:tcPr>
            <w:tcW w:w="4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3,898,214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0" w:type="dxa"/>
            <w:vAlign w:val="bottom"/>
          </w:tcPr>
          <w:p>
            <w:pPr>
              <w:spacing w:after="0"/>
              <w:rPr>
                <w:sz w:val="1"/>
                <w:szCs w:val="1"/>
                <w:color w:val="auto"/>
              </w:rPr>
            </w:pPr>
          </w:p>
        </w:tc>
      </w:tr>
      <w:tr>
        <w:trPr>
          <w:trHeight w:val="229"/>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Granted or modified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817,618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modified</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(51,027)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(1,090,733)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28, 2023</w:t>
            </w: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3,570,694</w:t>
            </w:r>
          </w:p>
        </w:tc>
        <w:tc>
          <w:tcPr>
            <w:tcW w:w="40" w:type="dxa"/>
            <w:vAlign w:val="bottom"/>
            <w:tcBorders>
              <w:top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112,050</w:t>
            </w: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or modified</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262,640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Canceled or modified</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(228,160)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(988,682)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3, 2024</w:t>
            </w:r>
          </w:p>
        </w:tc>
        <w:tc>
          <w:tcPr>
            <w:tcW w:w="4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2,615,798</w:t>
            </w: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95,479</w:t>
            </w:r>
          </w:p>
        </w:tc>
        <w:tc>
          <w:tcPr>
            <w:tcW w:w="0" w:type="dxa"/>
            <w:vAlign w:val="bottom"/>
          </w:tcPr>
          <w:p>
            <w:pPr>
              <w:spacing w:after="0"/>
              <w:rPr>
                <w:sz w:val="1"/>
                <w:szCs w:val="1"/>
                <w:color w:val="auto"/>
              </w:rPr>
            </w:pPr>
          </w:p>
        </w:tc>
      </w:tr>
      <w:tr>
        <w:trPr>
          <w:trHeight w:val="230"/>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Granted or modified</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modified</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(52,211)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Outstanding as of February 1, 2025 </w:t>
            </w:r>
            <w:r>
              <w:rPr>
                <w:rFonts w:ascii="Times New Roman" w:cs="Times New Roman" w:eastAsia="Times New Roman" w:hAnsi="Times New Roman"/>
                <w:sz w:val="23"/>
                <w:szCs w:val="23"/>
                <w:b w:val="1"/>
                <w:bCs w:val="1"/>
                <w:color w:val="auto"/>
                <w:vertAlign w:val="superscript"/>
              </w:rPr>
              <w:t>(1)</w:t>
            </w: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2,362,108</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0" w:type="dxa"/>
            <w:vAlign w:val="bottom"/>
          </w:tcPr>
          <w:p>
            <w:pPr>
              <w:spacing w:after="0"/>
              <w:rPr>
                <w:sz w:val="1"/>
                <w:szCs w:val="1"/>
                <w:color w:val="auto"/>
              </w:rPr>
            </w:pPr>
          </w:p>
        </w:tc>
      </w:tr>
      <w:tr>
        <w:trPr>
          <w:trHeight w:val="243"/>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February 1, 2025</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1,874,744</w:t>
            </w: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Company has elected to recognize forfeitures as they occur. Therefore, the number of awards vested and expected to vest is equal to the awards outstanding.</w:t>
      </w: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 Options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9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Unit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Life (in</w:t>
            </w:r>
          </w:p>
        </w:tc>
        <w:tc>
          <w:tcPr>
            <w:tcW w:w="240" w:type="dxa"/>
            <w:vAlign w:val="bottom"/>
          </w:tcPr>
          <w:p>
            <w:pPr>
              <w:spacing w:after="0"/>
              <w:rPr>
                <w:sz w:val="16"/>
                <w:szCs w:val="16"/>
                <w:color w:val="auto"/>
              </w:rPr>
            </w:pPr>
          </w:p>
        </w:tc>
        <w:tc>
          <w:tcPr>
            <w:tcW w:w="13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Value (in</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19"/>
                <w:szCs w:val="19"/>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29, 2022</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or modified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modified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28,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 or modified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Canceled or modified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3,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or modified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modified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Outstanding as of February 1, 2025 </w:t>
            </w:r>
            <w:r>
              <w:rPr>
                <w:rFonts w:ascii="Times New Roman" w:cs="Times New Roman" w:eastAsia="Times New Roman" w:hAnsi="Times New Roman"/>
                <w:sz w:val="23"/>
                <w:szCs w:val="23"/>
                <w:b w:val="1"/>
                <w:bCs w:val="1"/>
                <w:color w:val="auto"/>
                <w:vertAlign w:val="superscript"/>
              </w:rPr>
              <w:t>(1)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120,239</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February 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120,239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Company has elected to recognize forfeitures as they occur. Therefore, the number of awards vested and expected to vest is equal to the awards outstanding.</w:t>
      </w:r>
    </w:p>
    <w:p>
      <w:pPr>
        <w:spacing w:after="0" w:line="16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total income tax benefit recognized from the exercise of stock options was $1.3 million, $3.9 million and $4.2 million for the fiscal years ended February 1, 2025, February 3, 2024 and January 28, 2023, respectively.</w:t>
      </w: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18" w:right="339" w:bottom="1440" w:gutter="0" w:footer="0" w:header="0"/>
        </w:sectPr>
      </w:pPr>
    </w:p>
    <w:bookmarkStart w:id="92" w:name="page93"/>
    <w:bookmarkEnd w:id="92"/>
    <w:tbl>
      <w:tblPr>
        <w:tblLayout w:type="fixed"/>
        <w:tblInd w:w="8" w:type="dxa"/>
        <w:tblCellMar>
          <w:top w:w="0" w:type="dxa"/>
          <w:left w:w="0" w:type="dxa"/>
          <w:bottom w:w="0" w:type="dxa"/>
          <w:right w:w="0" w:type="dxa"/>
        </w:tblCellMar>
      </w:tblPr>
      <w:tr>
        <w:trPr>
          <w:trHeight w:val="238"/>
        </w:trPr>
        <w:tc>
          <w:tcPr>
            <w:tcW w:w="31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Unit activity is as follows: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00" w:type="dxa"/>
            <w:vAlign w:val="bottom"/>
          </w:tcPr>
          <w:p>
            <w:pPr>
              <w:spacing w:after="0"/>
              <w:rPr>
                <w:sz w:val="24"/>
                <w:szCs w:val="24"/>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Units</w:t>
            </w:r>
          </w:p>
        </w:tc>
        <w:tc>
          <w:tcPr>
            <w:tcW w:w="25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Liquidity Event Restricted</w:t>
            </w:r>
          </w:p>
        </w:tc>
        <w:tc>
          <w:tcPr>
            <w:tcW w:w="2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Performance Restricted Units</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2460" w:type="dxa"/>
            <w:vAlign w:val="bottom"/>
            <w:gridSpan w:val="5"/>
            <w:vMerge w:val="continue"/>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15"/>
                <w:szCs w:val="15"/>
                <w:color w:val="auto"/>
              </w:rPr>
            </w:pPr>
          </w:p>
        </w:tc>
        <w:tc>
          <w:tcPr>
            <w:tcW w:w="142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15"/>
                <w:szCs w:val="15"/>
                <w:color w:val="auto"/>
              </w:rPr>
            </w:pPr>
          </w:p>
        </w:tc>
        <w:tc>
          <w:tcPr>
            <w:tcW w:w="13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0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January 29,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338,879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January 28,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437,108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February 3,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564,863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8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February 1, 2025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676,509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384,162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175" w:lineRule="exact"/>
        <w:rPr>
          <w:sz w:val="20"/>
          <w:szCs w:val="20"/>
          <w:color w:val="auto"/>
        </w:rPr>
      </w:pPr>
    </w:p>
    <w:p>
      <w:pPr>
        <w:jc w:val="both"/>
        <w:ind w:left="8"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three or four-year period, on each anniversary of their grant date.</w:t>
      </w:r>
    </w:p>
    <w:p>
      <w:pPr>
        <w:spacing w:after="0" w:line="108"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Restricted Units generally vest ratably over a three of four-year period on each anniversary of their grant date. In more limited grants, Service Restricted Units vest 100% on the first anniversary of the grant date, or, if earlier, the business day immediately preceding the following annual meeting of stockholders.</w:t>
      </w:r>
    </w:p>
    <w:p>
      <w:pPr>
        <w:spacing w:after="0" w:line="122"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The Company’s outstanding and unvested Performance Restricted Units typically vest either (i) if granted during 2023 or 2024, on the third anniversary of the Performance Restricted Unit's performance period if the Company achieves the performance metrics for the performance period, or</w:t>
      </w:r>
    </w:p>
    <w:p>
      <w:pPr>
        <w:ind w:left="8" w:hanging="8"/>
        <w:spacing w:after="0" w:line="260" w:lineRule="auto"/>
        <w:tabs>
          <w:tab w:leader="none" w:pos="2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granted prior to 2023, annually each year on the vesting commencement date, so long as the Company achieved (a) the performance metric for the performance period or (b) achieves a stated target share price.</w:t>
      </w:r>
    </w:p>
    <w:p>
      <w:pPr>
        <w:spacing w:after="0" w:line="127"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In the event of certain Company change of control transactions, the Company's then-outstanding and unvested Awards will become fully vested and exercisable subject to certain criteria (as defined in the award agreements). For certain Awards granted in 2022 and all Awards granted in 2023,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278"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30" w:right="339" w:bottom="1440" w:gutter="0" w:footer="0" w:header="0"/>
        </w:sectPr>
      </w:pPr>
    </w:p>
    <w:bookmarkStart w:id="93" w:name="page94"/>
    <w:bookmarkEnd w:id="93"/>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17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ind w:left="340" w:right="500" w:firstLine="324"/>
        <w:spacing w:after="0" w:line="271" w:lineRule="auto"/>
        <w:rPr>
          <w:sz w:val="20"/>
          <w:szCs w:val="20"/>
          <w:color w:val="auto"/>
        </w:rPr>
      </w:pPr>
      <w:r>
        <w:rPr>
          <w:rFonts w:ascii="Times New Roman" w:cs="Times New Roman" w:eastAsia="Times New Roman" w:hAnsi="Times New Roman"/>
          <w:sz w:val="18"/>
          <w:szCs w:val="18"/>
          <w:color w:val="auto"/>
        </w:rPr>
        <w:t>Basic and dilutive weighted average common shares outstanding and basic and diluted earnings per common share are calculated as follows (amounts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4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February 3, 2024</w:t>
            </w:r>
          </w:p>
        </w:tc>
        <w:tc>
          <w:tcPr>
            <w:tcW w:w="240" w:type="dxa"/>
            <w:vAlign w:val="bottom"/>
          </w:tcPr>
          <w:p>
            <w:pPr>
              <w:spacing w:after="0"/>
              <w:rPr>
                <w:sz w:val="19"/>
                <w:szCs w:val="19"/>
                <w:color w:val="auto"/>
              </w:rPr>
            </w:pPr>
          </w:p>
        </w:tc>
        <w:tc>
          <w:tcPr>
            <w:tcW w:w="1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418,447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24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24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24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240" w:type="dxa"/>
            <w:vAlign w:val="bottom"/>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1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4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73,048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24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24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3, 2024</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10"/>
        </w:trPr>
        <w:tc>
          <w:tcPr>
            <w:tcW w:w="34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expense:</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127,823</w:t>
            </w:r>
          </w:p>
        </w:tc>
      </w:tr>
      <w:tr>
        <w:trPr>
          <w:trHeight w:val="229"/>
        </w:trPr>
        <w:tc>
          <w:tcPr>
            <w:tcW w:w="34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r>
      <w:tr>
        <w:trPr>
          <w:trHeight w:val="230"/>
        </w:trPr>
        <w:tc>
          <w:tcPr>
            <w:tcW w:w="340" w:type="dxa"/>
            <w:vAlign w:val="bottom"/>
          </w:tcPr>
          <w:p>
            <w:pPr>
              <w:spacing w:after="0"/>
              <w:rPr>
                <w:sz w:val="19"/>
                <w:szCs w:val="19"/>
                <w:color w:val="auto"/>
              </w:rPr>
            </w:pPr>
          </w:p>
        </w:tc>
        <w:tc>
          <w:tcPr>
            <w:tcW w:w="49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40" w:type="dxa"/>
            <w:vAlign w:val="bottom"/>
          </w:tcPr>
          <w:p>
            <w:pPr>
              <w:spacing w:after="0"/>
              <w:rPr>
                <w:sz w:val="19"/>
                <w:szCs w:val="19"/>
                <w:color w:val="auto"/>
              </w:rPr>
            </w:pPr>
          </w:p>
        </w:tc>
        <w:tc>
          <w:tcPr>
            <w:tcW w:w="4900" w:type="dxa"/>
            <w:vAlign w:val="bottom"/>
            <w:shd w:val="clear" w:color="auto" w:fill="CCEEFF"/>
          </w:tcPr>
          <w:p>
            <w:pPr>
              <w:ind w:left="300"/>
              <w:spacing w:after="0" w:line="223" w:lineRule="exact"/>
              <w:rPr>
                <w:sz w:val="20"/>
                <w:szCs w:val="20"/>
                <w:color w:val="auto"/>
              </w:rPr>
            </w:pPr>
            <w:r>
              <w:rPr>
                <w:rFonts w:ascii="Times New Roman" w:cs="Times New Roman" w:eastAsia="Times New Roman" w:hAnsi="Times New Roman"/>
                <w:sz w:val="18"/>
                <w:szCs w:val="18"/>
                <w:color w:val="auto"/>
              </w:rPr>
              <w:t>Total current expense</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148,488</w:t>
            </w:r>
          </w:p>
        </w:tc>
      </w:tr>
      <w:tr>
        <w:trPr>
          <w:trHeight w:val="129"/>
        </w:trPr>
        <w:tc>
          <w:tcPr>
            <w:tcW w:w="3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29"/>
        </w:trPr>
        <w:tc>
          <w:tcPr>
            <w:tcW w:w="340" w:type="dxa"/>
            <w:vAlign w:val="bottom"/>
          </w:tcPr>
          <w:p>
            <w:pPr>
              <w:spacing w:after="0"/>
              <w:rPr>
                <w:sz w:val="19"/>
                <w:szCs w:val="19"/>
                <w:color w:val="auto"/>
              </w:rPr>
            </w:pPr>
          </w:p>
        </w:tc>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expense (benefit):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37,971</w:t>
            </w:r>
          </w:p>
        </w:tc>
      </w:tr>
      <w:tr>
        <w:trPr>
          <w:trHeight w:val="230"/>
        </w:trPr>
        <w:tc>
          <w:tcPr>
            <w:tcW w:w="34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29"/>
        </w:trPr>
        <w:tc>
          <w:tcPr>
            <w:tcW w:w="34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4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300"/>
              <w:spacing w:after="0" w:line="223" w:lineRule="exact"/>
              <w:rPr>
                <w:sz w:val="20"/>
                <w:szCs w:val="20"/>
                <w:color w:val="auto"/>
              </w:rPr>
            </w:pPr>
            <w:r>
              <w:rPr>
                <w:rFonts w:ascii="Times New Roman" w:cs="Times New Roman" w:eastAsia="Times New Roman" w:hAnsi="Times New Roman"/>
                <w:sz w:val="18"/>
                <w:szCs w:val="18"/>
                <w:color w:val="auto"/>
              </w:rPr>
              <w:t>Total deferred expense</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w:t>
            </w:r>
          </w:p>
        </w:tc>
      </w:tr>
      <w:tr>
        <w:trPr>
          <w:trHeight w:val="223"/>
        </w:trPr>
        <w:tc>
          <w:tcPr>
            <w:tcW w:w="340" w:type="dxa"/>
            <w:vAlign w:val="bottom"/>
          </w:tcPr>
          <w:p>
            <w:pPr>
              <w:spacing w:after="0"/>
              <w:rPr>
                <w:sz w:val="19"/>
                <w:szCs w:val="19"/>
                <w:color w:val="auto"/>
              </w:rPr>
            </w:pPr>
          </w:p>
        </w:tc>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190,319</w:t>
            </w:r>
          </w:p>
        </w:tc>
      </w:tr>
    </w:tbl>
    <w:p>
      <w:pPr>
        <w:spacing w:after="0" w:line="4" w:lineRule="exact"/>
        <w:rPr>
          <w:sz w:val="20"/>
          <w:szCs w:val="20"/>
          <w:color w:val="auto"/>
        </w:rPr>
      </w:pPr>
    </w:p>
    <w:p>
      <w:pPr>
        <w:ind w:left="640" w:right="660" w:hanging="290"/>
        <w:spacing w:after="0" w:line="261" w:lineRule="auto"/>
        <w:tabs>
          <w:tab w:leader="none" w:pos="6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Company purchased $38.1 million of energy credits under the new Inflation Reduction Act related to tax years ending February 3, 2024 and February 1, 2025 for a total purchase price of $35.8 million, resulting in a net tax benefit of $2.3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-207010</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statutory U.S. federal income tax rate to our effective income tax rate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at the statutory rate</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excess compensation</w:t>
            </w:r>
          </w:p>
        </w:tc>
        <w:tc>
          <w:tcPr>
            <w:tcW w:w="1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 for share-based compensation</w:t>
            </w: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other permanent items</w:t>
            </w:r>
          </w:p>
        </w:tc>
        <w:tc>
          <w:tcPr>
            <w:tcW w:w="1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Components of deferred tax assets and liabilities consist of the following (amounts in thousands) as of:</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27,102</w:t>
            </w:r>
          </w:p>
        </w:tc>
      </w:tr>
      <w:tr>
        <w:trPr>
          <w:trHeight w:val="250"/>
        </w:trPr>
        <w:tc>
          <w:tcPr>
            <w:tcW w:w="6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items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w:t>
            </w: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(227,027)</w:t>
            </w: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(281,898)</w:t>
            </w:r>
          </w:p>
        </w:tc>
      </w:tr>
      <w:tr>
        <w:trPr>
          <w:trHeight w:val="24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As of February 1, 2025, based on current facts and circumstances, management believes that it is more likely than not that the Company will realize benefit for its gross deferred tax assets.</w:t>
      </w:r>
    </w:p>
    <w:p>
      <w:pPr>
        <w:spacing w:after="0" w:line="203"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As of February 1, 2025,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2022 through 2024, and 2021 through 2024,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56"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With the exception of two retail stores which we own, 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life of leasehold improvement assets are limited by the expected lease term. Additionally, we have certain agreements for equipment rentals, which are typically 12 months or less in duration. As of February 1, 2025, all of our leases are classified as operating leases. In addition, in certain situations, we may sublease real estate to third parties. Our sublease portfolio consists mainly of former store locations for which we are still under lease and existing store leases in which we have excess or unused space.</w:t>
      </w:r>
    </w:p>
    <w:p>
      <w:pPr>
        <w:spacing w:after="0" w:line="21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closed on a sale-leaseback agreement involving a store property in Cypress, Texas. We determined that the transaction met the accounting criteria for sale-leaseback treatment and we recognized a net gain of approximately $7.1 million in Selling, General, and Administrative expenses on the Consolidated Statements of Income.</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ind w:left="332" w:right="520" w:firstLine="324"/>
        <w:spacing w:after="0" w:line="271"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SG&amp;A expenses and cost of goods sold on our statement of income is as follows (amounts in thousands):</w:t>
      </w:r>
    </w:p>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222,709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201,398</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lease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209,354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0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8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0" w:type="dxa"/>
            <w:vAlign w:val="bottom"/>
          </w:tcPr>
          <w:p>
            <w:pPr>
              <w:spacing w:after="0"/>
              <w:rPr>
                <w:sz w:val="1"/>
                <w:szCs w:val="1"/>
                <w:color w:val="auto"/>
              </w:rPr>
            </w:pPr>
          </w:p>
        </w:tc>
      </w:tr>
      <w:tr>
        <w:trPr>
          <w:trHeight w:val="156"/>
        </w:trPr>
        <w:tc>
          <w:tcPr>
            <w:tcW w:w="48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214,747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vMerge w:val="continue"/>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134,181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116,652</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224,942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213,860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204,159</w:t>
            </w:r>
          </w:p>
        </w:tc>
        <w:tc>
          <w:tcPr>
            <w:tcW w:w="0" w:type="dxa"/>
            <w:vAlign w:val="bottom"/>
          </w:tcPr>
          <w:p>
            <w:pPr>
              <w:spacing w:after="0"/>
              <w:rPr>
                <w:sz w:val="1"/>
                <w:szCs w:val="1"/>
                <w:color w:val="auto"/>
              </w:rPr>
            </w:pPr>
          </w:p>
        </w:tc>
      </w:tr>
      <w:tr>
        <w:trPr>
          <w:trHeight w:val="499"/>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24"/>
                <w:szCs w:val="24"/>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32" w:right="20" w:firstLine="324"/>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89"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9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2025 are as follows (amounts in thousands):</w:t>
            </w:r>
          </w:p>
        </w:tc>
        <w:tc>
          <w:tcPr>
            <w:tcW w:w="1200" w:type="dxa"/>
            <w:vAlign w:val="bottom"/>
          </w:tcPr>
          <w:p>
            <w:pPr>
              <w:spacing w:after="0"/>
              <w:rPr>
                <w:sz w:val="20"/>
                <w:szCs w:val="20"/>
                <w:color w:val="auto"/>
              </w:rPr>
            </w:pPr>
          </w:p>
        </w:tc>
      </w:tr>
      <w:tr>
        <w:trPr>
          <w:trHeight w:val="27"/>
        </w:trPr>
        <w:tc>
          <w:tcPr>
            <w:tcW w:w="8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214,198</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226,215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212,327</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177,240</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820,640</w:t>
            </w:r>
          </w:p>
        </w:tc>
      </w:tr>
      <w:tr>
        <w:trPr>
          <w:trHeight w:val="223"/>
        </w:trPr>
        <w:tc>
          <w:tcPr>
            <w:tcW w:w="860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1,845,288</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(544,413)</w:t>
            </w:r>
          </w:p>
        </w:tc>
      </w:tr>
      <w:tr>
        <w:trPr>
          <w:trHeight w:val="24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left="572" w:hanging="167"/>
        <w:spacing w:after="0" w:line="226" w:lineRule="auto"/>
        <w:tabs>
          <w:tab w:leader="none" w:pos="624" w:val="left"/>
        </w:tabs>
        <w:numPr>
          <w:ilvl w:val="1"/>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Minimum lease payments have not been reduced by sublease rentals of $2.0 million due in the future under non-cancelable subleases. The Company has entered into operating leases related to future store locations for which we have not yet taken possession of the location. As of February 1, 2025, the future minimum lease payments on these leases approximated $274.0 million.</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07" w:lineRule="exact"/>
        <w:rPr>
          <w:rFonts w:ascii="Times New Roman" w:cs="Times New Roman" w:eastAsia="Times New Roman" w:hAnsi="Times New Roman"/>
          <w:sz w:val="23"/>
          <w:szCs w:val="23"/>
          <w:color w:val="auto"/>
          <w:vertAlign w:val="superscript"/>
        </w:rPr>
      </w:pPr>
    </w:p>
    <w:p>
      <w:pPr>
        <w:ind w:left="332" w:right="7580" w:hanging="332"/>
        <w:spacing w:after="0" w:line="565" w:lineRule="auto"/>
        <w:tabs>
          <w:tab w:leader="none" w:pos="327"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spacing w:after="0" w:line="2" w:lineRule="exact"/>
        <w:rPr>
          <w:sz w:val="20"/>
          <w:szCs w:val="20"/>
          <w:color w:val="auto"/>
        </w:rPr>
      </w:pPr>
    </w:p>
    <w:p>
      <w:pPr>
        <w:ind w:left="332" w:firstLine="324"/>
        <w:spacing w:after="0" w:line="282" w:lineRule="auto"/>
        <w:rPr>
          <w:sz w:val="20"/>
          <w:szCs w:val="20"/>
          <w:color w:val="auto"/>
        </w:rPr>
      </w:pPr>
      <w:r>
        <w:rPr>
          <w:rFonts w:ascii="Times New Roman" w:cs="Times New Roman" w:eastAsia="Times New Roman" w:hAnsi="Times New Roman"/>
          <w:sz w:val="18"/>
          <w:szCs w:val="18"/>
          <w:color w:val="auto"/>
        </w:rPr>
        <w:t>As of February 1, 2025, we have obligations under technology-related, construction and other contractual commitments in the amount of $81.3 million. Of such commitments, approximately $42.1 million is payable in the next 12 months.</w:t>
      </w:r>
    </w:p>
    <w:p>
      <w:pPr>
        <w:spacing w:after="0" w:line="200" w:lineRule="exact"/>
        <w:rPr>
          <w:sz w:val="20"/>
          <w:szCs w:val="20"/>
          <w:color w:val="auto"/>
        </w:rPr>
      </w:pPr>
    </w:p>
    <w:p>
      <w:pPr>
        <w:spacing w:after="0" w:line="29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53" w:right="339" w:bottom="1440" w:gutter="0" w:footer="0" w:header="0"/>
        </w:sectPr>
      </w:pPr>
    </w:p>
    <w:bookmarkStart w:id="97" w:name="page98"/>
    <w:bookmarkEnd w:id="97"/>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32"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left="332"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in May and December 2023, U.S. Customs and Border Protection (“CBP”) notified us that we owed additional duties relating to certain products that we imported from China that CBP believed were subject to certain anti-dumping and/or countervailing duties. While we contested CBP’s determination, we were required to deposit with CBP duties relating to these products (the “AD/CVD deposits”), which are included in prepaid expenses and other current assets on the Company’s Consolidated Balance Sheets. In January 2024, we requested a changed circumstances review of CBP’s determination by the U.S. Department of Commerce (the “DOC”). In April 2024, the DOC made a determination in the Company’s favor in connection with the changed circumstances review, and in May 2024, instructed CBP to begin the process of issuing refunds to the Company on the AD/CVD deposits. In August 2024, the Company received a full refund of the AD/CVD deposits. This matter is now resolved, and the refund has been recorded as cash within cash and cash equivalents on our Consolidated Balance Sheets.</w:t>
      </w:r>
    </w:p>
    <w:p>
      <w:pPr>
        <w:spacing w:after="0" w:line="138" w:lineRule="exact"/>
        <w:rPr>
          <w:sz w:val="20"/>
          <w:szCs w:val="20"/>
          <w:color w:val="auto"/>
        </w:rPr>
      </w:pPr>
    </w:p>
    <w:p>
      <w:pPr>
        <w:jc w:val="both"/>
        <w:ind w:left="332" w:firstLine="324"/>
        <w:spacing w:after="0" w:line="282" w:lineRule="auto"/>
        <w:rPr>
          <w:sz w:val="20"/>
          <w:szCs w:val="20"/>
          <w:color w:val="auto"/>
        </w:rPr>
      </w:pPr>
      <w:r>
        <w:rPr>
          <w:rFonts w:ascii="Times New Roman" w:cs="Times New Roman" w:eastAsia="Times New Roman" w:hAnsi="Times New Roman"/>
          <w:sz w:val="18"/>
          <w:szCs w:val="18"/>
          <w:color w:val="auto"/>
        </w:rPr>
        <w:t>In January 2025, the Company settled a legal matter with a third-party vendor. In connection with this settlement, we recognized a net gain of approximately $15.0 million in Other (income), net on the Consolidated Statements of Income, when the gain became realizable.</w:t>
      </w:r>
    </w:p>
    <w:p>
      <w:pPr>
        <w:spacing w:after="0" w:line="108" w:lineRule="exact"/>
        <w:rPr>
          <w:sz w:val="20"/>
          <w:szCs w:val="20"/>
          <w:color w:val="auto"/>
        </w:rPr>
      </w:pPr>
    </w:p>
    <w:p>
      <w:pPr>
        <w:jc w:val="both"/>
        <w:ind w:left="332" w:right="2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other legal proceedings that we believe would have a material adverse effect on our financial position, results of operations or cash flows.</w:t>
      </w:r>
    </w:p>
    <w:p>
      <w:pPr>
        <w:spacing w:after="0" w:line="1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256" w:lineRule="exact"/>
        <w:rPr>
          <w:sz w:val="20"/>
          <w:szCs w:val="20"/>
          <w:color w:val="auto"/>
        </w:rPr>
      </w:pPr>
    </w:p>
    <w:p>
      <w:pPr>
        <w:jc w:val="both"/>
        <w:ind w:left="332"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2025, we have $8.3 million in related commitments through 2027, of which $5.7 million is payable in next 12 months.</w:t>
      </w:r>
    </w:p>
    <w:p>
      <w:pPr>
        <w:spacing w:after="0" w:line="200" w:lineRule="exact"/>
        <w:rPr>
          <w:sz w:val="20"/>
          <w:szCs w:val="20"/>
          <w:color w:val="auto"/>
        </w:rPr>
      </w:pPr>
    </w:p>
    <w:p>
      <w:pPr>
        <w:spacing w:after="0" w:line="249" w:lineRule="exact"/>
        <w:rPr>
          <w:sz w:val="20"/>
          <w:szCs w:val="20"/>
          <w:color w:val="auto"/>
        </w:rPr>
      </w:pPr>
    </w:p>
    <w:p>
      <w:pPr>
        <w:ind w:left="312" w:hanging="312"/>
        <w:spacing w:after="0"/>
        <w:tabs>
          <w:tab w:leader="none" w:pos="31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5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401(k) Plan</w:t>
      </w:r>
    </w:p>
    <w:p>
      <w:pPr>
        <w:spacing w:after="0" w:line="31" w:lineRule="exact"/>
        <w:rPr>
          <w:rFonts w:ascii="Times New Roman" w:cs="Times New Roman" w:eastAsia="Times New Roman" w:hAnsi="Times New Roman"/>
          <w:sz w:val="18"/>
          <w:szCs w:val="18"/>
          <w:b w:val="1"/>
          <w:bCs w:val="1"/>
          <w:color w:val="auto"/>
        </w:rPr>
      </w:pPr>
    </w:p>
    <w:p>
      <w:pPr>
        <w:jc w:val="both"/>
        <w:ind w:left="332" w:firstLine="32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sponsor a safe harbor defined contribution 401(k) profit sharing plan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the money contributed by a plan participant to the 401(k) Plan each pay period, on a dollar-for-dollar basis, up to 6% of a plan participant’s eligible compensation during such pay period. Annual Company profit sharing contributions are made at the discretion of our Board of Directors, subject to certain limitations. The 401(k) Plan may be amended or terminated at our discretion. Employer contributions related to the 401(k) Plan totaled $15.7 million, $15.5 million and $15.5 million in 2024, 2023 and 2022, respectively.</w:t>
      </w:r>
    </w:p>
    <w:p>
      <w:pPr>
        <w:spacing w:after="0" w:line="283"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8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56" w:lineRule="exact"/>
        <w:rPr>
          <w:sz w:val="20"/>
          <w:szCs w:val="20"/>
          <w:color w:val="auto"/>
        </w:rPr>
      </w:pPr>
    </w:p>
    <w:p>
      <w:pPr>
        <w:ind w:left="320" w:firstLine="324"/>
        <w:spacing w:after="0" w:line="256" w:lineRule="auto"/>
        <w:rPr>
          <w:sz w:val="20"/>
          <w:szCs w:val="20"/>
          <w:color w:val="auto"/>
        </w:rPr>
      </w:pPr>
      <w:r>
        <w:rPr>
          <w:rFonts w:ascii="Times New Roman" w:cs="Times New Roman" w:eastAsia="Times New Roman" w:hAnsi="Times New Roman"/>
          <w:sz w:val="18"/>
          <w:szCs w:val="18"/>
          <w:color w:val="auto"/>
        </w:rPr>
        <w:t>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consolidated financial statements. All intercompany transactions within the single reportable segment are eliminated upon consolidation.</w:t>
      </w:r>
    </w:p>
    <w:p>
      <w:pPr>
        <w:spacing w:after="0" w:line="214" w:lineRule="exact"/>
        <w:rPr>
          <w:sz w:val="20"/>
          <w:szCs w:val="20"/>
          <w:color w:val="auto"/>
        </w:rPr>
      </w:pPr>
    </w:p>
    <w:p>
      <w:pPr>
        <w:ind w:left="32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Chief Executive Officer. The CODM allocates resources and assesses performance at a Company level using consolidated net income, which is a GAAP measure, as reported on the Consolidated Statements of Income. The CODM evaluates the Company's assets as reported on the Company's Consolidated Balance Sheets. The CODM evaluates significant segment expenses and makes decisions about the retail business based on the cost of goods we sell and the selling, general, and administrative expenses needed to sell those goods as reported on the Consolidated Statements of Income. See the Company's consolidated financial statements included in Part IV Item 15 for more information.</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089"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15. Selected Quarterly Financial Data (Unaudited)</w:t>
      </w:r>
    </w:p>
    <w:p>
      <w:pPr>
        <w:spacing w:after="0" w:line="256"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The summarized quarterly financial information for the fiscal years ended 2024 and 2023 are reflected in the table below (amounts in thousands, except earnings per share data):</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1st</w:t>
            </w:r>
          </w:p>
        </w:tc>
        <w:tc>
          <w:tcPr>
            <w:tcW w:w="320" w:type="dxa"/>
            <w:vAlign w:val="bottom"/>
          </w:tcPr>
          <w:p>
            <w:pPr>
              <w:spacing w:after="0"/>
              <w:rPr>
                <w:sz w:val="19"/>
                <w:szCs w:val="19"/>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2nd</w:t>
            </w:r>
          </w:p>
        </w:tc>
        <w:tc>
          <w:tcPr>
            <w:tcW w:w="32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3rd</w:t>
            </w:r>
          </w:p>
        </w:tc>
        <w:tc>
          <w:tcPr>
            <w:tcW w:w="320" w:type="dxa"/>
            <w:vAlign w:val="bottom"/>
          </w:tcPr>
          <w:p>
            <w:pPr>
              <w:spacing w:after="0"/>
              <w:rPr>
                <w:sz w:val="19"/>
                <w:szCs w:val="19"/>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4th</w:t>
            </w:r>
          </w:p>
        </w:tc>
      </w:tr>
      <w:tr>
        <w:trPr>
          <w:trHeight w:val="238"/>
        </w:trPr>
        <w:tc>
          <w:tcPr>
            <w:tcW w:w="3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1,364,220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1,548,980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1,343,330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1,676,920</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540,229</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154,696</w:t>
            </w:r>
          </w:p>
        </w:tc>
      </w:tr>
      <w:tr>
        <w:trPr>
          <w:trHeight w:val="230"/>
        </w:trPr>
        <w:tc>
          <w:tcPr>
            <w:tcW w:w="3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133,631</w:t>
            </w:r>
          </w:p>
        </w:tc>
      </w:tr>
      <w:tr>
        <w:trPr>
          <w:trHeight w:val="108"/>
        </w:trPr>
        <w:tc>
          <w:tcPr>
            <w:tcW w:w="3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r>
      <w:tr>
        <w:trPr>
          <w:trHeight w:val="230"/>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108"/>
        </w:trPr>
        <w:tc>
          <w:tcPr>
            <w:tcW w:w="3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Weighted average common shares outstanding: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69,229</w:t>
            </w:r>
          </w:p>
        </w:tc>
      </w:tr>
      <w:tr>
        <w:trPr>
          <w:trHeight w:val="22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70,689</w:t>
            </w:r>
          </w:p>
        </w:tc>
      </w:tr>
      <w:tr>
        <w:trPr>
          <w:trHeight w:val="257"/>
        </w:trPr>
        <w:tc>
          <w:tcPr>
            <w:tcW w:w="3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1,794,828</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597,009</w:t>
            </w: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203,965</w:t>
            </w:r>
          </w:p>
        </w:tc>
      </w:tr>
      <w:tr>
        <w:trPr>
          <w:trHeight w:val="230"/>
        </w:trPr>
        <w:tc>
          <w:tcPr>
            <w:tcW w:w="3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168,167</w:t>
            </w:r>
          </w:p>
        </w:tc>
      </w:tr>
      <w:tr>
        <w:trPr>
          <w:trHeight w:val="108"/>
        </w:trPr>
        <w:tc>
          <w:tcPr>
            <w:tcW w:w="3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108"/>
        </w:trPr>
        <w:tc>
          <w:tcPr>
            <w:tcW w:w="3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Weighted average common shares outstanding: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74,219</w:t>
            </w:r>
          </w:p>
        </w:tc>
      </w:tr>
      <w:tr>
        <w:trPr>
          <w:trHeight w:val="230"/>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76,035</w:t>
            </w:r>
          </w:p>
        </w:tc>
      </w:tr>
    </w:tbl>
    <w:p>
      <w:pPr>
        <w:spacing w:after="0" w:line="261" w:lineRule="exact"/>
        <w:rPr>
          <w:sz w:val="20"/>
          <w:szCs w:val="20"/>
          <w:color w:val="auto"/>
        </w:rPr>
      </w:pPr>
    </w:p>
    <w:p>
      <w:pPr>
        <w:ind w:left="600" w:right="280" w:hanging="250"/>
        <w:spacing w:after="0" w:line="251" w:lineRule="auto"/>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quarter ended February 1, 2025, includes a $15.0 million gain pertaining to a litigation settlement and a $7.1 million gain on a sale-leaseback transaction, both of which occurred in the fourth quarter of 2024 (see Note 2).</w:t>
      </w:r>
    </w:p>
    <w:p>
      <w:pPr>
        <w:ind w:left="600" w:right="260" w:hanging="250"/>
        <w:spacing w:after="0" w:line="261" w:lineRule="auto"/>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quarter ended February 3, 2024, includes a $15.9 million net gain relative to a credit card fee litigation settlement which occurred in the fourth quarter of 2023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30" w:right="51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2025 through March 20, 2025, the issuance date of the consolidated financial statements, and identified the following matter to report:</w:t>
      </w:r>
    </w:p>
    <w:p>
      <w:pPr>
        <w:spacing w:after="0" w:line="189"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On March 6, 2025 the Company's Board of Directors declared a quarterly cash dividend in the amount of $0.13 per share on the Company's common stock, payable on April 17, 2025 to stockholders of record as of the close of business on March 25,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Index to Exhibits</w:t>
            </w:r>
          </w:p>
        </w:tc>
        <w:tc>
          <w:tcPr>
            <w:tcW w:w="882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October 6, 2020).</w:t>
            </w: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Certificate of Change of Registered Agent and/or Registered Office of the Registrant (incorporated by reference to</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Registrant’s Current Report on Form 8-K filed on June 1, 2023).</w:t>
            </w: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3.1 to the Registrant’s Current</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on Form 8-K filed on March 7, 2025).</w:t>
            </w: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Indenture, dated as of November 6, 2020, by and among Academy, Ltd., as issuer, the guarantors named therein and The</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of New York Mellon Trust Company, N.A., as trustee and notes collateral agent (incorporated by reference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4.1 to the Registrant’s Current Report on Form 8-K filed on November 6, 2020).</w:t>
            </w: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Description of Securities Registered Under Section 12 of the Exchange Act (incorporated by reference to Exhibit 4.2 to</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Registrant’s Annual Report on Form 10-K filed on March 16, 2023).</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Second Amended and Restated Credit Agreement, dated as of November 6, 2020, among Academy, Ltd., as Borrower,</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New Academy Holding Company, LLC, as Holdings, Associated Investors L.L.C. and Academy Managing Co., L.L.C.,</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Texas Intermediate Holdcos, the several lenders from time to time party thereto, Credit Suisse AG, Cayman Islands</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Branch, as the administrative agent and collateral agent and the several other parties named therein (incorporated by</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filed on November 6, 2020).</w:t>
            </w:r>
          </w:p>
        </w:tc>
      </w:tr>
      <w:tr>
        <w:trPr>
          <w:trHeight w:val="193"/>
        </w:trPr>
        <w:tc>
          <w:tcPr>
            <w:tcW w:w="2320" w:type="dxa"/>
            <w:vAlign w:val="bottom"/>
            <w:gridSpan w:val="4"/>
            <w:shd w:val="clear" w:color="auto" w:fill="CCEEFF"/>
          </w:tcPr>
          <w:p>
            <w:pPr>
              <w:ind w:left="20"/>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Amendment No. 4, dated May 25, 2021, to the Second Amended and Restated Credit Agreement among Academy, Ltd.,</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as Borrower, Credit Suisse AG, Cayman Islands Branch, as the administrative agent and collateral agent, the several</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lenders party thereto and the several other parties named therein (incorporated by reference to Exhibit 10.1 to the</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May 25, 2021).</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Conforming Changes Amendment to the Credit Agreement, dated May 17, 2023, which amends that certain Second</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Amended and Restated Credit Agreement, dated November 6, 2020 (as amended, restated, amended and restated,</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supplemented or otherwise modified from time to time), by and among Academy, Ltd., as Borrower, New Academy</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Holding Company, LLC, as Holdings, Associated Investors, L.L.C. and Academy Managing Co., L.L.C., as Texas</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Intermediate Holdcos, the lending institutions from time to time party thereto and Credit Suisse AG, Cayman Island</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Branch, as the Administrative Agent and the Collateral Agent and the several other parties named therein (incorporated</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10.1 to the Registrant’s Quarterly Report on Form 10-Q filed on August 31, 2023).</w:t>
            </w:r>
          </w:p>
        </w:tc>
      </w:tr>
      <w:tr>
        <w:trPr>
          <w:trHeight w:val="189"/>
        </w:trPr>
        <w:tc>
          <w:tcPr>
            <w:tcW w:w="23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Term Loan Security Agreement, dated as of July 2, 2015, among Academy, Ltd., as Borrower,</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each of the subsidiaries listed on the signature pages thereto, and Morgan Stanley Senior Funding, Inc., as collateral agent</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for the benefit of the secured parties (incorporated by reference to Exhibit 10.2 to the Registrant’s Registration Statement</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Form S-1 filed on September 23, 2020).</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Term Loan Pledge Agreement, dated as of July 2, 2015, among New Academy Holding</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Company, LLC, as Holdings, Associated Investors L.L.C. and Academy Managing Co., L.L.C, as Texas Intermediate</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Holdcos, Academy, Ltd., as Borrower, each of the subsidiaries listed on the signature pages thereto and Morgan Stanley</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Funding, Inc., as collateral agent for the benefit of the secured parties (incorporated by reference to Exhibit 10.3 to</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Registrant’s Registration Statement on Form S-1 filed on September 23, 2020).</w:t>
            </w:r>
          </w:p>
        </w:tc>
      </w:tr>
      <w:tr>
        <w:trPr>
          <w:trHeight w:val="193"/>
        </w:trPr>
        <w:tc>
          <w:tcPr>
            <w:tcW w:w="2320" w:type="dxa"/>
            <w:vAlign w:val="bottom"/>
            <w:gridSpan w:val="4"/>
            <w:shd w:val="clear" w:color="auto" w:fill="CCEEFF"/>
          </w:tcPr>
          <w:p>
            <w:pPr>
              <w:ind w:left="20"/>
              <w:spacing w:after="0" w:line="194"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ABL Intercreditor Agreement, dated July 2, 2015, among JPMorgan Chase Bank, N.A., as agent for the ABL Secured</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Parties referred to therein, Morgan Stanley Senior Funding, Inc., as administrative agent and collateral agent for the Term</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Loan Secured Parties referred to therein, New Academy Holding Company, LLC, as Holdings, Associated Investors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L.L.C. and Academy Managing Co., L.L.C, as Texas Intermediate Holdcos, Academy, Ltd., as Borrower, and each of the</w:t>
            </w:r>
          </w:p>
        </w:tc>
      </w:tr>
      <w:tr>
        <w:trPr>
          <w:trHeight w:val="18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subsidiaries of the Borrower listed on the signature pages thereto (incorporated by reference to Exhibit 10.4 to the</w:t>
            </w:r>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Joinder to ABL Intercreditor Agreement, dated November 6, 2020, among JPMorgan Chase Bank, N.A., as agent for the</w:t>
            </w: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ABL Secured Parties referred to therein, Credit Suisse AG, Cayman Islands Branch, as agent for the Term Loan Secured</w:t>
            </w:r>
          </w:p>
        </w:tc>
      </w:tr>
    </w:tbl>
    <w:p>
      <w:pPr>
        <w:jc w:val="both"/>
        <w:ind w:left="2440" w:right="20"/>
        <w:spacing w:after="0" w:line="218" w:lineRule="auto"/>
        <w:rPr>
          <w:sz w:val="20"/>
          <w:szCs w:val="20"/>
          <w:color w:val="auto"/>
        </w:rPr>
      </w:pPr>
      <w:r>
        <w:rPr>
          <w:rFonts w:ascii="Times New Roman" w:cs="Times New Roman" w:eastAsia="Times New Roman" w:hAnsi="Times New Roman"/>
          <w:sz w:val="18"/>
          <w:szCs w:val="18"/>
          <w:color w:val="auto"/>
        </w:rPr>
        <w:t>Parties referred to therein, and The Bank of New York Mellon Trust Company, N.A., as collateral agent for the Additional Debt Secured Parties referred to therein (incorporated by reference to Exhibit 10.5 to the Registrant’s Registration Statement on Form S-1 filed on January 25, 2021).</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20" w:type="dxa"/>
            <w:vAlign w:val="bottom"/>
            <w:tcBorders>
              <w:top w:val="single" w:sz="8" w:color="auto"/>
            </w:tcBorders>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Borders>
              <w:top w:val="single" w:sz="8" w:color="auto"/>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Joinder to ABL Intercreditor Agreement, dated November 6, 2020, among JPMorgan Chase Bank, N.A., as agent for the</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ABL Secured Parties referred to therein, and Credit Suisse AG, Cayman Islands Branch, as agent for the Term Loan</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Secured Parties referred to therein (incorporated by reference to Exhibit 10.6 to the Registrant’s Registration Statement</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Form S-1 filed on January 25, 2021).</w:t>
            </w:r>
          </w:p>
        </w:tc>
      </w:tr>
      <w:tr>
        <w:trPr>
          <w:trHeight w:val="189"/>
        </w:trPr>
        <w:tc>
          <w:tcPr>
            <w:tcW w:w="4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First Lien Intercreditor Agreement, dated November 6, 2020, among Credit Suisse AG, Cayman Islands Branch, as First</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Lien Collateral Agent and Authorized Representative for the Credit Agreement Secured Parties referred to therein, The</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of New York Mellon Trust (incorporated by reference to Exhibit 10.7 to the Registrant’s Registration Statement on</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S-1 filed on January 25, 2021).</w:t>
            </w:r>
          </w:p>
        </w:tc>
      </w:tr>
      <w:tr>
        <w:trPr>
          <w:trHeight w:val="189"/>
        </w:trPr>
        <w:tc>
          <w:tcPr>
            <w:tcW w:w="23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ABL Security Agreement, dated as of July 2, 2015, among Academy, Ltd., as Borrower, each of</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the subsidiaries listed on the signature pages thereto, and JPMorgan Chase Bank, N.A., as collateral agent for the benefit</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of the secured parties (incorporated by reference to Exhibit 10.7 to the Registrant’s Registration Statement on Form S-1</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on September 23, 2020).</w:t>
            </w: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ABL Pledge Agreement, dated July 2, 2015, among New Academy Holding Company, LLC, as</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Holdings, Associated Investors L.L.C. and Academy Managing Co., L.L.C, as Texas Intermediate Holdcos, Academy,</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Ltd., as Borrower, each of the subsidiaries listed on the signature pages thereto and JPMorgan Chase Bank, N.A., as</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collateral agent for the benefit of the secured parties (incorporated by reference to Exhibit 10.8 to the Registrant’s</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September 23, 2020).</w:t>
            </w:r>
          </w:p>
        </w:tc>
      </w:tr>
      <w:tr>
        <w:trPr>
          <w:trHeight w:val="193"/>
        </w:trPr>
        <w:tc>
          <w:tcPr>
            <w:tcW w:w="2320" w:type="dxa"/>
            <w:vAlign w:val="bottom"/>
            <w:gridSpan w:val="5"/>
            <w:shd w:val="clear" w:color="auto" w:fill="CCEEFF"/>
          </w:tcPr>
          <w:p>
            <w:pPr>
              <w:ind w:left="20"/>
              <w:spacing w:after="0" w:line="19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Amended and Restated ABL Credit Agreement, dated July 2, 2015, among Academy, Ltd., as Borrower, New</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Academy Holding Company, LLC, as Holdings, Associated Investors L.L.C. and Academy Managing Co., L.L.C, as</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Texas Intermediate Holdcos, the lending institutions from time to time party thereto and JPMorgan Chase Bank, N.A., as</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Administrative Agent, the Collateral Agent, the Letter of Credit Issuer and the Swingline Lender (incorporated by</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to Exhibit 10.5 to the Registrant’s Registration Statement on Form S-1 filed on September 23, 2020).</w:t>
            </w:r>
          </w:p>
        </w:tc>
      </w:tr>
      <w:tr>
        <w:trPr>
          <w:trHeight w:val="189"/>
        </w:trPr>
        <w:tc>
          <w:tcPr>
            <w:tcW w:w="23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1 to First Amended and Restated ABL Credit Agreement, dated as of May 22, 2018, among Academy,</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Ltd., as Borrower, New Academy Holding Company, LLC, as Holdings, Associated Investors L.L.C. and Academy</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Managing Co., L.L.C, as Texas Intermediate Holdcos, each of the Guarantors party thereto, each of the lenders party</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thereto and JPMorgan Chase Bank, N.A., as the Administrative Agent, the Collateral Agent, the Letter of Credit Issuer</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the Swingline Lender (incorporated by reference to Exhibit 10.6 to the Registrant’s Registration Statement on Form</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 filed on September 23, 2020).</w:t>
            </w:r>
          </w:p>
        </w:tc>
      </w:tr>
      <w:tr>
        <w:trPr>
          <w:trHeight w:val="189"/>
        </w:trPr>
        <w:tc>
          <w:tcPr>
            <w:tcW w:w="23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2 to First Amended and Restated ABL Credit Agreement, dated as of November 6, 2020, among</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Academy, Ltd., as Borrower, New Academy Holding Company, LLC, as Holdings, Associated Investors, L.L.C. and</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Academy Managing Co., L.L.C., as Texas Intermediate Holdcos, the several lenders from time to time party thereto,</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the letter of credit issuer, administrative agent and collateral agent (incorporated by</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to Exhibit 10.2 to the Registrant’s Current Report on Form 8-K filed on November 6, 2020).</w:t>
            </w:r>
          </w:p>
        </w:tc>
      </w:tr>
      <w:tr>
        <w:trPr>
          <w:trHeight w:val="189"/>
        </w:trPr>
        <w:tc>
          <w:tcPr>
            <w:tcW w:w="23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3, dated March 30, 2023, to First Amended and Restated ABL Credit Agreement, among Academy,</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Ltd., as Borrower, New Academy Holding Company, LLC, as Holdings, Associated Investors, L.L.C. and Academy</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Managing Co., L.L.C., as Texas Intermediate Holdcos, the lending institutions from time to time party thereto and</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the Administrative Agent, the Collateral Agent, the Letter of Credit Issuer and the</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Swingline Lender (incorporated by reference to Exhibit 10.1 to the Registrant’s Quarterly Report on Form 10-Q filed 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6, 2023)</w:t>
            </w:r>
          </w:p>
        </w:tc>
      </w:tr>
      <w:tr>
        <w:trPr>
          <w:trHeight w:val="189"/>
        </w:trPr>
        <w:tc>
          <w:tcPr>
            <w:tcW w:w="2320" w:type="dxa"/>
            <w:vAlign w:val="bottom"/>
            <w:gridSpan w:val="5"/>
            <w:shd w:val="clear" w:color="auto" w:fill="CCEEFF"/>
          </w:tcPr>
          <w:p>
            <w:pPr>
              <w:ind w:left="20"/>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4, dated March 8, 2024, to the First Amended and Restated ABL Credit agreement, dated as of July 2,</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2015, among Academy, Ltd., as borrower, New Academy Holding Company, LLC, Associated Investors, L.L.C., and</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Academy Managing Co., L.L.C., as guarantors, the several lenders from time to time party thereto and JPMorgan Chase</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the letter of credit issuer, swingline lender, administrative agent and collateral agent (incorporated by</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on March 8, 2024).</w:t>
            </w:r>
          </w:p>
        </w:tc>
      </w:tr>
      <w:tr>
        <w:trPr>
          <w:trHeight w:val="189"/>
        </w:trPr>
        <w:tc>
          <w:tcPr>
            <w:tcW w:w="23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Security Agreement, dated as of November 6, 2020, among Academy, Ltd., as Issuer, each of the guarantors listed</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on the signature pages thereto, and The Bank of New York Mellon Trust Company, N.A., as collateral agent for the</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benefit of the Secured Parties referred to therein (incorporated by reference to Exhibit 10.13 to the Registrant’s</w:t>
            </w: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January 25, 2021).</w:t>
            </w:r>
          </w:p>
        </w:tc>
      </w:tr>
      <w:tr>
        <w:trPr>
          <w:trHeight w:val="194"/>
        </w:trPr>
        <w:tc>
          <w:tcPr>
            <w:tcW w:w="2320" w:type="dxa"/>
            <w:vAlign w:val="bottom"/>
            <w:gridSpan w:val="5"/>
          </w:tcPr>
          <w:p>
            <w:pPr>
              <w:ind w:left="20"/>
              <w:spacing w:after="0" w:line="19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0" w:type="dxa"/>
            <w:vAlign w:val="bottom"/>
          </w:tcPr>
          <w:p>
            <w:pPr>
              <w:spacing w:after="0"/>
              <w:rPr>
                <w:sz w:val="16"/>
                <w:szCs w:val="16"/>
                <w:color w:val="auto"/>
              </w:rPr>
            </w:pPr>
          </w:p>
        </w:tc>
        <w:tc>
          <w:tcPr>
            <w:tcW w:w="88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Notes Pledge Agreement, dated as of November 6, 2020, among Academy, Ltd., as Issuer, each of the guarantors listed</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on the signature pages thereto, and The Bank of New York Mellon Trust Company, N.A., as collateral agent for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2440" w:right="20"/>
        <w:spacing w:after="0" w:line="226" w:lineRule="auto"/>
        <w:rPr>
          <w:sz w:val="20"/>
          <w:szCs w:val="20"/>
          <w:color w:val="auto"/>
        </w:rPr>
      </w:pPr>
      <w:r>
        <w:rPr>
          <w:rFonts w:ascii="Times New Roman" w:cs="Times New Roman" w:eastAsia="Times New Roman" w:hAnsi="Times New Roman"/>
          <w:sz w:val="18"/>
          <w:szCs w:val="18"/>
          <w:color w:val="auto"/>
        </w:rPr>
        <w:t>benefit of the Secured Parties referred to therein (incorporated by reference to Exhibit 10.14 to the Registrant’s Registration Statement on Form S-1 filed on January 25, 2021).</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Form of Non-Employee Director Time-Based Restricted Stock Unit Agreement (incorporated by reference to Exhibit</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 to the Registrant’s Quarterly Report on Form 10-Q filed on September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Q1 2023 CEO Performance-Based Restricted Stock Unit Agreement (incorporated by reference to Exhibit 10.5</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the Registrant’s Quarterly Report on Form 10-Q filed on August 31,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Q1 2023 CEO Time-Based Restricted Stock Unit Agreement (incorporated by reference to Exhibit 10.6 to the</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August 31,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Q1 2023 CEO Time-Based Option Agreement (incorporated by reference to Exhibit 10.7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August 31,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CEO Performance-Based Restricted Stock Unit Agreement (incorporated by reference to Exhibit 10.1 to</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Registrant’s 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CEO Time-Based Option Agreement (incorporated by reference to Exhibit 10.2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7, 2022).</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Q2 2023 Executive Performance-Based Restricted Stock Unit Agreement (incorporated by reference to Exhibit</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 to the Registrant’s Quarterly Report on Form 10-Q filed on August 31,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Q2 2023 Executive Time-Based Restricted Stock Unit Agreement (incorporated by reference to Exhibit 10.3 to</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Registrant’s Quarterly Report on Form 10-Q filed on August 31,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Q2 2023 Executive Time-Based Option Agreement (incorporated by reference to Exhibit 10.4 to the Registrant’s</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August 31,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2023 Executive Performance-Based Restricted Stock Unit Agreement (incorporated by reference to Exhibit 10.2</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the Registrant’s Quarterly Report on Form 10-Q filed on June 6,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2023 Executive Time-Based Restricted Stock Unit Agreement (incorporated by reference to Exhibit 10.3 to the</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June 6,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2023 Executive Time-Based Option Agreement (incorporated by reference to Exhibit 10.4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6,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Executive Performance-Based Restricted Stock Unit Agreement (incorporated by reference to Exhibit 10.3</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Executive Time-Based Restricted Stock Unit Agreement (incorporated by reference to Exhibit 10.4 to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June 7, 2022).</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Executive Time-Based Option Agreement (incorporated by reference to Exhibit 10.5 to the Registrant’s</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2021 RSU Executive Retention Award Agreement (incorporated by reference to Exhibit 10.01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From 10-Q filed on December 10, 2021).</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2021 Form of Performance-Based Restricted Stock Unit Agreement under the 2020 Omnibus Incentive Plan. Plan</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10.19 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2020 Omnibus Incentive Plan (incorporated by reference to Exhibit 10.2 to the Registrant’s Quarterly Report on Form</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10-Q filed on December 10,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2020 Omnibus Incentive Plan, as amended by the First Amendment (incorporated by reference to Exhibit 10.1 to the</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June 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Time-Based Option Agreement under 2020 Omnibus Incentive Plan (incorporated by reference to Exhibit 10.10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Amendment No. 1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Non-Employee Director Restricted Stock Unit Agreement under 2020 Omnibus Incentive Plan (incorporated by</w:t>
            </w:r>
          </w:p>
        </w:tc>
      </w:tr>
      <w:tr>
        <w:trPr>
          <w:trHeight w:val="151"/>
        </w:trPr>
        <w:tc>
          <w:tcPr>
            <w:tcW w:w="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reference to Exhibit 10.11 to Amendment No. 1 to the Registrant’s Registration Statement on Form S-1 filed on</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2020 Form of Performance-Based Restricted Stock Unit Agreement under 2020 Omnibus Incentive Plan (incorporated by</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reference to Exhibit 10.12 to Amendment No. 1 to the Registrant’s Registration Statement on Form S-1 filed on</w:t>
            </w:r>
          </w:p>
        </w:tc>
      </w:tr>
      <w:tr>
        <w:trPr>
          <w:trHeight w:val="234"/>
        </w:trPr>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2011 Unit Incentive Plan (incorporated by reference to Exhibit 10.13 to the Registrant’s Registration Statement on Form</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42†</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2020 CEO Option Agreement under 2011 Unit Incentive Plan (incorporated by reference to Exhibit 10.14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6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104</w:t>
            </w:r>
          </w:p>
        </w:tc>
      </w:tr>
      <w:tr>
        <w:trPr>
          <w:trHeight w:val="358"/>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spacing w:after="0" w:line="18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43†</w:t>
              </w:r>
            </w:hyperlink>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Form of 2020 Executive Option Agreement under 2011 Unit Incentive Plan (incorporated by reference to Exhibit 10.15</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44†</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2019 CEO Option Agreement under 2011 Unit Incentive Plan (incorporated by reference to Exhibit 10.16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45†</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2019 Executive Option Agreement under 2011 Unit Incentive Plan (incorporated by reference to Exhibit 10.17</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CEO Option Agreement under 2011 Unit Incentive Plan (incorporated by reference to Exhibit 10.18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47†</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Executive Option Agreement under 2011 Unit Incentive Plan (incorporated by reference to Exhibit 10.19</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48†</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Non Executive Option Agreement under 2011 Unit Incentive Plan (incorporated by reference to Exhibit</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10.27 to the Registrant’s Annual Report on Form 10-K filed on April 7, 2021).</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49†</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2017 Executive Option Agreement under 2011 Unit Incentive Plan (incorporated by reference to Exhibit 10.20</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50†</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2016 Executive Option Agreement under 2011 Unit Incentive Plan (incorporated by reference to Exhibit 10.21</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51†</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August 2020 Restricted Unit Agreement under 2011 Unit Incentive Plan (incorporated by reference to Exhibit</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52†</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2020 CEO Restricted Unit Agreement under 2011 Unit Incentive Plan (incorporated by reference to Exhibit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10.23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53†</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2020 Executive Restricted Unit Agreement under 2011 Unit Incentive Plan (incorporated by reference to Exhibit</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54†</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2019 Executive Restricted Unit Agreement under 2011 Unit Incentive Plan (incorporated by reference to Exhibit</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10.25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55†</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CEO Restricted Unit Agreement under 2011 Unit Incentive Plan (as amended) (incorporated by reference</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10.26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56†</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Independent Non-Employee Director Restricted Unit Agreement under 2011 Unit Incentive Plan (incorporated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reference to Exhibit 10.27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57†</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Executive Restricted Unit Agreement under 2011 Unit Incentive Plan (incorporated by reference to Exhibit</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58†</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Ken C. Hicks Amended and Restated Employment Agreement, dated April 26, 2023 (incorporated by reference to</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10.1 to the Registrant’s Current Report on Form 8-K filed on April 27,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60†</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Steven (Steve) P. Lawrence Amended and Restated Employment Agreement, dated April 26, 2023 (incorporated by</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10.2 to the Registrant’s Current Report on Form 8-K filed on April 27,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61†</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Samuel (Sam) J. Johnson Amended and Restated Employment Agreement, dated October 23, 2023 (incorporated by</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filed on October 23, 2023).</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62†</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Earl Carlton (Carl) Ford, IV Employment Agreement, dated July 6, 2023 (incorporated by reference to Exhibit 10.1 to the</w:t>
            </w: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July 11,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64†</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2020 Employee Stock Purchase Plan (incorporated by reference to Exhibit 10.34 to Amendment No. 1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September 23, 2020).</w:t>
            </w:r>
          </w:p>
        </w:tc>
      </w:tr>
      <w:tr>
        <w:trPr>
          <w:trHeight w:val="6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105</w:t>
            </w:r>
          </w:p>
        </w:tc>
      </w:tr>
      <w:tr>
        <w:trPr>
          <w:trHeight w:val="358"/>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3"/>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65†</w:t>
              </w:r>
            </w:hyperlink>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Form of Director and Officer Indemnification Agreement (incorporated by reference to Exhibit 10.37 to Amendment No.</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66†</w:t>
            </w:r>
          </w:p>
        </w:tc>
        <w:tc>
          <w:tcPr>
            <w:tcW w:w="8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Non-Employee Director Compensation Policy, effective March 18, 2024 (incorporated by reference to Exhibit 10.66 to</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Registrant's Annual Report on Form 10-K filed on March 21, 2024).</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67†</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Matt McCabe Amended and Restated Employment Agreement, dated June 25, 2023 (incorporated by reference to Exhibit</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to the Registrant’s Quarterly Report on Form 10-Q filed on June 11, 2024).</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19.</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Insider Trading Policy</w:t>
            </w:r>
          </w:p>
        </w:tc>
      </w:tr>
      <w:tr>
        <w:trPr>
          <w:trHeight w:val="189"/>
        </w:trPr>
        <w:tc>
          <w:tcPr>
            <w:tcW w:w="5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Subsidiaries of the Registrant.</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Academy Sports and Outdoors, Inc.).</w:t>
            </w:r>
          </w:p>
        </w:tc>
      </w:tr>
      <w:tr>
        <w:trPr>
          <w:trHeight w:val="189"/>
        </w:trPr>
        <w:tc>
          <w:tcPr>
            <w:tcW w:w="5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23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9"/>
        </w:trPr>
        <w:tc>
          <w:tcPr>
            <w:tcW w:w="23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Policy Relating to Recovery of Erroneously Awarded Compensation (incorporated by reference to Exhibit 97.1 to the</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Annual Report on Form 10-K filed on March 21, 2024).</w:t>
            </w: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30"/>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175"/>
        </w:trPr>
        <w:tc>
          <w:tcPr>
            <w:tcW w:w="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cover page for the Company’s Annual Report on Form 10-K for the fiscal year ended February 1, 2025 has been</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formatted in Inline XBRL.</w:t>
            </w:r>
          </w:p>
        </w:tc>
      </w:tr>
      <w:tr>
        <w:trPr>
          <w:trHeight w:val="230"/>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75"/>
        </w:trPr>
        <w:tc>
          <w:tcPr>
            <w:tcW w:w="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w:t>
            </w:r>
          </w:p>
        </w:tc>
      </w:tr>
      <w:tr>
        <w:trPr>
          <w:trHeight w:val="184"/>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except to the extent required by the Sarbanes-Oxley Act of 2002, be deemed filed by the Company for purposes of</w:t>
            </w:r>
          </w:p>
        </w:tc>
      </w:tr>
      <w:tr>
        <w:trPr>
          <w:trHeight w:val="234"/>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18 of the Securities Exchange Act of 1934, as amended.</w:t>
            </w:r>
          </w:p>
        </w:tc>
      </w:tr>
      <w:tr>
        <w:trPr>
          <w:trHeight w:val="234"/>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tc>
      </w:tr>
    </w:tbl>
    <w:p>
      <w:pPr>
        <w:spacing w:after="0" w:line="200" w:lineRule="exact"/>
        <w:rPr>
          <w:sz w:val="20"/>
          <w:szCs w:val="20"/>
          <w:color w:val="auto"/>
        </w:rPr>
      </w:pPr>
    </w:p>
    <w:p>
      <w:pPr>
        <w:spacing w:after="0" w:line="3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March 20, 2025 on its behalf by the undersigned, thereto duly authorized.</w:t>
      </w:r>
    </w:p>
    <w:p>
      <w:pPr>
        <w:spacing w:after="0" w:line="229"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 EARL CARLTON FORD, IV</w:t>
            </w:r>
          </w:p>
        </w:tc>
      </w:tr>
      <w:tr>
        <w:trPr>
          <w:trHeight w:val="218"/>
        </w:trPr>
        <w:tc>
          <w:tcPr>
            <w:tcW w:w="2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r>
      <w:tr>
        <w:trPr>
          <w:trHeight w:val="180"/>
        </w:trPr>
        <w:tc>
          <w:tcPr>
            <w:tcW w:w="2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184"/>
        </w:trPr>
        <w:tc>
          <w:tcPr>
            <w:tcW w:w="2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ACADEMY SPORTS AND</w:t>
            </w:r>
          </w:p>
        </w:tc>
        <w:tc>
          <w:tcPr>
            <w:tcW w:w="82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OUTDOORS, INC.</w:t>
            </w:r>
          </w:p>
        </w:tc>
        <w:tc>
          <w:tcPr>
            <w:tcW w:w="8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3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0" w:type="dxa"/>
            <w:vAlign w:val="bottom"/>
          </w:tcPr>
          <w:p>
            <w:pPr>
              <w:spacing w:after="0"/>
              <w:rPr>
                <w:sz w:val="17"/>
                <w:szCs w:val="17"/>
                <w:color w:val="auto"/>
              </w:rPr>
            </w:pPr>
          </w:p>
        </w:tc>
        <w:tc>
          <w:tcPr>
            <w:tcW w:w="19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20"/>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STEVEN LAWRENCE</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Steven Lawrence</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EARL CARLTON FORD, IV</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Earl Carlton Ford, IV</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KEN C. HICKS</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Ken C. Hicks</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WENDY A. BECK</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Wendy A. Beck</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SCOTT BOATWRIGHT</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Scott Boatwright</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BRIAN T. MARLEY</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Brian T. Marley</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TOM M. NEALON</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Tom M. Nealon</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THERESA E. PALERMO</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Theresa E. Palermo</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MONIQUE PICOU</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Monique Picou</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BERYL B. RAFF</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Beryl B. Raff</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CHRIS L. TURNER</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Chris L. Turner</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JEFF C. TWEEDY</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Jeff C. Tweedy</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81"/>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7"/>
                <w:szCs w:val="17"/>
                <w:color w:val="auto"/>
              </w:rPr>
            </w:pPr>
          </w:p>
        </w:tc>
        <w:tc>
          <w:tcPr>
            <w:tcW w:w="1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Charged to costs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 at end of</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20" w:type="dxa"/>
            <w:vAlign w:val="bottom"/>
          </w:tcPr>
          <w:p>
            <w:pPr>
              <w:spacing w:after="0"/>
              <w:rPr>
                <w:sz w:val="21"/>
                <w:szCs w:val="21"/>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1,936</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10,500</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(12,500)</w:t>
            </w:r>
          </w:p>
        </w:tc>
        <w:tc>
          <w:tcPr>
            <w:tcW w:w="3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82,233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(75,118)</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74,941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(74,719)</w:t>
            </w:r>
          </w:p>
        </w:tc>
        <w:tc>
          <w:tcPr>
            <w:tcW w:w="3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93"/>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25,232</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93"/>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3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93"/>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(92,582)</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3"/>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70,509</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(75,669)</w:t>
            </w:r>
          </w:p>
        </w:tc>
        <w:tc>
          <w:tcPr>
            <w:tcW w:w="3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93"/>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93"/>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93"/>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(85,886)</w:t>
            </w:r>
          </w:p>
        </w:tc>
        <w:tc>
          <w:tcPr>
            <w:tcW w:w="3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3"/>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34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93"/>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write-offs to the reserve.</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monthly increase (decrease) in the required reserve based on the Company's evaluation of anticipated merchandise returns.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actual inventory shrinkage experienced at stores.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claim payments for self-insured claims.</w:t>
      </w:r>
    </w:p>
    <w:p>
      <w:pPr>
        <w:spacing w:after="0" w:line="200" w:lineRule="exact"/>
        <w:rPr>
          <w:sz w:val="20"/>
          <w:szCs w:val="20"/>
          <w:color w:val="auto"/>
        </w:rPr>
      </w:pPr>
    </w:p>
    <w:p>
      <w:pPr>
        <w:spacing w:after="0" w:line="36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860"/>
          </w:cols>
          <w:pgMar w:left="320" w:top="887" w:right="7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436245</wp:posOffset>
            </wp:positionV>
            <wp:extent cx="1971675" cy="6172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19716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ACADEMY SPORTS AND OUTDOORS, INC.</w:t>
      </w:r>
    </w:p>
    <w:p>
      <w:pPr>
        <w:spacing w:after="0" w:line="202"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DATE: March 18, 2024</w:t>
      </w:r>
    </w:p>
    <w:p>
      <w:pPr>
        <w:spacing w:after="0" w:line="8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Academy Sports and Outdoors,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who is not an employee of the Company (or any parent or subsidiary of the Company) (each, a “</w:t>
      </w:r>
      <w:r>
        <w:rPr>
          <w:rFonts w:ascii="Arial" w:cs="Arial" w:eastAsia="Arial" w:hAnsi="Arial"/>
          <w:sz w:val="20"/>
          <w:szCs w:val="20"/>
          <w:b w:val="1"/>
          <w:bCs w:val="1"/>
          <w:color w:val="auto"/>
        </w:rPr>
        <w:t>Director</w:t>
      </w:r>
      <w:r>
        <w:rPr>
          <w:rFonts w:ascii="Arial" w:cs="Arial" w:eastAsia="Arial" w:hAnsi="Arial"/>
          <w:sz w:val="20"/>
          <w:szCs w:val="20"/>
          <w:color w:val="auto"/>
        </w:rPr>
        <w:t>”) shall be eligible to receive cash and equity compensation for their service on the Board and any committee thereof in accordance with this Non-Employee Director Compensation Policy (this “</w:t>
      </w:r>
      <w:r>
        <w:rPr>
          <w:rFonts w:ascii="Arial" w:cs="Arial" w:eastAsia="Arial" w:hAnsi="Arial"/>
          <w:sz w:val="20"/>
          <w:szCs w:val="20"/>
          <w:b w:val="1"/>
          <w:bCs w:val="1"/>
          <w:color w:val="auto"/>
        </w:rPr>
        <w:t>Policy</w:t>
      </w:r>
      <w:r>
        <w:rPr>
          <w:rFonts w:ascii="Arial" w:cs="Arial" w:eastAsia="Arial" w:hAnsi="Arial"/>
          <w:sz w:val="20"/>
          <w:szCs w:val="20"/>
          <w:color w:val="auto"/>
        </w:rPr>
        <w:t>”). For the avoidance of doubt, this Policy shall not apply to members of the Board who are employees of the Company (or any parent or subsidiary of the Company). This Policy shall be reviewed annually by the Compensation Committee of the Board and remain in effect until it is amended or rescinded by further action of the Board.</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19"/>
          <w:szCs w:val="19"/>
          <w:b w:val="1"/>
          <w:bCs w:val="1"/>
          <w:color w:val="auto"/>
        </w:rPr>
        <w:t>Cash Compensation</w:t>
      </w:r>
    </w:p>
    <w:p>
      <w:pPr>
        <w:spacing w:after="0" w:line="260" w:lineRule="exact"/>
        <w:rPr>
          <w:sz w:val="20"/>
          <w:szCs w:val="20"/>
          <w:color w:val="auto"/>
        </w:rPr>
      </w:pPr>
    </w:p>
    <w:tbl>
      <w:tblPr>
        <w:tblLayout w:type="fixed"/>
        <w:tblInd w:w="270" w:type="dxa"/>
        <w:tblCellMar>
          <w:top w:w="0" w:type="dxa"/>
          <w:left w:w="0" w:type="dxa"/>
          <w:bottom w:w="0" w:type="dxa"/>
          <w:right w:w="0" w:type="dxa"/>
        </w:tblCellMar>
      </w:tblPr>
      <w:tr>
        <w:trPr>
          <w:trHeight w:val="273"/>
        </w:trPr>
        <w:tc>
          <w:tcPr>
            <w:tcW w:w="87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Position</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Fiscal Year</w:t>
            </w:r>
          </w:p>
        </w:tc>
      </w:tr>
      <w:tr>
        <w:trPr>
          <w:trHeight w:val="273"/>
        </w:trPr>
        <w:tc>
          <w:tcPr>
            <w:tcW w:w="8780" w:type="dxa"/>
            <w:vAlign w:val="bottom"/>
            <w:tcBorders>
              <w:left w:val="single" w:sz="8" w:color="auto"/>
              <w:right w:val="single" w:sz="8" w:color="auto"/>
            </w:tcBorders>
          </w:tcPr>
          <w:p>
            <w:pPr>
              <w:spacing w:after="0"/>
              <w:rPr>
                <w:sz w:val="23"/>
                <w:szCs w:val="23"/>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Amount</w:t>
            </w:r>
          </w:p>
        </w:tc>
      </w:tr>
      <w:tr>
        <w:trPr>
          <w:trHeight w:val="20"/>
        </w:trPr>
        <w:tc>
          <w:tcPr>
            <w:tcW w:w="8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r>
      <w:tr>
        <w:trPr>
          <w:trHeight w:val="284"/>
        </w:trPr>
        <w:tc>
          <w:tcPr>
            <w:tcW w:w="8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Director Annual Retainer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$100,000</w:t>
            </w:r>
          </w:p>
        </w:tc>
      </w:tr>
      <w:tr>
        <w:trPr>
          <w:trHeight w:val="290"/>
        </w:trPr>
        <w:tc>
          <w:tcPr>
            <w:tcW w:w="8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Board Chair Annual Retainer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$75,000</w:t>
            </w:r>
          </w:p>
        </w:tc>
      </w:tr>
      <w:tr>
        <w:trPr>
          <w:trHeight w:val="290"/>
        </w:trPr>
        <w:tc>
          <w:tcPr>
            <w:tcW w:w="8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Lead (independent) Director Annual Retainer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$40,000</w:t>
            </w:r>
          </w:p>
        </w:tc>
      </w:tr>
      <w:tr>
        <w:trPr>
          <w:trHeight w:val="290"/>
        </w:trPr>
        <w:tc>
          <w:tcPr>
            <w:tcW w:w="8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Audit Committee Chair Annual Retainer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$30,000</w:t>
            </w:r>
          </w:p>
        </w:tc>
      </w:tr>
      <w:tr>
        <w:trPr>
          <w:trHeight w:val="290"/>
        </w:trPr>
        <w:tc>
          <w:tcPr>
            <w:tcW w:w="8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Compensation Committee Chair Annual Retainer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$25,000</w:t>
            </w:r>
          </w:p>
        </w:tc>
      </w:tr>
      <w:tr>
        <w:trPr>
          <w:trHeight w:val="291"/>
        </w:trPr>
        <w:tc>
          <w:tcPr>
            <w:tcW w:w="8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Nominating and Governance Committee Chair Annual Retainer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$20,000</w:t>
            </w:r>
          </w:p>
        </w:tc>
      </w:tr>
    </w:tbl>
    <w:p>
      <w:pPr>
        <w:spacing w:after="0" w:line="200" w:lineRule="exact"/>
        <w:rPr>
          <w:sz w:val="20"/>
          <w:szCs w:val="20"/>
          <w:color w:val="auto"/>
        </w:rPr>
      </w:pPr>
    </w:p>
    <w:p>
      <w:pPr>
        <w:spacing w:after="0" w:line="264" w:lineRule="exact"/>
        <w:rPr>
          <w:sz w:val="20"/>
          <w:szCs w:val="20"/>
          <w:color w:val="auto"/>
        </w:rPr>
      </w:pPr>
    </w:p>
    <w:p>
      <w:pPr>
        <w:ind w:left="660" w:right="20" w:hanging="328"/>
        <w:spacing w:after="0" w:line="286" w:lineRule="auto"/>
        <w:tabs>
          <w:tab w:leader="none" w:pos="754" w:val="left"/>
        </w:tabs>
        <w:numPr>
          <w:ilvl w:val="0"/>
          <w:numId w:val="65"/>
        </w:numPr>
        <w:rPr>
          <w:rFonts w:ascii="Arial" w:cs="Arial" w:eastAsia="Arial" w:hAnsi="Arial"/>
          <w:sz w:val="20"/>
          <w:szCs w:val="20"/>
          <w:color w:val="auto"/>
        </w:rPr>
      </w:pPr>
      <w:r>
        <w:rPr>
          <w:rFonts w:ascii="Arial" w:cs="Arial" w:eastAsia="Arial" w:hAnsi="Arial"/>
          <w:sz w:val="20"/>
          <w:szCs w:val="20"/>
          <w:color w:val="auto"/>
        </w:rPr>
        <w:t>All cash compensation is earned on a fiscal year basis and 25% of the Fiscal Year Amount is paid in arrears at the end of each fiscal quarter for completing a full fiscal quarter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199" w:lineRule="auto"/>
        <w:rPr>
          <w:sz w:val="20"/>
          <w:szCs w:val="20"/>
          <w:color w:val="auto"/>
        </w:rPr>
      </w:pPr>
      <w:r>
        <w:rPr>
          <w:rFonts w:ascii="Calibri" w:cs="Calibri" w:eastAsia="Calibri" w:hAnsi="Calibri"/>
          <w:sz w:val="20"/>
          <w:szCs w:val="20"/>
          <w:color w:val="auto"/>
        </w:rPr>
        <w:t>424826</w:t>
      </w:r>
    </w:p>
    <w:p>
      <w:pPr>
        <w:sectPr>
          <w:pgSz w:w="11900" w:h="16838" w:orient="portrait"/>
          <w:cols w:equalWidth="0" w:num="1">
            <w:col w:w="11240"/>
          </w:cols>
          <w:pgMar w:left="320" w:top="10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660" w:hanging="328"/>
        <w:spacing w:after="0" w:line="328" w:lineRule="auto"/>
        <w:tabs>
          <w:tab w:leader="none" w:pos="810" w:val="left"/>
        </w:tabs>
        <w:numPr>
          <w:ilvl w:val="1"/>
          <w:numId w:val="66"/>
        </w:numPr>
        <w:rPr>
          <w:rFonts w:ascii="Arial" w:cs="Arial" w:eastAsia="Arial" w:hAnsi="Arial"/>
          <w:sz w:val="19"/>
          <w:szCs w:val="19"/>
          <w:color w:val="auto"/>
        </w:rPr>
      </w:pPr>
      <w:r>
        <w:rPr>
          <w:rFonts w:ascii="Arial" w:cs="Arial" w:eastAsia="Arial" w:hAnsi="Arial"/>
          <w:sz w:val="19"/>
          <w:szCs w:val="19"/>
          <w:color w:val="auto"/>
        </w:rPr>
        <w:t>Directors who commence, or terminate, service during the fiscal quarter will receive pro-rated retainers based on the number of calendar days of service in the fiscal quarter divided by the total number of calendar days in the fiscal quarter.</w:t>
      </w:r>
    </w:p>
    <w:p>
      <w:pPr>
        <w:spacing w:after="0" w:line="118" w:lineRule="exact"/>
        <w:rPr>
          <w:rFonts w:ascii="Arial" w:cs="Arial" w:eastAsia="Arial" w:hAnsi="Arial"/>
          <w:sz w:val="19"/>
          <w:szCs w:val="19"/>
          <w:color w:val="auto"/>
        </w:rPr>
      </w:pPr>
    </w:p>
    <w:p>
      <w:pPr>
        <w:jc w:val="both"/>
        <w:ind w:left="660" w:hanging="328"/>
        <w:spacing w:after="0" w:line="268" w:lineRule="auto"/>
        <w:tabs>
          <w:tab w:leader="none" w:pos="866" w:val="left"/>
        </w:tabs>
        <w:numPr>
          <w:ilvl w:val="1"/>
          <w:numId w:val="66"/>
        </w:numPr>
        <w:rPr>
          <w:rFonts w:ascii="Arial" w:cs="Arial" w:eastAsia="Arial" w:hAnsi="Arial"/>
          <w:sz w:val="20"/>
          <w:szCs w:val="20"/>
          <w:color w:val="auto"/>
        </w:rPr>
      </w:pPr>
      <w:r>
        <w:rPr>
          <w:rFonts w:ascii="Arial" w:cs="Arial" w:eastAsia="Arial" w:hAnsi="Arial"/>
          <w:sz w:val="20"/>
          <w:szCs w:val="20"/>
          <w:color w:val="auto"/>
        </w:rPr>
        <w:t>If the adoption of this Policy increases the value of any Director’s current cash compensation or if the Fiscal Year Amount is subsequently increased by the Board at any time before or after an Annual Stockholders Meeting, then the increase in cash compensation will be paid going forward from its adoption date. To the extent that any increase in Directors cash compensation is adopted mid-quarter, the increased amount will be pro-rated based on the number of calendar days in the fiscal quarter on and after its adoption date divided by the total number of calendar days in the fiscal quarter; the calendar days in the fiscal quarter prior to such adoption date will be compensated based on the prior level of Director cash compensation.</w:t>
      </w:r>
    </w:p>
    <w:p>
      <w:pPr>
        <w:spacing w:after="0" w:line="17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III.  Equity Compensation</w:t>
      </w:r>
    </w:p>
    <w:p>
      <w:pPr>
        <w:spacing w:after="0" w:line="242" w:lineRule="exact"/>
        <w:rPr>
          <w:rFonts w:ascii="Arial" w:cs="Arial" w:eastAsia="Arial" w:hAnsi="Arial"/>
          <w:sz w:val="20"/>
          <w:szCs w:val="20"/>
          <w:color w:val="auto"/>
        </w:rPr>
      </w:pPr>
    </w:p>
    <w:p>
      <w:pPr>
        <w:ind w:left="740" w:hanging="408"/>
        <w:spacing w:after="0"/>
        <w:tabs>
          <w:tab w:leader="none" w:pos="740" w:val="left"/>
        </w:tabs>
        <w:numPr>
          <w:ilvl w:val="1"/>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New Director Equity Award</w:t>
      </w:r>
    </w:p>
    <w:p>
      <w:pPr>
        <w:spacing w:after="0" w:line="229" w:lineRule="exact"/>
        <w:rPr>
          <w:sz w:val="20"/>
          <w:szCs w:val="20"/>
          <w:color w:val="auto"/>
        </w:rPr>
      </w:pPr>
    </w:p>
    <w:p>
      <w:pPr>
        <w:jc w:val="both"/>
        <w:ind w:left="340"/>
        <w:spacing w:after="0" w:line="268" w:lineRule="auto"/>
        <w:rPr>
          <w:sz w:val="20"/>
          <w:szCs w:val="20"/>
          <w:color w:val="auto"/>
        </w:rPr>
      </w:pPr>
      <w:r>
        <w:rPr>
          <w:rFonts w:ascii="Arial" w:cs="Arial" w:eastAsia="Arial" w:hAnsi="Arial"/>
          <w:sz w:val="20"/>
          <w:szCs w:val="20"/>
          <w:color w:val="auto"/>
        </w:rPr>
        <w:t>Unless otherwise provided by the Board, a restricted stock unit award (“</w:t>
      </w:r>
      <w:r>
        <w:rPr>
          <w:rFonts w:ascii="Arial" w:cs="Arial" w:eastAsia="Arial" w:hAnsi="Arial"/>
          <w:sz w:val="20"/>
          <w:szCs w:val="20"/>
          <w:b w:val="1"/>
          <w:bCs w:val="1"/>
          <w:color w:val="auto"/>
        </w:rPr>
        <w:t>RSU</w:t>
      </w:r>
      <w:r>
        <w:rPr>
          <w:rFonts w:ascii="Arial" w:cs="Arial" w:eastAsia="Arial" w:hAnsi="Arial"/>
          <w:sz w:val="20"/>
          <w:szCs w:val="20"/>
          <w:color w:val="auto"/>
        </w:rPr>
        <w:t>”) will be granted automatically under the 2020 Omnibus Incentive Plan or its successor (the “</w:t>
      </w:r>
      <w:r>
        <w:rPr>
          <w:rFonts w:ascii="Arial" w:cs="Arial" w:eastAsia="Arial" w:hAnsi="Arial"/>
          <w:sz w:val="20"/>
          <w:szCs w:val="20"/>
          <w:b w:val="1"/>
          <w:bCs w:val="1"/>
          <w:color w:val="auto"/>
        </w:rPr>
        <w:t>Plan</w:t>
      </w:r>
      <w:r>
        <w:rPr>
          <w:rFonts w:ascii="Arial" w:cs="Arial" w:eastAsia="Arial" w:hAnsi="Arial"/>
          <w:sz w:val="20"/>
          <w:szCs w:val="20"/>
          <w:color w:val="auto"/>
        </w:rPr>
        <w:t>”) to each new Director on either (i) the date that the new Director is appointed to the Board (the “</w:t>
      </w:r>
      <w:r>
        <w:rPr>
          <w:rFonts w:ascii="Arial" w:cs="Arial" w:eastAsia="Arial" w:hAnsi="Arial"/>
          <w:sz w:val="20"/>
          <w:szCs w:val="20"/>
          <w:b w:val="1"/>
          <w:bCs w:val="1"/>
          <w:color w:val="auto"/>
        </w:rPr>
        <w:t>New Director Appointment Date</w:t>
      </w:r>
      <w:r>
        <w:rPr>
          <w:rFonts w:ascii="Arial" w:cs="Arial" w:eastAsia="Arial" w:hAnsi="Arial"/>
          <w:sz w:val="20"/>
          <w:szCs w:val="20"/>
          <w:color w:val="auto"/>
        </w:rPr>
        <w:t>”), if such New Director Appointment Date occurs during a Window Period (as such term is defined in the Company’s Insider Trading Policy), or (ii) if such New Director Appointment Date does not occur during a Window Period, then on the first date of the Company’s next Window Period (whichever date applies, the “</w:t>
      </w:r>
      <w:r>
        <w:rPr>
          <w:rFonts w:ascii="Arial" w:cs="Arial" w:eastAsia="Arial" w:hAnsi="Arial"/>
          <w:sz w:val="20"/>
          <w:szCs w:val="20"/>
          <w:b w:val="1"/>
          <w:bCs w:val="1"/>
          <w:color w:val="auto"/>
        </w:rPr>
        <w:t>New Director Grant Date</w:t>
      </w:r>
      <w:r>
        <w:rPr>
          <w:rFonts w:ascii="Arial" w:cs="Arial" w:eastAsia="Arial" w:hAnsi="Arial"/>
          <w:sz w:val="20"/>
          <w:szCs w:val="20"/>
          <w:color w:val="auto"/>
        </w:rPr>
        <w:t>”), with the following terms and conditions:</w:t>
      </w:r>
    </w:p>
    <w:p>
      <w:pPr>
        <w:spacing w:after="0" w:line="160" w:lineRule="exact"/>
        <w:rPr>
          <w:sz w:val="20"/>
          <w:szCs w:val="20"/>
          <w:color w:val="auto"/>
        </w:rPr>
      </w:pPr>
    </w:p>
    <w:p>
      <w:pPr>
        <w:jc w:val="both"/>
        <w:ind w:left="660" w:hanging="328"/>
        <w:spacing w:after="0" w:line="273" w:lineRule="auto"/>
        <w:tabs>
          <w:tab w:leader="none" w:pos="7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award will be based upon an annualized grant value of $160,000 (the “</w:t>
      </w:r>
      <w:r>
        <w:rPr>
          <w:rFonts w:ascii="Arial" w:cs="Arial" w:eastAsia="Arial" w:hAnsi="Arial"/>
          <w:sz w:val="20"/>
          <w:szCs w:val="20"/>
          <w:b w:val="1"/>
          <w:bCs w:val="1"/>
          <w:color w:val="auto"/>
        </w:rPr>
        <w:t>Maximum Value</w:t>
      </w:r>
      <w:r>
        <w:rPr>
          <w:rFonts w:ascii="Arial" w:cs="Arial" w:eastAsia="Arial" w:hAnsi="Arial"/>
          <w:sz w:val="20"/>
          <w:szCs w:val="20"/>
          <w:color w:val="auto"/>
        </w:rPr>
        <w:t>”). In the case of a Director newly appointed to the Board Chair position, an additional amount based upon an annualized grant value of $125,000 will be granted, with the Maximum Value thereby being based upon an annualized grant value total of $285,000 annually (the “</w:t>
      </w:r>
      <w:r>
        <w:rPr>
          <w:rFonts w:ascii="Arial" w:cs="Arial" w:eastAsia="Arial" w:hAnsi="Arial"/>
          <w:sz w:val="20"/>
          <w:szCs w:val="20"/>
          <w:b w:val="1"/>
          <w:bCs w:val="1"/>
          <w:color w:val="auto"/>
        </w:rPr>
        <w:t>Board Chair Maximum Value</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left="660" w:hanging="328"/>
        <w:spacing w:after="0" w:line="266" w:lineRule="auto"/>
        <w:tabs>
          <w:tab w:leader="none" w:pos="747"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actual target grant value (“</w:t>
      </w:r>
      <w:r>
        <w:rPr>
          <w:rFonts w:ascii="Arial" w:cs="Arial" w:eastAsia="Arial" w:hAnsi="Arial"/>
          <w:sz w:val="20"/>
          <w:szCs w:val="20"/>
          <w:b w:val="1"/>
          <w:bCs w:val="1"/>
          <w:color w:val="auto"/>
        </w:rPr>
        <w:t>Award Value</w:t>
      </w:r>
      <w:r>
        <w:rPr>
          <w:rFonts w:ascii="Arial" w:cs="Arial" w:eastAsia="Arial" w:hAnsi="Arial"/>
          <w:sz w:val="20"/>
          <w:szCs w:val="20"/>
          <w:color w:val="auto"/>
        </w:rPr>
        <w:t>”) will be calculated by pro-rating the Maximum Value and the Board Chair Maximum Value (as applicable) based on the number of calendar days remaining from the date the new Director is appointed to the Board until (a) the next Annual Stockholders Meeting, if scheduled, or (b) the date of the first anniversary of the last Annual Stockholders Meeting, if the next Annual Shareholder Meeting has not been scheduled, divided by (x) the number of calendar days between the last and next scheduled Annual Stockholders Meeting, or (y) 365, if the next Annual Stockholders Meeting date does not exist.</w:t>
      </w:r>
    </w:p>
    <w:p>
      <w:pPr>
        <w:spacing w:after="0" w:line="173" w:lineRule="exact"/>
        <w:rPr>
          <w:rFonts w:ascii="Arial" w:cs="Arial" w:eastAsia="Arial" w:hAnsi="Arial"/>
          <w:sz w:val="20"/>
          <w:szCs w:val="20"/>
          <w:color w:val="auto"/>
        </w:rPr>
      </w:pPr>
    </w:p>
    <w:p>
      <w:pPr>
        <w:ind w:left="660" w:hanging="328"/>
        <w:spacing w:after="0" w:line="300" w:lineRule="auto"/>
        <w:tabs>
          <w:tab w:leader="none" w:pos="847"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Award Value (as calculated directly above) will be converted into RSUs based on the prior 30 calendar days average closing stock price as of the New Director Grant Date (rounded down to the next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328" w:hanging="328"/>
        <w:spacing w:after="0" w:line="269" w:lineRule="auto"/>
        <w:tabs>
          <w:tab w:leader="none" w:pos="445"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the applicable vesting date, 100% of the RSUs shall vest on the earliest of (i) the first anniversary of the New Director Grant Date, or, if earlier, the date which is the business day immediately preceding the date of the next Annual Stockholders Meeting, (ii) the Director’s termination due to death or Disability (as defined in the Plan) or (iii) a Change in Control (as defined in the Plan).</w:t>
      </w:r>
    </w:p>
    <w:p>
      <w:pPr>
        <w:spacing w:after="0" w:line="183" w:lineRule="exact"/>
        <w:rPr>
          <w:rFonts w:ascii="Arial" w:cs="Arial" w:eastAsia="Arial" w:hAnsi="Arial"/>
          <w:sz w:val="20"/>
          <w:szCs w:val="20"/>
          <w:color w:val="auto"/>
        </w:rPr>
      </w:pPr>
    </w:p>
    <w:p>
      <w:pPr>
        <w:ind w:left="328" w:right="20" w:hanging="328"/>
        <w:spacing w:after="0" w:line="286" w:lineRule="auto"/>
        <w:tabs>
          <w:tab w:leader="none" w:pos="474" w:val="left"/>
        </w:tabs>
        <w:numPr>
          <w:ilvl w:val="0"/>
          <w:numId w:val="69"/>
        </w:numPr>
        <w:rPr>
          <w:rFonts w:ascii="Arial" w:cs="Arial" w:eastAsia="Arial" w:hAnsi="Arial"/>
          <w:sz w:val="20"/>
          <w:szCs w:val="20"/>
          <w:color w:val="auto"/>
        </w:rPr>
      </w:pPr>
      <w:r>
        <w:rPr>
          <w:rFonts w:ascii="Arial" w:cs="Arial" w:eastAsia="Arial" w:hAnsi="Arial"/>
          <w:sz w:val="20"/>
          <w:szCs w:val="20"/>
          <w:color w:val="auto"/>
        </w:rPr>
        <w:t>If the Director is appointed 60 days or less prior to the Annual Stockholders Meeting, an annual equity grant will be made in accordance with Section III(B) below in lieu of any equity grant under this Section III(A).</w:t>
      </w:r>
    </w:p>
    <w:p>
      <w:pPr>
        <w:spacing w:after="0" w:line="152" w:lineRule="exact"/>
        <w:rPr>
          <w:sz w:val="20"/>
          <w:szCs w:val="20"/>
          <w:color w:val="auto"/>
        </w:rPr>
      </w:pPr>
    </w:p>
    <w:p>
      <w:pPr>
        <w:ind w:left="408" w:hanging="408"/>
        <w:spacing w:after="0"/>
        <w:tabs>
          <w:tab w:leader="none" w:pos="408"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Annual Director Equity Award</w:t>
      </w:r>
    </w:p>
    <w:p>
      <w:pPr>
        <w:spacing w:after="0" w:line="243" w:lineRule="exact"/>
        <w:rPr>
          <w:sz w:val="20"/>
          <w:szCs w:val="20"/>
          <w:color w:val="auto"/>
        </w:rPr>
      </w:pPr>
    </w:p>
    <w:p>
      <w:pPr>
        <w:jc w:val="both"/>
        <w:ind w:left="8"/>
        <w:spacing w:after="0" w:line="276" w:lineRule="auto"/>
        <w:rPr>
          <w:sz w:val="20"/>
          <w:szCs w:val="20"/>
          <w:color w:val="auto"/>
        </w:rPr>
      </w:pPr>
      <w:r>
        <w:rPr>
          <w:rFonts w:ascii="Arial" w:cs="Arial" w:eastAsia="Arial" w:hAnsi="Arial"/>
          <w:sz w:val="20"/>
          <w:szCs w:val="20"/>
          <w:color w:val="auto"/>
        </w:rPr>
        <w:t>Unless otherwise provided by the Board, an annual RSU award (“</w:t>
      </w:r>
      <w:r>
        <w:rPr>
          <w:rFonts w:ascii="Arial" w:cs="Arial" w:eastAsia="Arial" w:hAnsi="Arial"/>
          <w:sz w:val="20"/>
          <w:szCs w:val="20"/>
          <w:b w:val="1"/>
          <w:bCs w:val="1"/>
          <w:color w:val="auto"/>
        </w:rPr>
        <w:t>Annual Award</w:t>
      </w:r>
      <w:r>
        <w:rPr>
          <w:rFonts w:ascii="Arial" w:cs="Arial" w:eastAsia="Arial" w:hAnsi="Arial"/>
          <w:sz w:val="20"/>
          <w:szCs w:val="20"/>
          <w:color w:val="auto"/>
        </w:rPr>
        <w:t>”) will be granted automatically under the Plan to each active Director on the first date of the Company’s next Window Period following the date of each Annual Stockholders Meeting (the “</w:t>
      </w:r>
      <w:r>
        <w:rPr>
          <w:rFonts w:ascii="Arial" w:cs="Arial" w:eastAsia="Arial" w:hAnsi="Arial"/>
          <w:sz w:val="20"/>
          <w:szCs w:val="20"/>
          <w:b w:val="1"/>
          <w:bCs w:val="1"/>
          <w:color w:val="auto"/>
        </w:rPr>
        <w:t>Grant Date</w:t>
      </w:r>
      <w:r>
        <w:rPr>
          <w:rFonts w:ascii="Arial" w:cs="Arial" w:eastAsia="Arial" w:hAnsi="Arial"/>
          <w:sz w:val="20"/>
          <w:szCs w:val="20"/>
          <w:color w:val="auto"/>
        </w:rPr>
        <w:t>”), with the following terms and conditions:</w:t>
      </w:r>
    </w:p>
    <w:p>
      <w:pPr>
        <w:spacing w:after="0" w:line="167" w:lineRule="exact"/>
        <w:rPr>
          <w:sz w:val="20"/>
          <w:szCs w:val="20"/>
          <w:color w:val="auto"/>
        </w:rPr>
      </w:pPr>
    </w:p>
    <w:p>
      <w:pPr>
        <w:ind w:left="328" w:hanging="328"/>
        <w:spacing w:after="0" w:line="286" w:lineRule="auto"/>
        <w:tabs>
          <w:tab w:leader="none" w:pos="419"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Annual Award will have a target grant value equal to the Maximum Value and the Board Chair Maximum Value for the Board Chair.</w:t>
      </w:r>
    </w:p>
    <w:p>
      <w:pPr>
        <w:spacing w:after="0" w:line="153" w:lineRule="exact"/>
        <w:rPr>
          <w:rFonts w:ascii="Arial" w:cs="Arial" w:eastAsia="Arial" w:hAnsi="Arial"/>
          <w:sz w:val="20"/>
          <w:szCs w:val="20"/>
          <w:color w:val="auto"/>
        </w:rPr>
      </w:pPr>
    </w:p>
    <w:p>
      <w:pPr>
        <w:ind w:left="328" w:hanging="328"/>
        <w:spacing w:after="0" w:line="300" w:lineRule="auto"/>
        <w:tabs>
          <w:tab w:leader="none" w:pos="433"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Annual Award will be converted into RSUs based on the prior 30 calendar days average closing stock price as of the Grant Date (rounded down to the next whole share).</w:t>
      </w:r>
    </w:p>
    <w:p>
      <w:pPr>
        <w:spacing w:after="0" w:line="140" w:lineRule="exact"/>
        <w:rPr>
          <w:rFonts w:ascii="Arial" w:cs="Arial" w:eastAsia="Arial" w:hAnsi="Arial"/>
          <w:sz w:val="20"/>
          <w:szCs w:val="20"/>
          <w:color w:val="auto"/>
        </w:rPr>
      </w:pPr>
    </w:p>
    <w:p>
      <w:pPr>
        <w:jc w:val="both"/>
        <w:ind w:left="328" w:hanging="328"/>
        <w:spacing w:after="0" w:line="269" w:lineRule="auto"/>
        <w:tabs>
          <w:tab w:leader="none" w:pos="445" w:val="left"/>
        </w:tabs>
        <w:numPr>
          <w:ilvl w:val="0"/>
          <w:numId w:val="71"/>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the applicable vesting date, 100% of the RSUs shall vest on the earliest of (i) the first anniversary of the Grant Date, or, if earlier, the date which is the business day immediately preceding the date of the next Annual Stockholders Meeting, (ii) the Director’s termination due to death or Disability or (iii) a Change in Control.</w:t>
      </w:r>
    </w:p>
    <w:p>
      <w:pPr>
        <w:spacing w:after="0" w:line="168" w:lineRule="exact"/>
        <w:rPr>
          <w:sz w:val="20"/>
          <w:szCs w:val="20"/>
          <w:color w:val="auto"/>
        </w:rPr>
      </w:pPr>
    </w:p>
    <w:p>
      <w:pPr>
        <w:ind w:left="408" w:hanging="408"/>
        <w:spacing w:after="0"/>
        <w:tabs>
          <w:tab w:leader="none" w:pos="408"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Maximum Value and Board Chair Maximum Value</w:t>
      </w:r>
    </w:p>
    <w:p>
      <w:pPr>
        <w:spacing w:after="0" w:line="245" w:lineRule="exact"/>
        <w:rPr>
          <w:sz w:val="20"/>
          <w:szCs w:val="20"/>
          <w:color w:val="auto"/>
        </w:rPr>
      </w:pPr>
    </w:p>
    <w:p>
      <w:pPr>
        <w:jc w:val="both"/>
        <w:ind w:left="8"/>
        <w:spacing w:after="0" w:line="265" w:lineRule="auto"/>
        <w:rPr>
          <w:sz w:val="20"/>
          <w:szCs w:val="20"/>
          <w:color w:val="auto"/>
        </w:rPr>
      </w:pPr>
      <w:r>
        <w:rPr>
          <w:rFonts w:ascii="Arial" w:cs="Arial" w:eastAsia="Arial" w:hAnsi="Arial"/>
          <w:sz w:val="20"/>
          <w:szCs w:val="20"/>
          <w:color w:val="auto"/>
        </w:rPr>
        <w:t>Unless otherwise provided by the Board, if the Maximum Value and/or the Board Chair Maximum Value is subsequently increased by the Board at any time before or after an equity award is granted for the fiscal year under Sections III(A) an III(B), then the increase in the Maximum Value and Board Chair Maximum Value (as applicable) will be prorated and a supplemental award will be granted under the Plan to each Director on either (i) the date of such increase (the “</w:t>
      </w:r>
      <w:r>
        <w:rPr>
          <w:rFonts w:ascii="Arial" w:cs="Arial" w:eastAsia="Arial" w:hAnsi="Arial"/>
          <w:sz w:val="20"/>
          <w:szCs w:val="20"/>
          <w:b w:val="1"/>
          <w:bCs w:val="1"/>
          <w:color w:val="auto"/>
        </w:rPr>
        <w:t>Increase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if such Increase Date occurs during a Window Period, or (ii) if such Increase Date does not occur during a Window</w:t>
      </w:r>
      <w:r>
        <w:rPr>
          <w:rFonts w:ascii="Arial" w:cs="Arial" w:eastAsia="Arial" w:hAnsi="Arial"/>
          <w:sz w:val="20"/>
          <w:szCs w:val="20"/>
          <w:b w:val="1"/>
          <w:bCs w:val="1"/>
          <w:color w:val="auto"/>
        </w:rPr>
        <w:t xml:space="preserve"> </w:t>
      </w:r>
      <w:r>
        <w:rPr>
          <w:rFonts w:ascii="Arial" w:cs="Arial" w:eastAsia="Arial" w:hAnsi="Arial"/>
          <w:sz w:val="20"/>
          <w:szCs w:val="20"/>
          <w:color w:val="auto"/>
        </w:rPr>
        <w:t>Period, then on the first date of the Company’s next Window Period (whichever date applies, the “</w:t>
      </w:r>
      <w:r>
        <w:rPr>
          <w:rFonts w:ascii="Arial" w:cs="Arial" w:eastAsia="Arial" w:hAnsi="Arial"/>
          <w:sz w:val="20"/>
          <w:szCs w:val="20"/>
          <w:b w:val="1"/>
          <w:bCs w:val="1"/>
          <w:color w:val="auto"/>
        </w:rPr>
        <w:t>Supplemental Grant</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908"/>
          </w:cols>
          <w:pgMar w:left="652"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328" w:hanging="328"/>
        <w:spacing w:after="0" w:line="264" w:lineRule="auto"/>
        <w:tabs>
          <w:tab w:leader="none" w:pos="45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new target grant value (“</w:t>
      </w:r>
      <w:r>
        <w:rPr>
          <w:rFonts w:ascii="Arial" w:cs="Arial" w:eastAsia="Arial" w:hAnsi="Arial"/>
          <w:sz w:val="20"/>
          <w:szCs w:val="20"/>
          <w:b w:val="1"/>
          <w:bCs w:val="1"/>
          <w:color w:val="auto"/>
        </w:rPr>
        <w:t>Increased Value</w:t>
      </w:r>
      <w:r>
        <w:rPr>
          <w:rFonts w:ascii="Arial" w:cs="Arial" w:eastAsia="Arial" w:hAnsi="Arial"/>
          <w:sz w:val="20"/>
          <w:szCs w:val="20"/>
          <w:color w:val="auto"/>
        </w:rPr>
        <w:t>”) will be calculated by subtracting the new Maximum Value and Board Chair Maximum Value (as applicable) from the prior annual Director equity award value and multiplying the difference by the product of the number of calendar days remaining between the date of such approved change and (a) the next Annual Stockholders Meeting, if scheduled, or (b) the date of the first anniversary of the last Annual Stockholders Meeting, if the next Annual Stockholders Meeting is not scheduled, divided by (x) the number of calendar days between the last and next scheduled Annual Stockholders Meeting, or (y) 365, if either the last or the next Annual Stockholders Meeting date does not exist.</w:t>
      </w:r>
    </w:p>
    <w:p>
      <w:pPr>
        <w:spacing w:after="0" w:line="188" w:lineRule="exact"/>
        <w:rPr>
          <w:rFonts w:ascii="Arial" w:cs="Arial" w:eastAsia="Arial" w:hAnsi="Arial"/>
          <w:sz w:val="20"/>
          <w:szCs w:val="20"/>
          <w:color w:val="auto"/>
        </w:rPr>
      </w:pPr>
    </w:p>
    <w:p>
      <w:pPr>
        <w:ind w:left="328" w:hanging="328"/>
        <w:spacing w:after="0" w:line="286" w:lineRule="auto"/>
        <w:tabs>
          <w:tab w:leader="none" w:pos="459"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Increased Value (as calculated directly above) will be converted into RSUs based on the prior 30 calendar days average closing stock price as of the Supplemental Grant Date (rounded down to the next whole share).</w:t>
      </w:r>
    </w:p>
    <w:p>
      <w:pPr>
        <w:spacing w:after="0" w:line="153" w:lineRule="exact"/>
        <w:rPr>
          <w:rFonts w:ascii="Arial" w:cs="Arial" w:eastAsia="Arial" w:hAnsi="Arial"/>
          <w:sz w:val="20"/>
          <w:szCs w:val="20"/>
          <w:color w:val="auto"/>
        </w:rPr>
      </w:pPr>
    </w:p>
    <w:p>
      <w:pPr>
        <w:jc w:val="both"/>
        <w:ind w:left="328" w:hanging="328"/>
        <w:spacing w:after="0" w:line="269" w:lineRule="auto"/>
        <w:tabs>
          <w:tab w:leader="none" w:pos="445" w:val="left"/>
        </w:tabs>
        <w:numPr>
          <w:ilvl w:val="0"/>
          <w:numId w:val="73"/>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the applicable vesting date, 100% of the RSUs shall vest on the earliest of (i) the first anniversary of the Supplemental Grant Date, or, if earlier, the date which is the business day immediately preceding the date of the next Annual Stockholders Meeting, (ii) the Director’s termination due to death or Disability or (iii) a Change in Control.</w:t>
      </w:r>
    </w:p>
    <w:p>
      <w:pPr>
        <w:spacing w:after="0" w:line="183" w:lineRule="exact"/>
        <w:rPr>
          <w:rFonts w:ascii="Arial" w:cs="Arial" w:eastAsia="Arial" w:hAnsi="Arial"/>
          <w:sz w:val="20"/>
          <w:szCs w:val="20"/>
          <w:color w:val="auto"/>
        </w:rPr>
      </w:pPr>
    </w:p>
    <w:p>
      <w:pPr>
        <w:jc w:val="both"/>
        <w:ind w:left="328" w:hanging="328"/>
        <w:spacing w:after="0" w:line="269" w:lineRule="auto"/>
        <w:tabs>
          <w:tab w:leader="none" w:pos="395"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the change to the Maximum Value and Board Chair Maximum Value (as applicable) is adopted 60 days or less prior to the Annual Stockholders Meeting, and an annual equity grant will be made at such meeting, no additional equity award grant will be made prior to such meeting to the Director.</w:t>
      </w:r>
    </w:p>
    <w:p>
      <w:pPr>
        <w:spacing w:after="0" w:line="183" w:lineRule="exact"/>
        <w:rPr>
          <w:sz w:val="20"/>
          <w:szCs w:val="20"/>
          <w:color w:val="auto"/>
        </w:rPr>
      </w:pPr>
    </w:p>
    <w:p>
      <w:pPr>
        <w:ind w:left="408" w:hanging="408"/>
        <w:spacing w:after="0"/>
        <w:tabs>
          <w:tab w:leader="none" w:pos="408"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Stock Ownership Guidelines</w:t>
      </w:r>
    </w:p>
    <w:p>
      <w:pPr>
        <w:spacing w:after="0" w:line="231" w:lineRule="exact"/>
        <w:rPr>
          <w:sz w:val="20"/>
          <w:szCs w:val="20"/>
          <w:color w:val="auto"/>
        </w:rPr>
      </w:pPr>
    </w:p>
    <w:p>
      <w:pPr>
        <w:ind w:left="8"/>
        <w:spacing w:after="0" w:line="286" w:lineRule="auto"/>
        <w:rPr>
          <w:sz w:val="20"/>
          <w:szCs w:val="20"/>
          <w:color w:val="auto"/>
        </w:rPr>
      </w:pPr>
      <w:r>
        <w:rPr>
          <w:rFonts w:ascii="Arial" w:cs="Arial" w:eastAsia="Arial" w:hAnsi="Arial"/>
          <w:sz w:val="20"/>
          <w:szCs w:val="20"/>
          <w:color w:val="auto"/>
        </w:rPr>
        <w:t>All equity awards will be made and remain subject to the requirements and limitations set forth in the Plan and the Company’s Stock Ownership Guidelines.</w:t>
      </w:r>
    </w:p>
    <w:p>
      <w:pPr>
        <w:spacing w:after="0" w:line="165" w:lineRule="exact"/>
        <w:rPr>
          <w:sz w:val="20"/>
          <w:szCs w:val="20"/>
          <w:color w:val="auto"/>
        </w:rPr>
      </w:pPr>
    </w:p>
    <w:p>
      <w:pPr>
        <w:ind w:left="408" w:hanging="408"/>
        <w:spacing w:after="0"/>
        <w:tabs>
          <w:tab w:leader="none" w:pos="408"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Expense Reimbursement</w:t>
      </w:r>
    </w:p>
    <w:p>
      <w:pPr>
        <w:spacing w:after="0" w:line="231" w:lineRule="exact"/>
        <w:rPr>
          <w:sz w:val="20"/>
          <w:szCs w:val="20"/>
          <w:color w:val="auto"/>
        </w:rPr>
      </w:pPr>
    </w:p>
    <w:p>
      <w:pPr>
        <w:jc w:val="both"/>
        <w:ind w:left="8"/>
        <w:spacing w:after="0" w:line="269" w:lineRule="auto"/>
        <w:rPr>
          <w:sz w:val="20"/>
          <w:szCs w:val="20"/>
          <w:color w:val="auto"/>
        </w:rPr>
      </w:pPr>
      <w:r>
        <w:rPr>
          <w:rFonts w:ascii="Arial" w:cs="Arial" w:eastAsia="Arial" w:hAnsi="Arial"/>
          <w:sz w:val="20"/>
          <w:szCs w:val="20"/>
          <w:color w:val="auto"/>
        </w:rPr>
        <w:t>Directors shall be reimbursed for reasonable and documented out-of-pocket travel and lodging expenses incurred in connection with attending Board and committee meetings or such other Board service to the Company in accordance with Company’s travel policies in effect from time to time. Each Director shall provide the Company with such receipts and other records related to such reimbursable expenses as the Company may reasonably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908"/>
          </w:cols>
          <w:pgMar w:left="652" w:top="1440" w:right="339" w:bottom="1440" w:gutter="0" w:footer="0" w:header="0"/>
        </w:sectPr>
      </w:pPr>
    </w:p>
    <w:bookmarkStart w:id="112" w:name="page113"/>
    <w:bookmarkEnd w:id="112"/>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This Insider Trading Policy (the “</w:t>
      </w:r>
      <w:r>
        <w:rPr>
          <w:rFonts w:ascii="Arial" w:cs="Arial" w:eastAsia="Arial" w:hAnsi="Arial"/>
          <w:sz w:val="20"/>
          <w:szCs w:val="20"/>
          <w:b w:val="1"/>
          <w:bCs w:val="1"/>
          <w:color w:val="auto"/>
        </w:rPr>
        <w:t>Policy</w:t>
      </w:r>
      <w:r>
        <w:rPr>
          <w:rFonts w:ascii="Arial" w:cs="Arial" w:eastAsia="Arial" w:hAnsi="Arial"/>
          <w:sz w:val="20"/>
          <w:szCs w:val="20"/>
          <w:color w:val="auto"/>
        </w:rPr>
        <w:t>”) contains the following sections:</w:t>
      </w:r>
    </w:p>
    <w:p>
      <w:pPr>
        <w:spacing w:after="0" w:line="24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9"/>
          <w:szCs w:val="19"/>
          <w:color w:val="auto"/>
        </w:rPr>
        <w:t>General</w:t>
      </w:r>
    </w:p>
    <w:p>
      <w:pPr>
        <w:spacing w:after="0" w:line="18"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9"/>
          <w:szCs w:val="19"/>
          <w:color w:val="auto"/>
        </w:rPr>
        <w:t>Definitions</w:t>
      </w:r>
    </w:p>
    <w:p>
      <w:pPr>
        <w:spacing w:after="0" w:line="1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19"/>
          <w:szCs w:val="19"/>
          <w:color w:val="auto"/>
        </w:rPr>
        <w:t>Statement of Policy</w:t>
      </w:r>
    </w:p>
    <w:p>
      <w:pPr>
        <w:spacing w:after="0"/>
        <w:tabs>
          <w:tab w:leader="none" w:pos="48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19"/>
          <w:szCs w:val="19"/>
          <w:color w:val="auto"/>
        </w:rPr>
        <w:t>Certain Exceptions</w:t>
      </w:r>
    </w:p>
    <w:p>
      <w:pPr>
        <w:spacing w:after="0" w:line="1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19"/>
          <w:szCs w:val="19"/>
          <w:color w:val="auto"/>
        </w:rPr>
        <w:t>Additional Restrictions and Procedures Applicable to Certain Insiders</w:t>
      </w:r>
    </w:p>
    <w:p>
      <w:pPr>
        <w:spacing w:after="0" w:line="1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19"/>
          <w:szCs w:val="19"/>
          <w:color w:val="auto"/>
        </w:rPr>
        <w:t>Prohibited Transactions for All Insiders</w:t>
      </w:r>
    </w:p>
    <w:p>
      <w:pPr>
        <w:spacing w:after="0"/>
        <w:tabs>
          <w:tab w:leader="none" w:pos="480" w:val="left"/>
        </w:tabs>
        <w:rPr>
          <w:sz w:val="20"/>
          <w:szCs w:val="20"/>
          <w:color w:val="auto"/>
        </w:rPr>
      </w:pPr>
      <w:r>
        <w:rPr>
          <w:rFonts w:ascii="Arial" w:cs="Arial" w:eastAsia="Arial" w:hAnsi="Arial"/>
          <w:sz w:val="20"/>
          <w:szCs w:val="20"/>
          <w:color w:val="auto"/>
        </w:rPr>
        <w:t>7.0</w:t>
      </w:r>
      <w:r>
        <w:rPr>
          <w:sz w:val="20"/>
          <w:szCs w:val="20"/>
          <w:color w:val="auto"/>
        </w:rPr>
        <w:tab/>
      </w:r>
      <w:r>
        <w:rPr>
          <w:rFonts w:ascii="Arial" w:cs="Arial" w:eastAsia="Arial" w:hAnsi="Arial"/>
          <w:sz w:val="19"/>
          <w:szCs w:val="19"/>
          <w:color w:val="auto"/>
        </w:rPr>
        <w:t>10b5-1 Plans</w:t>
      </w:r>
    </w:p>
    <w:p>
      <w:pPr>
        <w:spacing w:after="0" w:line="1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8.0</w:t>
      </w:r>
      <w:r>
        <w:rPr>
          <w:sz w:val="20"/>
          <w:szCs w:val="20"/>
          <w:color w:val="auto"/>
        </w:rPr>
        <w:tab/>
      </w:r>
      <w:r>
        <w:rPr>
          <w:rFonts w:ascii="Arial" w:cs="Arial" w:eastAsia="Arial" w:hAnsi="Arial"/>
          <w:sz w:val="19"/>
          <w:szCs w:val="19"/>
          <w:color w:val="auto"/>
        </w:rPr>
        <w:t>Potential Criminal and Civil Liability and/or Disciplinary Action</w:t>
      </w:r>
    </w:p>
    <w:p>
      <w:pPr>
        <w:spacing w:after="0"/>
        <w:tabs>
          <w:tab w:leader="none" w:pos="480" w:val="left"/>
        </w:tabs>
        <w:rPr>
          <w:sz w:val="20"/>
          <w:szCs w:val="20"/>
          <w:color w:val="auto"/>
        </w:rPr>
      </w:pPr>
      <w:r>
        <w:rPr>
          <w:rFonts w:ascii="Arial" w:cs="Arial" w:eastAsia="Arial" w:hAnsi="Arial"/>
          <w:sz w:val="20"/>
          <w:szCs w:val="20"/>
          <w:color w:val="auto"/>
        </w:rPr>
        <w:t>9.0</w:t>
      </w:r>
      <w:r>
        <w:rPr>
          <w:sz w:val="20"/>
          <w:szCs w:val="20"/>
          <w:color w:val="auto"/>
        </w:rPr>
        <w:tab/>
      </w:r>
      <w:r>
        <w:rPr>
          <w:rFonts w:ascii="Arial" w:cs="Arial" w:eastAsia="Arial" w:hAnsi="Arial"/>
          <w:sz w:val="19"/>
          <w:szCs w:val="19"/>
          <w:color w:val="auto"/>
        </w:rPr>
        <w:t>Broker Requirements for Section 16 Persons</w:t>
      </w:r>
    </w:p>
    <w:p>
      <w:pPr>
        <w:spacing w:after="0" w:line="1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19"/>
          <w:szCs w:val="19"/>
          <w:color w:val="auto"/>
        </w:rPr>
        <w:t>Confidentiality</w:t>
      </w:r>
    </w:p>
    <w:p>
      <w:pPr>
        <w:spacing w:after="0" w:line="1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color w:val="auto"/>
        </w:rPr>
        <w:t>Legal Effect of this Policy</w:t>
      </w:r>
    </w:p>
    <w:p>
      <w:pPr>
        <w:spacing w:after="0"/>
        <w:tabs>
          <w:tab w:leader="none" w:pos="5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color w:val="auto"/>
        </w:rPr>
        <w:t>Administration of this Policy</w:t>
      </w:r>
    </w:p>
    <w:p>
      <w:pPr>
        <w:spacing w:after="0" w:line="1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9"/>
          <w:szCs w:val="19"/>
          <w:color w:val="auto"/>
        </w:rPr>
        <w:t>Company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9"/>
          <w:szCs w:val="19"/>
          <w:b w:val="1"/>
          <w:bCs w:val="1"/>
          <w:color w:val="auto"/>
        </w:rPr>
        <w:t>General</w:t>
      </w:r>
    </w:p>
    <w:p>
      <w:pPr>
        <w:spacing w:after="0" w:line="189" w:lineRule="exact"/>
        <w:rPr>
          <w:sz w:val="20"/>
          <w:szCs w:val="20"/>
          <w:color w:val="auto"/>
        </w:rPr>
      </w:pPr>
    </w:p>
    <w:p>
      <w:pPr>
        <w:jc w:val="right"/>
        <w:spacing w:after="0" w:line="214" w:lineRule="auto"/>
        <w:rPr>
          <w:sz w:val="20"/>
          <w:szCs w:val="20"/>
          <w:color w:val="auto"/>
        </w:rPr>
      </w:pPr>
      <w:r>
        <w:rPr>
          <w:rFonts w:ascii="Arial" w:cs="Arial" w:eastAsia="Arial" w:hAnsi="Arial"/>
          <w:sz w:val="20"/>
          <w:szCs w:val="20"/>
          <w:color w:val="auto"/>
        </w:rPr>
        <w:t>1.1    Academy Sports and Outdoors, Inc. and its subsidiaries (collectively, the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Academy</w:t>
      </w:r>
      <w:r>
        <w:rPr>
          <w:rFonts w:ascii="Arial" w:cs="Arial" w:eastAsia="Arial" w:hAnsi="Arial"/>
          <w:sz w:val="20"/>
          <w:szCs w:val="20"/>
          <w:color w:val="auto"/>
        </w:rPr>
        <w:t>”), their directors, officers and employees, and any contractors or consultants who may have access to Material Non-Public Information</w:t>
      </w:r>
    </w:p>
    <w:p>
      <w:pPr>
        <w:ind w:left="660"/>
        <w:spacing w:after="0" w:line="212" w:lineRule="auto"/>
        <w:rPr>
          <w:sz w:val="20"/>
          <w:szCs w:val="20"/>
          <w:color w:val="auto"/>
        </w:rPr>
      </w:pPr>
      <w:r>
        <w:rPr>
          <w:rFonts w:ascii="Arial" w:cs="Arial" w:eastAsia="Arial" w:hAnsi="Arial"/>
          <w:sz w:val="20"/>
          <w:szCs w:val="20"/>
          <w:color w:val="auto"/>
        </w:rPr>
        <w:t>(each as defined below) whom the Company has notified as such (collectively, “</w:t>
      </w:r>
      <w:r>
        <w:rPr>
          <w:rFonts w:ascii="Arial" w:cs="Arial" w:eastAsia="Arial" w:hAnsi="Arial"/>
          <w:sz w:val="20"/>
          <w:szCs w:val="20"/>
          <w:b w:val="1"/>
          <w:bCs w:val="1"/>
          <w:color w:val="auto"/>
        </w:rPr>
        <w:t>Company Personnel</w:t>
      </w:r>
      <w:r>
        <w:rPr>
          <w:rFonts w:ascii="Arial" w:cs="Arial" w:eastAsia="Arial" w:hAnsi="Arial"/>
          <w:sz w:val="20"/>
          <w:szCs w:val="20"/>
          <w:color w:val="auto"/>
        </w:rPr>
        <w:t>”), “family</w:t>
      </w:r>
    </w:p>
    <w:p>
      <w:pPr>
        <w:spacing w:after="0" w:line="1" w:lineRule="exact"/>
        <w:rPr>
          <w:sz w:val="20"/>
          <w:szCs w:val="20"/>
          <w:color w:val="auto"/>
        </w:rPr>
      </w:pPr>
    </w:p>
    <w:p>
      <w:pPr>
        <w:jc w:val="both"/>
        <w:ind w:left="660"/>
        <w:spacing w:after="0" w:line="204" w:lineRule="auto"/>
        <w:rPr>
          <w:sz w:val="20"/>
          <w:szCs w:val="20"/>
          <w:color w:val="auto"/>
        </w:rPr>
      </w:pPr>
      <w:r>
        <w:rPr>
          <w:rFonts w:ascii="Arial" w:cs="Arial" w:eastAsia="Arial" w:hAnsi="Arial"/>
          <w:sz w:val="20"/>
          <w:szCs w:val="20"/>
          <w:color w:val="auto"/>
        </w:rPr>
        <w:t>members” (as defined below) of Company Personnel, and trusts, corporations and other entities controlled, influenced or managed by any such persons (“</w:t>
      </w:r>
      <w:r>
        <w:rPr>
          <w:rFonts w:ascii="Arial" w:cs="Arial" w:eastAsia="Arial" w:hAnsi="Arial"/>
          <w:sz w:val="20"/>
          <w:szCs w:val="20"/>
          <w:b w:val="1"/>
          <w:bCs w:val="1"/>
          <w:color w:val="auto"/>
        </w:rPr>
        <w:t>controlled entities</w:t>
      </w:r>
      <w:r>
        <w:rPr>
          <w:rFonts w:ascii="Arial" w:cs="Arial" w:eastAsia="Arial" w:hAnsi="Arial"/>
          <w:sz w:val="20"/>
          <w:szCs w:val="20"/>
          <w:color w:val="auto"/>
        </w:rPr>
        <w:t>,” and together with family members, “</w:t>
      </w:r>
      <w:r>
        <w:rPr>
          <w:rFonts w:ascii="Arial" w:cs="Arial" w:eastAsia="Arial" w:hAnsi="Arial"/>
          <w:sz w:val="20"/>
          <w:szCs w:val="20"/>
          <w:b w:val="1"/>
          <w:bCs w:val="1"/>
          <w:color w:val="auto"/>
        </w:rPr>
        <w:t>Related Persons</w:t>
      </w:r>
      <w:r>
        <w:rPr>
          <w:rFonts w:ascii="Arial" w:cs="Arial" w:eastAsia="Arial" w:hAnsi="Arial"/>
          <w:sz w:val="20"/>
          <w:szCs w:val="20"/>
          <w:color w:val="auto"/>
        </w:rPr>
        <w:t>”)</w:t>
      </w:r>
    </w:p>
    <w:p>
      <w:pPr>
        <w:spacing w:after="0" w:line="1" w:lineRule="exact"/>
        <w:rPr>
          <w:sz w:val="20"/>
          <w:szCs w:val="20"/>
          <w:color w:val="auto"/>
        </w:rPr>
      </w:pPr>
    </w:p>
    <w:p>
      <w:pPr>
        <w:ind w:left="660"/>
        <w:spacing w:after="0" w:line="232" w:lineRule="auto"/>
        <w:rPr>
          <w:sz w:val="20"/>
          <w:szCs w:val="20"/>
          <w:color w:val="auto"/>
        </w:rPr>
      </w:pPr>
      <w:r>
        <w:rPr>
          <w:rFonts w:ascii="Arial" w:cs="Arial" w:eastAsia="Arial" w:hAnsi="Arial"/>
          <w:sz w:val="20"/>
          <w:szCs w:val="20"/>
          <w:color w:val="auto"/>
        </w:rPr>
        <w:t>(collectively, “</w:t>
      </w:r>
      <w:r>
        <w:rPr>
          <w:rFonts w:ascii="Arial" w:cs="Arial" w:eastAsia="Arial" w:hAnsi="Arial"/>
          <w:sz w:val="20"/>
          <w:szCs w:val="20"/>
          <w:b w:val="1"/>
          <w:bCs w:val="1"/>
          <w:color w:val="auto"/>
        </w:rPr>
        <w:t>Insiders</w:t>
      </w:r>
      <w:r>
        <w:rPr>
          <w:rFonts w:ascii="Arial" w:cs="Arial" w:eastAsia="Arial" w:hAnsi="Arial"/>
          <w:sz w:val="20"/>
          <w:szCs w:val="20"/>
          <w:color w:val="auto"/>
        </w:rPr>
        <w:t>”) must, at all times, comply with the securities laws of the United States and all applicable jurisdictions.</w:t>
      </w:r>
    </w:p>
    <w:p>
      <w:pPr>
        <w:spacing w:after="0" w:line="145"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1.2    Federal securities laws prohibit insider trading. Simply stated, “insider trading” occurs when a person purchases, sells, or makes other transfers of company securities while in possession of Material Non-Public Information about such company</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or its securities, or when a person provides that information to others who then trade (an activity commonly known as “</w:t>
      </w:r>
      <w:r>
        <w:rPr>
          <w:rFonts w:ascii="Arial" w:cs="Arial" w:eastAsia="Arial" w:hAnsi="Arial"/>
          <w:sz w:val="20"/>
          <w:szCs w:val="20"/>
          <w:b w:val="1"/>
          <w:bCs w:val="1"/>
          <w:color w:val="auto"/>
        </w:rPr>
        <w:t>tipping</w:t>
      </w:r>
      <w:r>
        <w:rPr>
          <w:rFonts w:ascii="Arial" w:cs="Arial" w:eastAsia="Arial" w:hAnsi="Arial"/>
          <w:sz w:val="20"/>
          <w:szCs w:val="20"/>
          <w:color w:val="auto"/>
        </w:rPr>
        <w:t>”). In the normal course of business, Company Personnel may come into possession of Material Non-Public</w:t>
      </w:r>
    </w:p>
    <w:p>
      <w:pPr>
        <w:ind w:left="660"/>
        <w:spacing w:after="0" w:line="223" w:lineRule="auto"/>
        <w:rPr>
          <w:sz w:val="20"/>
          <w:szCs w:val="20"/>
          <w:color w:val="auto"/>
        </w:rPr>
      </w:pPr>
      <w:r>
        <w:rPr>
          <w:rFonts w:ascii="Arial" w:cs="Arial" w:eastAsia="Arial" w:hAnsi="Arial"/>
          <w:sz w:val="19"/>
          <w:szCs w:val="19"/>
          <w:color w:val="auto"/>
        </w:rPr>
        <w:t>Information concerning the Company or Business Partners (as defined below). Therefore, the Company has established</w:t>
      </w:r>
    </w:p>
    <w:p>
      <w:pPr>
        <w:ind w:left="660"/>
        <w:spacing w:after="0" w:line="215" w:lineRule="auto"/>
        <w:rPr>
          <w:sz w:val="20"/>
          <w:szCs w:val="20"/>
          <w:color w:val="auto"/>
        </w:rPr>
      </w:pPr>
      <w:r>
        <w:rPr>
          <w:rFonts w:ascii="Arial" w:cs="Arial" w:eastAsia="Arial" w:hAnsi="Arial"/>
          <w:sz w:val="19"/>
          <w:szCs w:val="19"/>
          <w:color w:val="auto"/>
        </w:rPr>
        <w:t>this Policy with respect to trading in its securities and securities of Business Partners and the disclosure or use of Material Non-Public Information regarding the Company and its Business Partners. Anyone violating insider trading laws</w:t>
      </w:r>
    </w:p>
    <w:p>
      <w:pPr>
        <w:ind w:left="660"/>
        <w:spacing w:after="0" w:line="232" w:lineRule="auto"/>
        <w:rPr>
          <w:sz w:val="20"/>
          <w:szCs w:val="20"/>
          <w:color w:val="auto"/>
        </w:rPr>
      </w:pPr>
      <w:r>
        <w:rPr>
          <w:rFonts w:ascii="Arial" w:cs="Arial" w:eastAsia="Arial" w:hAnsi="Arial"/>
          <w:sz w:val="20"/>
          <w:szCs w:val="20"/>
          <w:color w:val="auto"/>
        </w:rPr>
        <w:t>is subject to personal liability and could face civil fines and/or criminal penalties, including a term of incarceration. See Section 8.0.</w:t>
      </w:r>
    </w:p>
    <w:p>
      <w:pPr>
        <w:spacing w:after="0" w:line="145"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1.3    In addition to complying with the law, Insiders must exercise judgment to also avoid even the appearance of impropriety. Because the penalties for insider trading (including tipping) can be severe, both for individuals involved in unlawful</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conduct and their employers and supervisors, compliance with this Policy by Insiders is absolutely mandatory. Any violation of this Policy could subject you to disciplinary action, up to and including termination. See Section 8.0</w:t>
      </w:r>
    </w:p>
    <w:p>
      <w:pPr>
        <w:spacing w:after="0" w:line="158" w:lineRule="exact"/>
        <w:rPr>
          <w:sz w:val="20"/>
          <w:szCs w:val="20"/>
          <w:color w:val="auto"/>
        </w:rPr>
      </w:pPr>
    </w:p>
    <w:p>
      <w:pPr>
        <w:ind w:left="640" w:hanging="647"/>
        <w:spacing w:after="0" w:line="243" w:lineRule="auto"/>
        <w:tabs>
          <w:tab w:leader="none" w:pos="6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This Policy is intended to protect Insiders and the Company from insider trading violations. However, the matters set forth in this Policy are not intended to replace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3" w:name="page114"/>
    <w:bookmarkEnd w:id="113"/>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right="20"/>
        <w:spacing w:after="0" w:line="231" w:lineRule="auto"/>
        <w:rPr>
          <w:sz w:val="20"/>
          <w:szCs w:val="20"/>
          <w:color w:val="auto"/>
        </w:rPr>
      </w:pPr>
      <w:r>
        <w:rPr>
          <w:rFonts w:ascii="Arial" w:cs="Arial" w:eastAsia="Arial" w:hAnsi="Arial"/>
          <w:sz w:val="20"/>
          <w:szCs w:val="20"/>
          <w:color w:val="auto"/>
        </w:rPr>
        <w:t>responsibility to understand and comply with the legal prohibition on insider trading. Appropriate judgment should be exercised in connection with all securities trading. If you have specific questions regarding this Policy or applicable law, please contact the Legal Department.</w:t>
      </w:r>
    </w:p>
    <w:p>
      <w:pPr>
        <w:spacing w:after="0" w:line="146" w:lineRule="exact"/>
        <w:rPr>
          <w:sz w:val="20"/>
          <w:szCs w:val="20"/>
          <w:color w:val="auto"/>
        </w:rPr>
      </w:pPr>
    </w:p>
    <w:p>
      <w:pPr>
        <w:ind w:left="640" w:hanging="647"/>
        <w:spacing w:after="0" w:line="243" w:lineRule="auto"/>
        <w:tabs>
          <w:tab w:leader="none" w:pos="6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Academy reserves the right to amend or modify this Policy from time to time, upon approval of Academy’s Board of Directors.</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9"/>
          <w:szCs w:val="19"/>
          <w:b w:val="1"/>
          <w:bCs w:val="1"/>
          <w:color w:val="auto"/>
        </w:rPr>
        <w:t>Definitions</w:t>
      </w:r>
    </w:p>
    <w:p>
      <w:pPr>
        <w:spacing w:after="0" w:line="177"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Family Members</w:t>
      </w:r>
      <w:r>
        <w:rPr>
          <w:rFonts w:ascii="Arial" w:cs="Arial" w:eastAsia="Arial" w:hAnsi="Arial"/>
          <w:sz w:val="20"/>
          <w:szCs w:val="20"/>
          <w:color w:val="auto"/>
        </w:rPr>
        <w:t>. For purposes of this Policy, the term “family members” includes family members who reside with you, anyone else who lives in your household and any family members who do not live in your household but whose</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transactions in the Company’s securities are directed by you or are subject to your influence or control. Company Personnel are responsible for the transactions of their family members and therefore should make them aware of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need to confer with them before they trade in the Company’s securities.</w:t>
      </w:r>
    </w:p>
    <w:p>
      <w:pPr>
        <w:spacing w:after="0" w:line="171" w:lineRule="exact"/>
        <w:rPr>
          <w:sz w:val="20"/>
          <w:szCs w:val="20"/>
          <w:color w:val="auto"/>
        </w:rPr>
      </w:pPr>
    </w:p>
    <w:p>
      <w:pPr>
        <w:jc w:val="right"/>
        <w:ind w:right="20"/>
        <w:spacing w:after="0" w:line="213"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Material</w:t>
      </w:r>
      <w:r>
        <w:rPr>
          <w:rFonts w:ascii="Arial" w:cs="Arial" w:eastAsia="Arial" w:hAnsi="Arial"/>
          <w:sz w:val="20"/>
          <w:szCs w:val="20"/>
          <w:color w:val="auto"/>
        </w:rPr>
        <w:t>. Information is generally considered “material” if a reasonable investor would consider it important in deciding whether to buy, sell or hold a security. The information may concern the Company or another company and may be</w:t>
      </w:r>
    </w:p>
    <w:p>
      <w:pPr>
        <w:ind w:left="660"/>
        <w:spacing w:after="0" w:line="212" w:lineRule="auto"/>
        <w:rPr>
          <w:sz w:val="20"/>
          <w:szCs w:val="20"/>
          <w:color w:val="auto"/>
        </w:rPr>
      </w:pPr>
      <w:r>
        <w:rPr>
          <w:rFonts w:ascii="Arial" w:cs="Arial" w:eastAsia="Arial" w:hAnsi="Arial"/>
          <w:sz w:val="20"/>
          <w:szCs w:val="20"/>
          <w:color w:val="auto"/>
        </w:rPr>
        <w:t>positive or negative. Information that something is likely to happen or even just that it may happen can be material. In</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addition, it should be emphasized that material information does not have to relate to a company’s business; information about the contents of a forthcoming publication in the financial press that is expected to affect the market price of a</w:t>
      </w:r>
    </w:p>
    <w:p>
      <w:pPr>
        <w:ind w:left="660"/>
        <w:spacing w:after="0" w:line="232" w:lineRule="auto"/>
        <w:rPr>
          <w:sz w:val="20"/>
          <w:szCs w:val="20"/>
          <w:color w:val="auto"/>
        </w:rPr>
      </w:pPr>
      <w:r>
        <w:rPr>
          <w:rFonts w:ascii="Arial" w:cs="Arial" w:eastAsia="Arial" w:hAnsi="Arial"/>
          <w:sz w:val="20"/>
          <w:szCs w:val="20"/>
          <w:color w:val="auto"/>
        </w:rPr>
        <w:t>security could well be material. Insiders should assume that information that would affect their consideration of whether to trade, or which might tend to influence the price of the security, is material.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Examples of material information may include, but are not limited to:</w:t>
      </w:r>
    </w:p>
    <w:p>
      <w:pPr>
        <w:spacing w:after="0" w:line="216" w:lineRule="exact"/>
        <w:rPr>
          <w:sz w:val="20"/>
          <w:szCs w:val="20"/>
          <w:color w:val="auto"/>
        </w:rPr>
      </w:pPr>
    </w:p>
    <w:p>
      <w:pPr>
        <w:ind w:left="1940" w:hanging="312"/>
        <w:spacing w:after="0"/>
        <w:tabs>
          <w:tab w:leader="none" w:pos="19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quarterly or annual results;</w:t>
      </w:r>
    </w:p>
    <w:p>
      <w:pPr>
        <w:spacing w:after="0" w:line="187" w:lineRule="exact"/>
        <w:rPr>
          <w:rFonts w:ascii="Times New Roman" w:cs="Times New Roman" w:eastAsia="Times New Roman" w:hAnsi="Times New Roman"/>
          <w:sz w:val="20"/>
          <w:szCs w:val="20"/>
          <w:color w:val="auto"/>
        </w:rPr>
      </w:pPr>
    </w:p>
    <w:p>
      <w:pPr>
        <w:ind w:left="1960" w:hanging="332"/>
        <w:spacing w:after="0" w:line="234" w:lineRule="auto"/>
        <w:tabs>
          <w:tab w:leader="none" w:pos="1948"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guidance on earnings estimates and changing or confirming such guidance on a later date or other projections of future performance;</w:t>
      </w:r>
    </w:p>
    <w:p>
      <w:pPr>
        <w:spacing w:after="0" w:line="158"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mergers, acquisitions, tender offers, joint ventures, or changes in assets;</w:t>
      </w:r>
    </w:p>
    <w:p>
      <w:pPr>
        <w:spacing w:after="0" w:line="174"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products, services, or technologies;</w:t>
      </w:r>
    </w:p>
    <w:p>
      <w:pPr>
        <w:spacing w:after="0" w:line="18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the Company’s material intellectual property;</w:t>
      </w:r>
    </w:p>
    <w:p>
      <w:pPr>
        <w:spacing w:after="0" w:line="187" w:lineRule="exact"/>
        <w:rPr>
          <w:rFonts w:ascii="Times New Roman" w:cs="Times New Roman" w:eastAsia="Times New Roman" w:hAnsi="Times New Roman"/>
          <w:sz w:val="20"/>
          <w:szCs w:val="20"/>
          <w:color w:val="auto"/>
        </w:rPr>
      </w:pPr>
    </w:p>
    <w:p>
      <w:pPr>
        <w:ind w:left="1960" w:hanging="332"/>
        <w:spacing w:after="0" w:line="234" w:lineRule="auto"/>
        <w:tabs>
          <w:tab w:leader="none" w:pos="1948"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customers, vendors, partners, or suppliers, including the acquisition or loss of an important contract;</w:t>
      </w:r>
    </w:p>
    <w:p>
      <w:pPr>
        <w:spacing w:after="0" w:line="158"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control or in management or the board of directors;</w:t>
      </w:r>
    </w:p>
    <w:p>
      <w:pPr>
        <w:spacing w:after="0" w:line="18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compensation policy;</w:t>
      </w:r>
    </w:p>
    <w:p>
      <w:pPr>
        <w:spacing w:after="0" w:line="174" w:lineRule="exact"/>
        <w:rPr>
          <w:rFonts w:ascii="Times New Roman" w:cs="Times New Roman" w:eastAsia="Times New Roman" w:hAnsi="Times New Roman"/>
          <w:sz w:val="20"/>
          <w:szCs w:val="20"/>
          <w:color w:val="auto"/>
        </w:rPr>
      </w:pPr>
    </w:p>
    <w:p>
      <w:pPr>
        <w:ind w:left="1960" w:hanging="332"/>
        <w:spacing w:after="0" w:line="242" w:lineRule="auto"/>
        <w:tabs>
          <w:tab w:leader="none" w:pos="1948"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or disputes with the Company’s independent registered public accounting firm or notification that the Company may no longer rely on such firm’s report;</w:t>
      </w:r>
    </w:p>
    <w:p>
      <w:pPr>
        <w:spacing w:after="0" w:line="156" w:lineRule="exact"/>
        <w:rPr>
          <w:rFonts w:ascii="Times New Roman" w:cs="Times New Roman" w:eastAsia="Times New Roman" w:hAnsi="Times New Roman"/>
          <w:sz w:val="20"/>
          <w:szCs w:val="20"/>
          <w:color w:val="auto"/>
        </w:rPr>
      </w:pPr>
    </w:p>
    <w:p>
      <w:pPr>
        <w:jc w:val="both"/>
        <w:ind w:left="1960" w:hanging="332"/>
        <w:spacing w:after="0" w:line="226" w:lineRule="auto"/>
        <w:tabs>
          <w:tab w:leader="none" w:pos="1948"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0"/>
          <w:szCs w:val="20"/>
          <w:color w:val="auto"/>
        </w:rPr>
        <w:t>financings, borrowings, and other events involving the Company’s debt instruments and securities (e.g., defaults on loans or debt securities, calls of securities for redemption, refinancings, amendments,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4" w:name="page115"/>
    <w:bookmarkEnd w:id="114"/>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3">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60"/>
        <w:spacing w:after="0" w:line="243" w:lineRule="auto"/>
        <w:rPr>
          <w:sz w:val="20"/>
          <w:szCs w:val="20"/>
          <w:color w:val="auto"/>
        </w:rPr>
      </w:pPr>
      <w:r>
        <w:rPr>
          <w:rFonts w:ascii="Arial" w:cs="Arial" w:eastAsia="Arial" w:hAnsi="Arial"/>
          <w:sz w:val="20"/>
          <w:szCs w:val="20"/>
          <w:color w:val="auto"/>
        </w:rPr>
        <w:t>plans, stock splits, public or private sales of securities, changes in dividends and changes to the rights of security holders or secondary offerings);</w:t>
      </w:r>
    </w:p>
    <w:p>
      <w:pPr>
        <w:spacing w:after="0" w:line="155" w:lineRule="exact"/>
        <w:rPr>
          <w:sz w:val="20"/>
          <w:szCs w:val="20"/>
          <w:color w:val="auto"/>
        </w:rPr>
      </w:pPr>
    </w:p>
    <w:p>
      <w:pPr>
        <w:ind w:left="1940" w:hanging="312"/>
        <w:spacing w:after="0"/>
        <w:tabs>
          <w:tab w:leader="none" w:pos="1940"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debt or equity ratings;</w:t>
      </w:r>
    </w:p>
    <w:p>
      <w:pPr>
        <w:spacing w:after="0" w:line="174"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write-offs;</w:t>
      </w:r>
    </w:p>
    <w:p>
      <w:pPr>
        <w:spacing w:after="0" w:line="187" w:lineRule="exact"/>
        <w:rPr>
          <w:rFonts w:ascii="Times New Roman" w:cs="Times New Roman" w:eastAsia="Times New Roman" w:hAnsi="Times New Roman"/>
          <w:sz w:val="20"/>
          <w:szCs w:val="20"/>
          <w:color w:val="auto"/>
        </w:rPr>
      </w:pPr>
    </w:p>
    <w:p>
      <w:pPr>
        <w:ind w:left="1960" w:hanging="332"/>
        <w:spacing w:after="0" w:line="242" w:lineRule="auto"/>
        <w:tabs>
          <w:tab w:leader="none" w:pos="194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pending or threatened litigation or governmental investigations or significant developments with respect to litigation or governmental investigations;</w:t>
      </w:r>
    </w:p>
    <w:p>
      <w:pPr>
        <w:spacing w:after="0" w:line="142"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cybersecurity events or incidents; and</w:t>
      </w:r>
    </w:p>
    <w:p>
      <w:pPr>
        <w:spacing w:after="0" w:line="18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regarding liquidity, bankruptcy, corporate restructuring, or receivership.</w:t>
      </w:r>
    </w:p>
    <w:p>
      <w:pPr>
        <w:spacing w:after="0" w:line="201"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If you are unsure whether information is material, you should either consult the Legal Department before making any decision to disclose such information or to trade in securities to which that information relates or you should assume that the information is material and not trade. You should keep in mind that the U.S. Securities and Exchange Commission (“</w:t>
      </w:r>
      <w:r>
        <w:rPr>
          <w:rFonts w:ascii="Arial" w:cs="Arial" w:eastAsia="Arial" w:hAnsi="Arial"/>
          <w:sz w:val="20"/>
          <w:szCs w:val="20"/>
          <w:b w:val="1"/>
          <w:bCs w:val="1"/>
          <w:color w:val="auto"/>
        </w:rPr>
        <w:t>SEC</w:t>
      </w:r>
      <w:r>
        <w:rPr>
          <w:rFonts w:ascii="Arial" w:cs="Arial" w:eastAsia="Arial" w:hAnsi="Arial"/>
          <w:sz w:val="20"/>
          <w:szCs w:val="20"/>
          <w:color w:val="auto"/>
        </w:rPr>
        <w:t>”) rules and regulations provide that the mere fact that a person is aware of the information is a bar to trading. It is no excuse that such person’s reasons for trading were not based on the information.</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Non-Public Information</w:t>
      </w:r>
      <w:r>
        <w:rPr>
          <w:rFonts w:ascii="Arial" w:cs="Arial" w:eastAsia="Arial" w:hAnsi="Arial"/>
          <w:sz w:val="19"/>
          <w:szCs w:val="19"/>
          <w:color w:val="auto"/>
        </w:rPr>
        <w:t>. For the purpose of this Policy, information is “Non-Public” until three criteria have been satisfied:</w:t>
      </w:r>
    </w:p>
    <w:p>
      <w:pPr>
        <w:spacing w:after="0" w:line="189"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 xml:space="preserve">First, the information must have been widely disseminated in a manner designed to reach investors generally. Generally, Insiders should assume that information has NOT been widely disseminated unless </w:t>
      </w:r>
      <w:r>
        <w:rPr>
          <w:rFonts w:ascii="Arial" w:cs="Arial" w:eastAsia="Arial" w:hAnsi="Arial"/>
          <w:sz w:val="20"/>
          <w:szCs w:val="20"/>
          <w:u w:val="single" w:color="auto"/>
          <w:color w:val="auto"/>
        </w:rPr>
        <w:t>one or more</w:t>
      </w:r>
      <w:r>
        <w:rPr>
          <w:rFonts w:ascii="Arial" w:cs="Arial" w:eastAsia="Arial" w:hAnsi="Arial"/>
          <w:sz w:val="20"/>
          <w:szCs w:val="20"/>
          <w:color w:val="auto"/>
        </w:rPr>
        <w:t xml:space="preserve"> of the following has occurred:</w:t>
      </w:r>
    </w:p>
    <w:p>
      <w:pPr>
        <w:spacing w:after="0" w:line="145" w:lineRule="exact"/>
        <w:rPr>
          <w:sz w:val="20"/>
          <w:szCs w:val="20"/>
          <w:color w:val="auto"/>
        </w:rPr>
      </w:pPr>
    </w:p>
    <w:p>
      <w:pPr>
        <w:jc w:val="both"/>
        <w:ind w:left="1300" w:hanging="320"/>
        <w:spacing w:after="0" w:line="222" w:lineRule="auto"/>
        <w:tabs>
          <w:tab w:leader="none" w:pos="1288"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it has appeared in a publicly available press release issued by the Company or other applicable company through a widely disseminated news or wire service or a publicly available filing made with the SEC or it has been released to the public by means of a widely disseminated statement from a senior officer in compliance with Regulation FD;</w:t>
      </w:r>
    </w:p>
    <w:p>
      <w:pPr>
        <w:spacing w:after="0" w:line="16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it has been carried by a national television news service; and/or</w:t>
      </w:r>
    </w:p>
    <w:p>
      <w:pPr>
        <w:spacing w:after="0" w:line="174" w:lineRule="exact"/>
        <w:rPr>
          <w:rFonts w:ascii="Times New Roman" w:cs="Times New Roman" w:eastAsia="Times New Roman" w:hAnsi="Times New Roman"/>
          <w:sz w:val="20"/>
          <w:szCs w:val="20"/>
          <w:color w:val="auto"/>
        </w:rPr>
      </w:pPr>
    </w:p>
    <w:p>
      <w:pPr>
        <w:ind w:left="1300" w:hanging="320"/>
        <w:spacing w:after="0" w:line="242" w:lineRule="auto"/>
        <w:tabs>
          <w:tab w:leader="none" w:pos="1288"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it has been carried in a national financial or general news service such as Reuters, Bloomberg, or the Associated Press.</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color w:val="auto"/>
        </w:rPr>
        <w:t>Second, the information disseminated must be some form of “official” announcement or disclosure. In other words, the fact that rumors, speculation, or statements attributed to unidentified sources are public and information made available to a select group of analysts or brokers or institutional investors are insufficient to be considered widely disseminated even when the information is accurate.</w:t>
      </w:r>
    </w:p>
    <w:p>
      <w:pPr>
        <w:spacing w:after="0" w:line="184"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Third, after the information has been disseminated, a period of time must pass sufficient for the information to be absorbed by the general public. As a general rule, for purposes of this Policy, information should not be considered fully absorbed until at least two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5" w:name="page116"/>
    <w:bookmarkEnd w:id="115"/>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business days (defined below) have elapsed after the information is disseminated in a national news medium or disclosed in a filing with the SEC. The term “</w:t>
      </w:r>
      <w:r>
        <w:rPr>
          <w:rFonts w:ascii="Arial" w:cs="Arial" w:eastAsia="Arial" w:hAnsi="Arial"/>
          <w:sz w:val="20"/>
          <w:szCs w:val="20"/>
          <w:b w:val="1"/>
          <w:bCs w:val="1"/>
          <w:color w:val="auto"/>
        </w:rPr>
        <w:t>business day</w:t>
      </w:r>
      <w:r>
        <w:rPr>
          <w:rFonts w:ascii="Arial" w:cs="Arial" w:eastAsia="Arial" w:hAnsi="Arial"/>
          <w:sz w:val="20"/>
          <w:szCs w:val="20"/>
          <w:color w:val="auto"/>
        </w:rPr>
        <w:t>” has the meaning ascribed to such term in Section 19(b)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Rule 19b-4 thereunder, refers to a day other than a Saturday, Sunday, Federal holiday, a day that the U.S. Office of Personnel Management has announced that Federal agencies in the Washington, D.C. area are closed to the public, a day on which the SEC is subject to a Federal government shutdown, or a day on which the SEC’s Washington, D.C. office is otherwise not open for regular business.</w:t>
      </w:r>
    </w:p>
    <w:p>
      <w:pPr>
        <w:spacing w:after="0" w:line="186"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As with questions of materiality, if you are not sure whether information is considered public, you should either consult with the Legal Department or assume that the information is Non-Public and treat it as confidential.</w:t>
      </w:r>
    </w:p>
    <w:p>
      <w:pPr>
        <w:spacing w:after="0" w:line="156" w:lineRule="exact"/>
        <w:rPr>
          <w:sz w:val="20"/>
          <w:szCs w:val="20"/>
          <w:color w:val="auto"/>
        </w:rPr>
      </w:pPr>
    </w:p>
    <w:p>
      <w:pPr>
        <w:ind w:left="640" w:hanging="647"/>
        <w:spacing w:after="0" w:line="234" w:lineRule="auto"/>
        <w:tabs>
          <w:tab w:leader="none" w:pos="6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u w:val="single" w:color="auto"/>
          <w:color w:val="auto"/>
        </w:rPr>
        <w:t>Section 16 Persons</w:t>
      </w:r>
      <w:r>
        <w:rPr>
          <w:rFonts w:ascii="Arial" w:cs="Arial" w:eastAsia="Arial" w:hAnsi="Arial"/>
          <w:sz w:val="20"/>
          <w:szCs w:val="20"/>
          <w:color w:val="auto"/>
        </w:rPr>
        <w:t>. The term “Section 16 Persons” means the directors and officers (as defined in Rule 16a-1 under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Exchange Act) of Academy Sports and Outdoors, Inc.</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Security or Securities</w:t>
      </w:r>
      <w:r>
        <w:rPr>
          <w:rFonts w:ascii="Arial" w:cs="Arial" w:eastAsia="Arial" w:hAnsi="Arial"/>
          <w:sz w:val="19"/>
          <w:szCs w:val="19"/>
          <w:color w:val="auto"/>
        </w:rPr>
        <w:t>. The term “security” or “securities” is defined very broadly by the securities laws and includes stock</w:t>
      </w:r>
    </w:p>
    <w:p>
      <w:pPr>
        <w:ind w:left="660"/>
        <w:spacing w:after="0" w:line="204" w:lineRule="auto"/>
        <w:rPr>
          <w:sz w:val="20"/>
          <w:szCs w:val="20"/>
          <w:color w:val="auto"/>
        </w:rPr>
      </w:pPr>
      <w:r>
        <w:rPr>
          <w:rFonts w:ascii="Arial" w:cs="Arial" w:eastAsia="Arial" w:hAnsi="Arial"/>
          <w:sz w:val="20"/>
          <w:szCs w:val="20"/>
          <w:color w:val="auto"/>
        </w:rPr>
        <w:t>(common and preferred, including any stock acquired upon exercise or settlement of equity awards pursuant to Academy’s stock plans), stock options, warrants, bonds, notes, debentures, convertible instruments, put or call options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(i.e., exchange-traded options), or other similar instruments.</w:t>
      </w:r>
    </w:p>
    <w:p>
      <w:pPr>
        <w:spacing w:after="0" w:line="171"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Trade or Trading</w:t>
      </w:r>
      <w:r>
        <w:rPr>
          <w:rFonts w:ascii="Arial" w:cs="Arial" w:eastAsia="Arial" w:hAnsi="Arial"/>
          <w:sz w:val="20"/>
          <w:szCs w:val="20"/>
          <w:color w:val="auto"/>
        </w:rPr>
        <w:t>. The term “trade” or “trading” (i) means broadly any purchase, sale or other transaction to acquire, transfer or dispose of securities, including, but not limited to, derivative exercises, gifts or other contributions, pledges,</w:t>
      </w:r>
    </w:p>
    <w:p>
      <w:pPr>
        <w:ind w:left="660"/>
        <w:spacing w:after="0" w:line="223" w:lineRule="auto"/>
        <w:rPr>
          <w:sz w:val="20"/>
          <w:szCs w:val="20"/>
          <w:color w:val="auto"/>
        </w:rPr>
      </w:pPr>
      <w:r>
        <w:rPr>
          <w:rFonts w:ascii="Arial" w:cs="Arial" w:eastAsia="Arial" w:hAnsi="Arial"/>
          <w:sz w:val="19"/>
          <w:szCs w:val="19"/>
          <w:color w:val="auto"/>
        </w:rPr>
        <w:t>exercises of stock options granted under the Company’s stock/equity plans, sales of stock acquired upon the exercise of</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options or settlement of other equity awards, and elections concerning Company securities in, and similar transactions made under an employee benefit plan such as a 401(k) plan or employee stock purchase plan (“</w:t>
      </w:r>
      <w:r>
        <w:rPr>
          <w:rFonts w:ascii="Arial" w:cs="Arial" w:eastAsia="Arial" w:hAnsi="Arial"/>
          <w:sz w:val="19"/>
          <w:szCs w:val="19"/>
          <w:b w:val="1"/>
          <w:bCs w:val="1"/>
          <w:color w:val="auto"/>
        </w:rPr>
        <w:t>ESPP</w:t>
      </w:r>
      <w:r>
        <w:rPr>
          <w:rFonts w:ascii="Arial" w:cs="Arial" w:eastAsia="Arial" w:hAnsi="Arial"/>
          <w:sz w:val="19"/>
          <w:szCs w:val="19"/>
          <w:color w:val="auto"/>
        </w:rPr>
        <w:t>”), but (ii) shall not</w:t>
      </w:r>
    </w:p>
    <w:p>
      <w:pPr>
        <w:ind w:left="660"/>
        <w:spacing w:after="0" w:line="211" w:lineRule="auto"/>
        <w:rPr>
          <w:sz w:val="20"/>
          <w:szCs w:val="20"/>
          <w:color w:val="auto"/>
        </w:rPr>
      </w:pPr>
      <w:r>
        <w:rPr>
          <w:rFonts w:ascii="Arial" w:cs="Arial" w:eastAsia="Arial" w:hAnsi="Arial"/>
          <w:sz w:val="20"/>
          <w:szCs w:val="20"/>
          <w:color w:val="auto"/>
        </w:rPr>
        <w:t>include the issuance of shares by the Company upon exercise, vesting or settlement, as applicable of stock options,</w:t>
      </w:r>
    </w:p>
    <w:p>
      <w:pPr>
        <w:ind w:left="660"/>
        <w:spacing w:after="0" w:line="215" w:lineRule="auto"/>
        <w:rPr>
          <w:sz w:val="20"/>
          <w:szCs w:val="20"/>
          <w:color w:val="auto"/>
        </w:rPr>
      </w:pPr>
      <w:r>
        <w:rPr>
          <w:rFonts w:ascii="Arial" w:cs="Arial" w:eastAsia="Arial" w:hAnsi="Arial"/>
          <w:sz w:val="19"/>
          <w:szCs w:val="19"/>
          <w:color w:val="auto"/>
        </w:rPr>
        <w:t>restricted stock or restricted stock units or other equity-based awards granted under the Company’s stock plans or net share settlement associated with such events (except exercise of options is subject to pre-clearance as discussed below</w:t>
      </w:r>
    </w:p>
    <w:p>
      <w:pPr>
        <w:ind w:left="660"/>
        <w:spacing w:after="0" w:line="232" w:lineRule="auto"/>
        <w:rPr>
          <w:sz w:val="20"/>
          <w:szCs w:val="20"/>
          <w:color w:val="auto"/>
        </w:rPr>
      </w:pPr>
      <w:r>
        <w:rPr>
          <w:rFonts w:ascii="Arial" w:cs="Arial" w:eastAsia="Arial" w:hAnsi="Arial"/>
          <w:sz w:val="20"/>
          <w:szCs w:val="20"/>
          <w:color w:val="auto"/>
        </w:rPr>
        <w:t>under Section 4.0) and other transactions set forth in Section 4.0 below to the extent they are subject to an exception from this Policy.</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19"/>
          <w:szCs w:val="19"/>
          <w:b w:val="1"/>
          <w:bCs w:val="1"/>
          <w:color w:val="auto"/>
        </w:rPr>
        <w:t>Statement of Policy</w:t>
      </w:r>
    </w:p>
    <w:p>
      <w:pPr>
        <w:spacing w:after="0" w:line="191" w:lineRule="exact"/>
        <w:rPr>
          <w:sz w:val="20"/>
          <w:szCs w:val="20"/>
          <w:color w:val="auto"/>
        </w:rPr>
      </w:pPr>
    </w:p>
    <w:p>
      <w:pPr>
        <w:ind w:left="640" w:hanging="647"/>
        <w:spacing w:after="0" w:line="243" w:lineRule="auto"/>
        <w:tabs>
          <w:tab w:leader="none" w:pos="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No Insider may trade the Company’s securities at any time when the Insider has Material Non-Public Information concerning the Company or its securities.</w:t>
      </w:r>
    </w:p>
    <w:p>
      <w:pPr>
        <w:spacing w:after="0" w:line="142"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3.2    No Insider may trade securities of another company with which the Company has a business relationship, such as customers, vendors, partners, or suppliers, or that is involved in a potential transaction or business relationship with the</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Company (such companies, “</w:t>
      </w:r>
      <w:r>
        <w:rPr>
          <w:rFonts w:ascii="Arial" w:cs="Arial" w:eastAsia="Arial" w:hAnsi="Arial"/>
          <w:sz w:val="20"/>
          <w:szCs w:val="20"/>
          <w:b w:val="1"/>
          <w:bCs w:val="1"/>
          <w:color w:val="auto"/>
        </w:rPr>
        <w:t>Business Partners</w:t>
      </w:r>
      <w:r>
        <w:rPr>
          <w:rFonts w:ascii="Arial" w:cs="Arial" w:eastAsia="Arial" w:hAnsi="Arial"/>
          <w:sz w:val="20"/>
          <w:szCs w:val="20"/>
          <w:color w:val="auto"/>
        </w:rPr>
        <w:t>”) at any time when the Insider has Material Non-Public Information about that company or its securities that was obtained as a result of the Insider’s employment or relationship with the</w:t>
      </w:r>
    </w:p>
    <w:p>
      <w:pPr>
        <w:ind w:left="660"/>
        <w:spacing w:after="0" w:line="211" w:lineRule="auto"/>
        <w:rPr>
          <w:sz w:val="20"/>
          <w:szCs w:val="20"/>
          <w:color w:val="auto"/>
        </w:rPr>
      </w:pPr>
      <w:r>
        <w:rPr>
          <w:rFonts w:ascii="Arial" w:cs="Arial" w:eastAsia="Arial" w:hAnsi="Arial"/>
          <w:sz w:val="20"/>
          <w:szCs w:val="20"/>
          <w:color w:val="auto"/>
        </w:rPr>
        <w:t>Company. Furthermore, Insiders should understand that in certain situations, U.S. or other securities laws may also</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prohibit trading (or recommending or suggesting that anyone else trade) in the securities of any other company while the person has Material Non-Public Information obtained in the course of the person’s employment or service with the</w:t>
      </w:r>
    </w:p>
    <w:p>
      <w:pPr>
        <w:spacing w:after="0" w:line="1" w:lineRule="exact"/>
        <w:rPr>
          <w:sz w:val="20"/>
          <w:szCs w:val="20"/>
          <w:color w:val="auto"/>
        </w:rPr>
      </w:pPr>
    </w:p>
    <w:p>
      <w:pPr>
        <w:ind w:left="660" w:right="20"/>
        <w:spacing w:after="0" w:line="232" w:lineRule="auto"/>
        <w:rPr>
          <w:sz w:val="20"/>
          <w:szCs w:val="20"/>
          <w:color w:val="auto"/>
        </w:rPr>
      </w:pPr>
      <w:r>
        <w:rPr>
          <w:rFonts w:ascii="Arial" w:cs="Arial" w:eastAsia="Arial" w:hAnsi="Arial"/>
          <w:sz w:val="20"/>
          <w:szCs w:val="20"/>
          <w:color w:val="auto"/>
        </w:rPr>
        <w:t>Company, even if not directly about the other company, could materially affect the market price for securities of that 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6" w:name="page117"/>
    <w:bookmarkEnd w:id="116"/>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3.3    No Insider may disclose, or tip Material Non-Public Information to any other person (including family members), and no Insider may make trading recommendations based on Material Non-Public Information. In addition, Insiders should take</w:t>
      </w:r>
    </w:p>
    <w:p>
      <w:pPr>
        <w:spacing w:after="0" w:line="1" w:lineRule="exact"/>
        <w:rPr>
          <w:sz w:val="20"/>
          <w:szCs w:val="20"/>
          <w:color w:val="auto"/>
        </w:rPr>
      </w:pPr>
    </w:p>
    <w:p>
      <w:pPr>
        <w:ind w:left="660" w:right="20"/>
        <w:spacing w:after="0" w:line="225" w:lineRule="auto"/>
        <w:rPr>
          <w:sz w:val="20"/>
          <w:szCs w:val="20"/>
          <w:color w:val="auto"/>
        </w:rPr>
      </w:pPr>
      <w:r>
        <w:rPr>
          <w:rFonts w:ascii="Arial" w:cs="Arial" w:eastAsia="Arial" w:hAnsi="Arial"/>
          <w:sz w:val="20"/>
          <w:szCs w:val="20"/>
          <w:color w:val="auto"/>
        </w:rPr>
        <w:t>care before trading on the recommendation of others to ensure that the recommendation is not the result of an illegal “tip.”</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No Insider who receives or has access to the Company’s Material Non-Public Information may comment on stock price</w:t>
      </w:r>
    </w:p>
    <w:p>
      <w:pPr>
        <w:ind w:left="660"/>
        <w:spacing w:after="0" w:line="204" w:lineRule="auto"/>
        <w:rPr>
          <w:sz w:val="20"/>
          <w:szCs w:val="20"/>
          <w:color w:val="auto"/>
        </w:rPr>
      </w:pPr>
      <w:r>
        <w:rPr>
          <w:rFonts w:ascii="Arial" w:cs="Arial" w:eastAsia="Arial" w:hAnsi="Arial"/>
          <w:sz w:val="20"/>
          <w:szCs w:val="20"/>
          <w:color w:val="auto"/>
        </w:rPr>
        <w:t>movements or rumors of other corporate developments (including discussions in Internet chat rooms, message boards or via social media) that are of possible significance to the investing public unless it is part of the Insider’s job (such as</w:t>
      </w:r>
    </w:p>
    <w:p>
      <w:pPr>
        <w:ind w:left="660"/>
        <w:spacing w:after="0" w:line="211" w:lineRule="auto"/>
        <w:rPr>
          <w:sz w:val="20"/>
          <w:szCs w:val="20"/>
          <w:color w:val="auto"/>
        </w:rPr>
      </w:pPr>
      <w:r>
        <w:rPr>
          <w:rFonts w:ascii="Arial" w:cs="Arial" w:eastAsia="Arial" w:hAnsi="Arial"/>
          <w:sz w:val="20"/>
          <w:szCs w:val="20"/>
          <w:color w:val="auto"/>
        </w:rPr>
        <w:t>Investor Relations) or the Insider has been specifically authorized in accordance with the Company’s Policies and</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Procedures for Compliance with Regulation FD. If you provide an unauthorized comment on corporate developments, stock price movements or rumors or disclose Material Non-Public Information to a third party, you must contact the Legal</w:t>
      </w:r>
    </w:p>
    <w:p>
      <w:pPr>
        <w:ind w:left="660"/>
        <w:spacing w:after="0"/>
        <w:rPr>
          <w:sz w:val="20"/>
          <w:szCs w:val="20"/>
          <w:color w:val="auto"/>
        </w:rPr>
      </w:pPr>
      <w:r>
        <w:rPr>
          <w:rFonts w:ascii="Arial" w:cs="Arial" w:eastAsia="Arial" w:hAnsi="Arial"/>
          <w:sz w:val="20"/>
          <w:szCs w:val="20"/>
          <w:color w:val="auto"/>
        </w:rPr>
        <w:t>Department immediately.</w:t>
      </w:r>
    </w:p>
    <w:p>
      <w:pPr>
        <w:spacing w:after="0" w:line="171"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3.5    In addition, it is generally the practice of the Company not to respond to inquiries and/or rumors concerning the Company’s affairs. If you receive inquiries concerning the Company from securities analysts, other members of the</w:t>
      </w:r>
    </w:p>
    <w:p>
      <w:pPr>
        <w:spacing w:after="0" w:line="1" w:lineRule="exact"/>
        <w:rPr>
          <w:sz w:val="20"/>
          <w:szCs w:val="20"/>
          <w:color w:val="auto"/>
        </w:rPr>
      </w:pPr>
    </w:p>
    <w:p>
      <w:pPr>
        <w:ind w:left="660"/>
        <w:spacing w:after="0" w:line="232" w:lineRule="auto"/>
        <w:rPr>
          <w:sz w:val="20"/>
          <w:szCs w:val="20"/>
          <w:color w:val="auto"/>
        </w:rPr>
      </w:pPr>
      <w:r>
        <w:rPr>
          <w:rFonts w:ascii="Arial" w:cs="Arial" w:eastAsia="Arial" w:hAnsi="Arial"/>
          <w:sz w:val="20"/>
          <w:szCs w:val="20"/>
          <w:color w:val="auto"/>
        </w:rPr>
        <w:t>financial community or the media, you should refer such inquiries, without comment, to the Chief Financial Officer, the Chief Legal Officer, the head of Investor Relations, or their respective designees.</w:t>
      </w:r>
    </w:p>
    <w:p>
      <w:pPr>
        <w:spacing w:after="0" w:line="145"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3.6    Any member of Company Personnel who is aware of Material Non-Public Information when he or she ceases to be part of Company Personnel, may not trade directly or indirectly, through Related Persons, in the Company’s securities until</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that information has become public or is no longer material. In addition, this Policy continues in effect for all Restricted Persons until the opening of the first Window Period (see Section 5.1) after termination of employment or relationship</w:t>
      </w:r>
    </w:p>
    <w:p>
      <w:pPr>
        <w:ind w:left="660"/>
        <w:spacing w:after="0" w:line="211" w:lineRule="auto"/>
        <w:rPr>
          <w:sz w:val="20"/>
          <w:szCs w:val="20"/>
          <w:color w:val="auto"/>
        </w:rPr>
      </w:pPr>
      <w:r>
        <w:rPr>
          <w:rFonts w:ascii="Arial" w:cs="Arial" w:eastAsia="Arial" w:hAnsi="Arial"/>
          <w:sz w:val="20"/>
          <w:szCs w:val="20"/>
          <w:color w:val="auto"/>
        </w:rPr>
        <w:t>with the Company, except that, unless notified otherwise by the Company, the pre-clearance requirements set forth in</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Section 5.6 continue to apply to Restricted Persons until the later of ninety (90) days or the opening of the first Window Period following the termination of employment or relationship with the Company. See Section 5.3.</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19"/>
          <w:szCs w:val="19"/>
          <w:b w:val="1"/>
          <w:bCs w:val="1"/>
          <w:color w:val="auto"/>
        </w:rPr>
        <w:t>Certain Exceptions</w:t>
      </w:r>
    </w:p>
    <w:p>
      <w:pPr>
        <w:spacing w:after="0" w:line="204" w:lineRule="exact"/>
        <w:rPr>
          <w:sz w:val="20"/>
          <w:szCs w:val="20"/>
          <w:color w:val="auto"/>
        </w:rPr>
      </w:pPr>
    </w:p>
    <w:p>
      <w:pPr>
        <w:ind w:left="660"/>
        <w:spacing w:after="0" w:line="271" w:lineRule="auto"/>
        <w:rPr>
          <w:sz w:val="20"/>
          <w:szCs w:val="20"/>
          <w:color w:val="auto"/>
        </w:rPr>
      </w:pPr>
      <w:r>
        <w:rPr>
          <w:rFonts w:ascii="Arial" w:cs="Arial" w:eastAsia="Arial" w:hAnsi="Arial"/>
          <w:sz w:val="20"/>
          <w:szCs w:val="20"/>
          <w:color w:val="auto"/>
        </w:rPr>
        <w:t>Unless otherwise indicated below, the prohibition on trading in the Company’s securities set forth in Section 3.0 above and other restrictions set forth in this Policy do not apply to:</w:t>
      </w:r>
    </w:p>
    <w:p>
      <w:pPr>
        <w:spacing w:after="0" w:line="156" w:lineRule="exact"/>
        <w:rPr>
          <w:sz w:val="20"/>
          <w:szCs w:val="20"/>
          <w:color w:val="auto"/>
        </w:rPr>
      </w:pPr>
    </w:p>
    <w:p>
      <w:pPr>
        <w:jc w:val="both"/>
        <w:ind w:left="1300" w:hanging="320"/>
        <w:spacing w:after="0" w:line="226" w:lineRule="auto"/>
        <w:tabs>
          <w:tab w:leader="none" w:pos="1288"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Transferring shares to an entity that does not involve a change in the beneficial ownership of the shares (for example, transferring shares from one brokerage account to another brokerage that you control, or to an </w:t>
      </w:r>
      <w:r>
        <w:rPr>
          <w:rFonts w:ascii="Arial" w:cs="Arial" w:eastAsia="Arial" w:hAnsi="Arial"/>
          <w:sz w:val="20"/>
          <w:szCs w:val="20"/>
          <w:i w:val="1"/>
          <w:iCs w:val="1"/>
          <w:color w:val="auto"/>
        </w:rPr>
        <w:t>inter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vivos </w:t>
      </w:r>
      <w:r>
        <w:rPr>
          <w:rFonts w:ascii="Arial" w:cs="Arial" w:eastAsia="Arial" w:hAnsi="Arial"/>
          <w:sz w:val="20"/>
          <w:szCs w:val="20"/>
          <w:color w:val="auto"/>
        </w:rPr>
        <w:t>trust of which you are the sole beneficiary during your lifetime).</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16" w:lineRule="auto"/>
        <w:tabs>
          <w:tab w:leader="none" w:pos="1288"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The exercise of stock options (including any net-settled stock option exercise to cover exercise price and tax withholding) pursuant to Academy’s stock plans; however, </w:t>
      </w:r>
      <w:r>
        <w:rPr>
          <w:rFonts w:ascii="Arial" w:cs="Arial" w:eastAsia="Arial" w:hAnsi="Arial"/>
          <w:sz w:val="20"/>
          <w:szCs w:val="20"/>
          <w:i w:val="1"/>
          <w:iCs w:val="1"/>
          <w:color w:val="auto"/>
        </w:rPr>
        <w:t>the sale of any stock acquired upon such exercise,</w:t>
      </w:r>
      <w:r>
        <w:rPr>
          <w:rFonts w:ascii="Arial" w:cs="Arial" w:eastAsia="Arial" w:hAnsi="Arial"/>
          <w:sz w:val="20"/>
          <w:szCs w:val="20"/>
          <w:color w:val="auto"/>
        </w:rPr>
        <w:t xml:space="preserve"> </w:t>
      </w:r>
      <w:r>
        <w:rPr>
          <w:rFonts w:ascii="Arial" w:cs="Arial" w:eastAsia="Arial" w:hAnsi="Arial"/>
          <w:sz w:val="20"/>
          <w:szCs w:val="20"/>
          <w:i w:val="1"/>
          <w:iCs w:val="1"/>
          <w:color w:val="auto"/>
        </w:rPr>
        <w:t>including as part of a broker-assisted cashless exercise of an option or any other market sale for the purpose of generating the cash needed to pay the exercise price of an option or to satisfy tax withholding requirements, is subject to this Policy, and further, any exercise of stock options is subject to pre-clearance under Section 5.0 below, if applicable</w:t>
      </w:r>
      <w:r>
        <w:rPr>
          <w:rFonts w:ascii="Arial" w:cs="Arial" w:eastAsia="Arial" w:hAnsi="Arial"/>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300" w:right="20" w:hanging="320"/>
        <w:spacing w:after="0" w:line="226" w:lineRule="auto"/>
        <w:tabs>
          <w:tab w:leader="none" w:pos="1288"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The withholding (whether mandated by the Company or pursuant to a tax withholding right) of shares of restricted stock, shares underlying restricted stock units or shares subject to a stock option to satisfy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7" w:name="page118"/>
    <w:bookmarkEnd w:id="117"/>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6">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right="20"/>
        <w:spacing w:after="0" w:line="243" w:lineRule="auto"/>
        <w:rPr>
          <w:sz w:val="20"/>
          <w:szCs w:val="20"/>
          <w:color w:val="auto"/>
        </w:rPr>
      </w:pPr>
      <w:r>
        <w:rPr>
          <w:rFonts w:ascii="Arial" w:cs="Arial" w:eastAsia="Arial" w:hAnsi="Arial"/>
          <w:sz w:val="20"/>
          <w:szCs w:val="20"/>
          <w:color w:val="auto"/>
        </w:rPr>
        <w:t>however, the sale of any stock for the purpose of generating cash needed to satisfy tax withholding requirements is subject to this Policy.</w:t>
      </w:r>
    </w:p>
    <w:p>
      <w:pPr>
        <w:spacing w:after="0" w:line="155" w:lineRule="exact"/>
        <w:rPr>
          <w:sz w:val="20"/>
          <w:szCs w:val="20"/>
          <w:color w:val="auto"/>
        </w:rPr>
      </w:pPr>
    </w:p>
    <w:p>
      <w:pPr>
        <w:ind w:left="1300" w:hanging="320"/>
        <w:spacing w:after="0" w:line="234" w:lineRule="auto"/>
        <w:tabs>
          <w:tab w:leader="none" w:pos="128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The execution of transactions pursuant to a trading plan that complies with Rule 10b5-1 under the Exchange Act and which has been approved by the Legal Department. See Section 7.1.</w:t>
      </w:r>
    </w:p>
    <w:p>
      <w:pPr>
        <w:spacing w:after="0" w:line="158" w:lineRule="exact"/>
        <w:rPr>
          <w:rFonts w:ascii="Times New Roman" w:cs="Times New Roman" w:eastAsia="Times New Roman" w:hAnsi="Times New Roman"/>
          <w:sz w:val="20"/>
          <w:szCs w:val="20"/>
          <w:color w:val="auto"/>
        </w:rPr>
      </w:pPr>
    </w:p>
    <w:p>
      <w:pPr>
        <w:ind w:left="1300" w:hanging="320"/>
        <w:spacing w:after="0" w:line="242" w:lineRule="auto"/>
        <w:tabs>
          <w:tab w:leader="none" w:pos="128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Sales of the Company’s securities as a selling stockholder in a registered public offering in accordance with applicable securities laws.</w:t>
      </w:r>
    </w:p>
    <w:p>
      <w:pPr>
        <w:spacing w:after="0" w:line="142"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28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To the extent the Company offers its securities as an investment option in the Company’s 401(k) plan, the purchase of stock through the Company’s 401(k) plan through regular payroll deductions; </w:t>
      </w:r>
      <w:r>
        <w:rPr>
          <w:rFonts w:ascii="Arial" w:cs="Arial" w:eastAsia="Arial" w:hAnsi="Arial"/>
          <w:sz w:val="20"/>
          <w:szCs w:val="20"/>
          <w:i w:val="1"/>
          <w:iCs w:val="1"/>
          <w:color w:val="auto"/>
        </w:rPr>
        <w:t>however, elections to</w:t>
      </w:r>
      <w:r>
        <w:rPr>
          <w:rFonts w:ascii="Arial" w:cs="Arial" w:eastAsia="Arial" w:hAnsi="Arial"/>
          <w:sz w:val="20"/>
          <w:szCs w:val="20"/>
          <w:color w:val="auto"/>
        </w:rPr>
        <w:t xml:space="preserve"> </w:t>
      </w:r>
      <w:r>
        <w:rPr>
          <w:rFonts w:ascii="Arial" w:cs="Arial" w:eastAsia="Arial" w:hAnsi="Arial"/>
          <w:sz w:val="20"/>
          <w:szCs w:val="20"/>
          <w:i w:val="1"/>
          <w:iCs w:val="1"/>
          <w:color w:val="auto"/>
        </w:rPr>
        <w:t>participate in such plan, the sale of any such stock and the election to transfer funds into or out of, or a loan with respect to amounts invested in, the Company stock fund are subject to this Policy.</w:t>
      </w:r>
    </w:p>
    <w:p>
      <w:pPr>
        <w:spacing w:after="0" w:line="160"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28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0"/>
          <w:szCs w:val="20"/>
          <w:color w:val="auto"/>
        </w:rPr>
        <w:t>To the extent that the Company offers its securities as an investment option in an ESPP, the purchase of stock under the ESPP through regular payroll deductions</w:t>
      </w:r>
      <w:r>
        <w:rPr>
          <w:rFonts w:ascii="Arial" w:cs="Arial" w:eastAsia="Arial" w:hAnsi="Arial"/>
          <w:sz w:val="20"/>
          <w:szCs w:val="20"/>
          <w:i w:val="1"/>
          <w:iCs w:val="1"/>
          <w:color w:val="auto"/>
        </w:rPr>
        <w:t>; however, elections to enroll in such plan, the sale of any</w:t>
      </w:r>
      <w:r>
        <w:rPr>
          <w:rFonts w:ascii="Arial" w:cs="Arial" w:eastAsia="Arial" w:hAnsi="Arial"/>
          <w:sz w:val="20"/>
          <w:szCs w:val="20"/>
          <w:color w:val="auto"/>
        </w:rPr>
        <w:t xml:space="preserve"> </w:t>
      </w:r>
      <w:r>
        <w:rPr>
          <w:rFonts w:ascii="Arial" w:cs="Arial" w:eastAsia="Arial" w:hAnsi="Arial"/>
          <w:sz w:val="20"/>
          <w:szCs w:val="20"/>
          <w:i w:val="1"/>
          <w:iCs w:val="1"/>
          <w:color w:val="auto"/>
        </w:rPr>
        <w:t>such stock purchased pursuant to the ESPP and changing instructions regarding the level of withholding contributions which are used to purchase stock are subject to this Policy</w:t>
      </w:r>
      <w:r>
        <w:rPr>
          <w:rFonts w:ascii="Arial" w:cs="Arial" w:eastAsia="Arial" w:hAnsi="Arial"/>
          <w:sz w:val="20"/>
          <w:szCs w:val="20"/>
          <w:color w:val="auto"/>
        </w:rPr>
        <w:t>.</w:t>
      </w:r>
    </w:p>
    <w:p>
      <w:pPr>
        <w:spacing w:after="0" w:line="158" w:lineRule="exact"/>
        <w:rPr>
          <w:rFonts w:ascii="Times New Roman" w:cs="Times New Roman" w:eastAsia="Times New Roman" w:hAnsi="Times New Roman"/>
          <w:sz w:val="20"/>
          <w:szCs w:val="20"/>
          <w:color w:val="auto"/>
        </w:rPr>
      </w:pPr>
    </w:p>
    <w:p>
      <w:pPr>
        <w:jc w:val="both"/>
        <w:ind w:left="1300" w:hanging="320"/>
        <w:spacing w:after="0" w:line="229" w:lineRule="auto"/>
        <w:tabs>
          <w:tab w:leader="none" w:pos="1288"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To the extent the Company offers a dividend reinvestment plan (“</w:t>
      </w:r>
      <w:r>
        <w:rPr>
          <w:rFonts w:ascii="Arial" w:cs="Arial" w:eastAsia="Arial" w:hAnsi="Arial"/>
          <w:sz w:val="19"/>
          <w:szCs w:val="19"/>
          <w:b w:val="1"/>
          <w:bCs w:val="1"/>
          <w:color w:val="auto"/>
        </w:rPr>
        <w:t>DRIP</w:t>
      </w:r>
      <w:r>
        <w:rPr>
          <w:rFonts w:ascii="Arial" w:cs="Arial" w:eastAsia="Arial" w:hAnsi="Arial"/>
          <w:sz w:val="19"/>
          <w:szCs w:val="19"/>
          <w:color w:val="auto"/>
        </w:rPr>
        <w:t xml:space="preserve">”), the purchase of Company stock through the DRIP arising from reinvestment of dividends paid on the Company stock; </w:t>
      </w:r>
      <w:r>
        <w:rPr>
          <w:rFonts w:ascii="Arial" w:cs="Arial" w:eastAsia="Arial" w:hAnsi="Arial"/>
          <w:sz w:val="19"/>
          <w:szCs w:val="19"/>
          <w:i w:val="1"/>
          <w:iCs w:val="1"/>
          <w:color w:val="auto"/>
        </w:rPr>
        <w:t>however, (i) a voluntary purchase of</w:t>
      </w:r>
      <w:r>
        <w:rPr>
          <w:rFonts w:ascii="Arial" w:cs="Arial" w:eastAsia="Arial" w:hAnsi="Arial"/>
          <w:sz w:val="19"/>
          <w:szCs w:val="19"/>
          <w:color w:val="auto"/>
        </w:rPr>
        <w:t xml:space="preserve"> </w:t>
      </w:r>
      <w:r>
        <w:rPr>
          <w:rFonts w:ascii="Arial" w:cs="Arial" w:eastAsia="Arial" w:hAnsi="Arial"/>
          <w:sz w:val="19"/>
          <w:szCs w:val="19"/>
          <w:i w:val="1"/>
          <w:iCs w:val="1"/>
          <w:color w:val="auto"/>
        </w:rPr>
        <w:t>the Company stock that results from additional contributions a participant chooses to make to the DRIP, (ii) a participant’s election to participate, cease participation or otherwise alter his or her participation in the DRIP, and (iii) a participant’s sale of any of the Company stock purchased pursuant to the DRIP, are subject to this Policy.</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19"/>
          <w:szCs w:val="19"/>
          <w:b w:val="1"/>
          <w:bCs w:val="1"/>
          <w:color w:val="auto"/>
        </w:rPr>
        <w:t>Additional Restrictions and Procedures Applicable to Certain Insiders</w:t>
      </w:r>
    </w:p>
    <w:p>
      <w:pPr>
        <w:spacing w:after="0" w:line="191"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Window Periods</w:t>
      </w:r>
      <w:r>
        <w:rPr>
          <w:rFonts w:ascii="Arial" w:cs="Arial" w:eastAsia="Arial" w:hAnsi="Arial"/>
          <w:sz w:val="20"/>
          <w:szCs w:val="20"/>
          <w:color w:val="auto"/>
        </w:rPr>
        <w:t>. Section 16 Persons and certain other Company Personnel who have been designated by the Company as persons who are likely to have frequent access to Material Non-Public Information in the normal course of their duties</w:t>
      </w:r>
    </w:p>
    <w:p>
      <w:pPr>
        <w:ind w:left="660"/>
        <w:spacing w:after="0" w:line="212" w:lineRule="auto"/>
        <w:rPr>
          <w:sz w:val="20"/>
          <w:szCs w:val="20"/>
          <w:color w:val="auto"/>
        </w:rPr>
      </w:pPr>
      <w:r>
        <w:rPr>
          <w:rFonts w:ascii="Arial" w:cs="Arial" w:eastAsia="Arial" w:hAnsi="Arial"/>
          <w:sz w:val="20"/>
          <w:szCs w:val="20"/>
          <w:color w:val="auto"/>
        </w:rPr>
        <w:t>for the Company and notified by the Legal Department, as well as their respective Related Persons (collectively,</w:t>
      </w:r>
    </w:p>
    <w:p>
      <w:pPr>
        <w:spacing w:after="0" w:line="1" w:lineRule="exact"/>
        <w:rPr>
          <w:sz w:val="20"/>
          <w:szCs w:val="20"/>
          <w:color w:val="auto"/>
        </w:rPr>
      </w:pPr>
    </w:p>
    <w:p>
      <w:pPr>
        <w:jc w:val="both"/>
        <w:ind w:left="660"/>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Persons</w:t>
      </w:r>
      <w:r>
        <w:rPr>
          <w:rFonts w:ascii="Arial" w:cs="Arial" w:eastAsia="Arial" w:hAnsi="Arial"/>
          <w:sz w:val="20"/>
          <w:szCs w:val="20"/>
          <w:color w:val="auto"/>
        </w:rPr>
        <w:t>”) are permitted, subject to compliance otherwise with this Policy, to engage in trading in Company securities only during the Company’s quarterly window periods described in Section 5.2 below (“</w:t>
      </w:r>
      <w:r>
        <w:rPr>
          <w:rFonts w:ascii="Arial" w:cs="Arial" w:eastAsia="Arial" w:hAnsi="Arial"/>
          <w:sz w:val="20"/>
          <w:szCs w:val="20"/>
          <w:b w:val="1"/>
          <w:bCs w:val="1"/>
          <w:color w:val="auto"/>
        </w:rPr>
        <w:t>Window Periods</w:t>
      </w:r>
      <w:r>
        <w:rPr>
          <w:rFonts w:ascii="Arial" w:cs="Arial" w:eastAsia="Arial" w:hAnsi="Arial"/>
          <w:sz w:val="20"/>
          <w:szCs w:val="20"/>
          <w:color w:val="auto"/>
        </w:rPr>
        <w:t>”),</w:t>
      </w:r>
    </w:p>
    <w:p>
      <w:pPr>
        <w:ind w:left="660"/>
        <w:spacing w:after="0" w:line="211" w:lineRule="auto"/>
        <w:rPr>
          <w:sz w:val="20"/>
          <w:szCs w:val="20"/>
          <w:color w:val="auto"/>
        </w:rPr>
      </w:pPr>
      <w:r>
        <w:rPr>
          <w:rFonts w:ascii="Arial" w:cs="Arial" w:eastAsia="Arial" w:hAnsi="Arial"/>
          <w:sz w:val="20"/>
          <w:szCs w:val="20"/>
          <w:color w:val="auto"/>
        </w:rPr>
        <w:t>provided that such person is not actually aware of Material Non-Public Information about the Company or its securities.</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The list of Restricted Persons is updated periodically by the Legal Department in consultation with the Chief Legal Officer.</w:t>
      </w:r>
    </w:p>
    <w:p>
      <w:pPr>
        <w:spacing w:after="0" w:line="158"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5.2    Each Window Period begins upon the elapse of at least two (2) business days after the date on which the Company discloses its financial results in a Form 10-Q or Form 10-K for the prior fiscal quarter or year (with the day of disclosure</w:t>
      </w:r>
    </w:p>
    <w:p>
      <w:pPr>
        <w:ind w:left="660"/>
        <w:spacing w:after="0" w:line="212" w:lineRule="auto"/>
        <w:rPr>
          <w:sz w:val="20"/>
          <w:szCs w:val="20"/>
          <w:color w:val="auto"/>
        </w:rPr>
      </w:pPr>
      <w:r>
        <w:rPr>
          <w:rFonts w:ascii="Arial" w:cs="Arial" w:eastAsia="Arial" w:hAnsi="Arial"/>
          <w:sz w:val="20"/>
          <w:szCs w:val="20"/>
          <w:color w:val="auto"/>
        </w:rPr>
        <w:t>being considered day zero (0) before such two (2) business days). For example, assuming a Restricted Person is not in</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possession of Material Non-Public Information about the Company or its securities, the person may trade after the date on which the Company discloses its financial results in a Form 10-Q or Form 10-K for the prior fiscal quarter or year, as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follows (assuming no intervening SEC observed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8" w:name="page119"/>
    <w:bookmarkEnd w:id="118"/>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7">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Disclosure Filing on:</w:t>
            </w: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Trading may begin on:</w:t>
            </w:r>
          </w:p>
        </w:tc>
      </w:tr>
      <w:tr>
        <w:trPr>
          <w:trHeight w:val="436"/>
        </w:trPr>
        <w:tc>
          <w:tcPr>
            <w:tcW w:w="3100" w:type="dxa"/>
            <w:vAlign w:val="bottom"/>
            <w:gridSpan w:val="3"/>
          </w:tcPr>
          <w:p>
            <w:pPr>
              <w:jc w:val="center"/>
              <w:ind w:right="2060"/>
              <w:spacing w:after="0"/>
              <w:rPr>
                <w:sz w:val="20"/>
                <w:szCs w:val="20"/>
                <w:color w:val="auto"/>
              </w:rPr>
            </w:pPr>
            <w:r>
              <w:rPr>
                <w:rFonts w:ascii="Arial" w:cs="Arial" w:eastAsia="Arial" w:hAnsi="Arial"/>
                <w:sz w:val="20"/>
                <w:szCs w:val="20"/>
                <w:color w:val="auto"/>
              </w:rPr>
              <w:t>Monday</w:t>
            </w:r>
          </w:p>
        </w:tc>
        <w:tc>
          <w:tcPr>
            <w:tcW w:w="3200" w:type="dxa"/>
            <w:vAlign w:val="bottom"/>
            <w:gridSpan w:val="2"/>
          </w:tcPr>
          <w:p>
            <w:pPr>
              <w:jc w:val="center"/>
              <w:spacing w:after="0"/>
              <w:rPr>
                <w:sz w:val="20"/>
                <w:szCs w:val="20"/>
                <w:color w:val="auto"/>
              </w:rPr>
            </w:pPr>
            <w:r>
              <w:rPr>
                <w:rFonts w:ascii="Arial" w:cs="Arial" w:eastAsia="Arial" w:hAnsi="Arial"/>
                <w:sz w:val="20"/>
                <w:szCs w:val="20"/>
                <w:color w:val="auto"/>
                <w:w w:val="98"/>
              </w:rPr>
              <w:t>Thursday</w:t>
            </w:r>
          </w:p>
        </w:tc>
      </w:tr>
      <w:tr>
        <w:trPr>
          <w:trHeight w:val="324"/>
        </w:trPr>
        <w:tc>
          <w:tcPr>
            <w:tcW w:w="3100" w:type="dxa"/>
            <w:vAlign w:val="bottom"/>
            <w:gridSpan w:val="3"/>
          </w:tcPr>
          <w:p>
            <w:pPr>
              <w:jc w:val="center"/>
              <w:ind w:right="2060"/>
              <w:spacing w:after="0"/>
              <w:rPr>
                <w:sz w:val="20"/>
                <w:szCs w:val="20"/>
                <w:color w:val="auto"/>
              </w:rPr>
            </w:pPr>
            <w:r>
              <w:rPr>
                <w:rFonts w:ascii="Arial" w:cs="Arial" w:eastAsia="Arial" w:hAnsi="Arial"/>
                <w:sz w:val="20"/>
                <w:szCs w:val="20"/>
                <w:color w:val="auto"/>
                <w:w w:val="99"/>
              </w:rPr>
              <w:t>Tuesday</w:t>
            </w:r>
          </w:p>
        </w:tc>
        <w:tc>
          <w:tcPr>
            <w:tcW w:w="1240" w:type="dxa"/>
            <w:vAlign w:val="bottom"/>
          </w:tcPr>
          <w:p>
            <w:pPr>
              <w:spacing w:after="0"/>
              <w:rPr>
                <w:sz w:val="24"/>
                <w:szCs w:val="24"/>
                <w:color w:val="auto"/>
              </w:rPr>
            </w:pPr>
          </w:p>
        </w:tc>
        <w:tc>
          <w:tcPr>
            <w:tcW w:w="1960" w:type="dxa"/>
            <w:vAlign w:val="bottom"/>
          </w:tcPr>
          <w:p>
            <w:pPr>
              <w:jc w:val="center"/>
              <w:ind w:right="1201"/>
              <w:spacing w:after="0"/>
              <w:rPr>
                <w:sz w:val="20"/>
                <w:szCs w:val="20"/>
                <w:color w:val="auto"/>
              </w:rPr>
            </w:pPr>
            <w:r>
              <w:rPr>
                <w:rFonts w:ascii="Arial" w:cs="Arial" w:eastAsia="Arial" w:hAnsi="Arial"/>
                <w:sz w:val="20"/>
                <w:szCs w:val="20"/>
                <w:color w:val="auto"/>
                <w:w w:val="97"/>
              </w:rPr>
              <w:t>Friday</w:t>
            </w:r>
          </w:p>
        </w:tc>
      </w:tr>
      <w:tr>
        <w:trPr>
          <w:trHeight w:val="324"/>
        </w:trPr>
        <w:tc>
          <w:tcPr>
            <w:tcW w:w="3100" w:type="dxa"/>
            <w:vAlign w:val="bottom"/>
            <w:gridSpan w:val="3"/>
          </w:tcPr>
          <w:p>
            <w:pPr>
              <w:jc w:val="center"/>
              <w:ind w:right="2060"/>
              <w:spacing w:after="0"/>
              <w:rPr>
                <w:sz w:val="20"/>
                <w:szCs w:val="20"/>
                <w:color w:val="auto"/>
              </w:rPr>
            </w:pPr>
            <w:r>
              <w:rPr>
                <w:rFonts w:ascii="Arial" w:cs="Arial" w:eastAsia="Arial" w:hAnsi="Arial"/>
                <w:sz w:val="20"/>
                <w:szCs w:val="20"/>
                <w:color w:val="auto"/>
                <w:w w:val="98"/>
              </w:rPr>
              <w:t>Wednesday</w:t>
            </w:r>
          </w:p>
        </w:tc>
        <w:tc>
          <w:tcPr>
            <w:tcW w:w="3200" w:type="dxa"/>
            <w:vAlign w:val="bottom"/>
            <w:gridSpan w:val="2"/>
          </w:tcPr>
          <w:p>
            <w:pPr>
              <w:jc w:val="center"/>
              <w:spacing w:after="0"/>
              <w:rPr>
                <w:sz w:val="20"/>
                <w:szCs w:val="20"/>
                <w:color w:val="auto"/>
              </w:rPr>
            </w:pPr>
            <w:r>
              <w:rPr>
                <w:rFonts w:ascii="Arial" w:cs="Arial" w:eastAsia="Arial" w:hAnsi="Arial"/>
                <w:sz w:val="20"/>
                <w:szCs w:val="20"/>
                <w:color w:val="auto"/>
                <w:w w:val="98"/>
              </w:rPr>
              <w:t>Monday</w:t>
            </w:r>
          </w:p>
        </w:tc>
      </w:tr>
      <w:tr>
        <w:trPr>
          <w:trHeight w:val="324"/>
        </w:trPr>
        <w:tc>
          <w:tcPr>
            <w:tcW w:w="3100" w:type="dxa"/>
            <w:vAlign w:val="bottom"/>
            <w:gridSpan w:val="3"/>
          </w:tcPr>
          <w:p>
            <w:pPr>
              <w:jc w:val="center"/>
              <w:ind w:right="2060"/>
              <w:spacing w:after="0"/>
              <w:rPr>
                <w:sz w:val="20"/>
                <w:szCs w:val="20"/>
                <w:color w:val="auto"/>
              </w:rPr>
            </w:pPr>
            <w:r>
              <w:rPr>
                <w:rFonts w:ascii="Arial" w:cs="Arial" w:eastAsia="Arial" w:hAnsi="Arial"/>
                <w:sz w:val="20"/>
                <w:szCs w:val="20"/>
                <w:color w:val="auto"/>
              </w:rPr>
              <w:t>Thursday</w:t>
            </w:r>
          </w:p>
        </w:tc>
        <w:tc>
          <w:tcPr>
            <w:tcW w:w="3200" w:type="dxa"/>
            <w:vAlign w:val="bottom"/>
            <w:gridSpan w:val="2"/>
          </w:tcPr>
          <w:p>
            <w:pPr>
              <w:jc w:val="center"/>
              <w:spacing w:after="0"/>
              <w:rPr>
                <w:sz w:val="20"/>
                <w:szCs w:val="20"/>
                <w:color w:val="auto"/>
              </w:rPr>
            </w:pPr>
            <w:r>
              <w:rPr>
                <w:rFonts w:ascii="Arial" w:cs="Arial" w:eastAsia="Arial" w:hAnsi="Arial"/>
                <w:sz w:val="20"/>
                <w:szCs w:val="20"/>
                <w:color w:val="auto"/>
                <w:w w:val="96"/>
              </w:rPr>
              <w:t>Tuesday</w:t>
            </w:r>
          </w:p>
        </w:tc>
      </w:tr>
      <w:tr>
        <w:trPr>
          <w:trHeight w:val="324"/>
        </w:trPr>
        <w:tc>
          <w:tcPr>
            <w:tcW w:w="3100" w:type="dxa"/>
            <w:vAlign w:val="bottom"/>
            <w:gridSpan w:val="3"/>
          </w:tcPr>
          <w:p>
            <w:pPr>
              <w:jc w:val="center"/>
              <w:ind w:right="2060"/>
              <w:spacing w:after="0"/>
              <w:rPr>
                <w:sz w:val="20"/>
                <w:szCs w:val="20"/>
                <w:color w:val="auto"/>
              </w:rPr>
            </w:pPr>
            <w:r>
              <w:rPr>
                <w:rFonts w:ascii="Arial" w:cs="Arial" w:eastAsia="Arial" w:hAnsi="Arial"/>
                <w:sz w:val="20"/>
                <w:szCs w:val="20"/>
                <w:color w:val="auto"/>
              </w:rPr>
              <w:t>Friday</w:t>
            </w:r>
          </w:p>
        </w:tc>
        <w:tc>
          <w:tcPr>
            <w:tcW w:w="3200" w:type="dxa"/>
            <w:vAlign w:val="bottom"/>
            <w:gridSpan w:val="2"/>
          </w:tcPr>
          <w:p>
            <w:pPr>
              <w:jc w:val="center"/>
              <w:spacing w:after="0"/>
              <w:rPr>
                <w:sz w:val="20"/>
                <w:szCs w:val="20"/>
                <w:color w:val="auto"/>
              </w:rPr>
            </w:pPr>
            <w:r>
              <w:rPr>
                <w:rFonts w:ascii="Arial" w:cs="Arial" w:eastAsia="Arial" w:hAnsi="Arial"/>
                <w:sz w:val="20"/>
                <w:szCs w:val="20"/>
                <w:color w:val="auto"/>
              </w:rPr>
              <w:t>Wednesday</w:t>
            </w:r>
          </w:p>
        </w:tc>
      </w:tr>
    </w:tbl>
    <w:p>
      <w:pPr>
        <w:spacing w:after="0" w:line="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Each Window Period that occurs during the first, second, and third quarters of any fiscal year closes at 3:00 pm Central</w:t>
      </w:r>
    </w:p>
    <w:p>
      <w:pPr>
        <w:ind w:left="660"/>
        <w:spacing w:after="0" w:line="215" w:lineRule="auto"/>
        <w:rPr>
          <w:sz w:val="20"/>
          <w:szCs w:val="20"/>
          <w:color w:val="auto"/>
        </w:rPr>
      </w:pPr>
      <w:r>
        <w:rPr>
          <w:rFonts w:ascii="Arial" w:cs="Arial" w:eastAsia="Arial" w:hAnsi="Arial"/>
          <w:sz w:val="19"/>
          <w:szCs w:val="19"/>
          <w:color w:val="auto"/>
        </w:rPr>
        <w:t>Time on the Friday that is closest to two weeks prior to the end of the then-current fiscal quarter (provided, in the event that the Friday two weeks prior to the end of the then-current fiscal quarter is not a business day, the Window Period will</w:t>
      </w:r>
    </w:p>
    <w:p>
      <w:pPr>
        <w:ind w:left="660"/>
        <w:spacing w:after="0" w:line="211" w:lineRule="auto"/>
        <w:rPr>
          <w:sz w:val="20"/>
          <w:szCs w:val="20"/>
          <w:color w:val="auto"/>
        </w:rPr>
      </w:pPr>
      <w:r>
        <w:rPr>
          <w:rFonts w:ascii="Arial" w:cs="Arial" w:eastAsia="Arial" w:hAnsi="Arial"/>
          <w:sz w:val="20"/>
          <w:szCs w:val="20"/>
          <w:color w:val="auto"/>
        </w:rPr>
        <w:t>close at 3:00 pm Central Time on the first business day preceding that Friday). Each Window Period that occurs during</w:t>
      </w:r>
    </w:p>
    <w:p>
      <w:pPr>
        <w:ind w:left="660"/>
        <w:spacing w:after="0" w:line="215" w:lineRule="auto"/>
        <w:rPr>
          <w:sz w:val="20"/>
          <w:szCs w:val="20"/>
          <w:color w:val="auto"/>
        </w:rPr>
      </w:pPr>
      <w:r>
        <w:rPr>
          <w:rFonts w:ascii="Arial" w:cs="Arial" w:eastAsia="Arial" w:hAnsi="Arial"/>
          <w:sz w:val="19"/>
          <w:szCs w:val="19"/>
          <w:color w:val="auto"/>
        </w:rPr>
        <w:t>the fourth quarter of any fiscal year closes at 3:00 pm Central Time on the last business day of the second fiscal month of the fourth quarter. After the close of each Window Period, except as set forth in Section 4.0 above, Restricted Persons</w:t>
      </w:r>
    </w:p>
    <w:p>
      <w:pPr>
        <w:ind w:left="660"/>
        <w:spacing w:after="0" w:line="211" w:lineRule="auto"/>
        <w:rPr>
          <w:sz w:val="20"/>
          <w:szCs w:val="20"/>
          <w:color w:val="auto"/>
        </w:rPr>
      </w:pPr>
      <w:r>
        <w:rPr>
          <w:rFonts w:ascii="Arial" w:cs="Arial" w:eastAsia="Arial" w:hAnsi="Arial"/>
          <w:sz w:val="20"/>
          <w:szCs w:val="20"/>
          <w:color w:val="auto"/>
        </w:rPr>
        <w:t>may not trade in any of the Company’s securities at least until the beginning of the next Window Period (the period of</w:t>
      </w:r>
    </w:p>
    <w:p>
      <w:pPr>
        <w:ind w:left="660"/>
        <w:spacing w:after="0" w:line="204" w:lineRule="auto"/>
        <w:rPr>
          <w:sz w:val="20"/>
          <w:szCs w:val="20"/>
          <w:color w:val="auto"/>
        </w:rPr>
      </w:pPr>
      <w:r>
        <w:rPr>
          <w:rFonts w:ascii="Arial" w:cs="Arial" w:eastAsia="Arial" w:hAnsi="Arial"/>
          <w:sz w:val="20"/>
          <w:szCs w:val="20"/>
          <w:color w:val="auto"/>
        </w:rPr>
        <w:t>time between Window Periods is commonly referred to as a “</w:t>
      </w:r>
      <w:r>
        <w:rPr>
          <w:rFonts w:ascii="Arial" w:cs="Arial" w:eastAsia="Arial" w:hAnsi="Arial"/>
          <w:sz w:val="20"/>
          <w:szCs w:val="20"/>
          <w:b w:val="1"/>
          <w:bCs w:val="1"/>
          <w:color w:val="auto"/>
        </w:rPr>
        <w:t>quarterly blackout period</w:t>
      </w:r>
      <w:r>
        <w:rPr>
          <w:rFonts w:ascii="Arial" w:cs="Arial" w:eastAsia="Arial" w:hAnsi="Arial"/>
          <w:sz w:val="20"/>
          <w:szCs w:val="20"/>
          <w:color w:val="auto"/>
        </w:rPr>
        <w:t xml:space="preserve">”). </w:t>
      </w:r>
      <w:r>
        <w:rPr>
          <w:rFonts w:ascii="Arial" w:cs="Arial" w:eastAsia="Arial" w:hAnsi="Arial"/>
          <w:sz w:val="20"/>
          <w:szCs w:val="20"/>
          <w:u w:val="single" w:color="auto"/>
          <w:color w:val="auto"/>
        </w:rPr>
        <w:t>Restricted Persons should be</w:t>
      </w:r>
      <w:r>
        <w:rPr>
          <w:rFonts w:ascii="Arial" w:cs="Arial" w:eastAsia="Arial" w:hAnsi="Arial"/>
          <w:sz w:val="20"/>
          <w:szCs w:val="20"/>
          <w:color w:val="auto"/>
        </w:rPr>
        <w:t xml:space="preserve"> </w:t>
      </w:r>
      <w:r>
        <w:rPr>
          <w:rFonts w:ascii="Arial" w:cs="Arial" w:eastAsia="Arial" w:hAnsi="Arial"/>
          <w:sz w:val="20"/>
          <w:szCs w:val="20"/>
          <w:u w:val="single" w:color="auto"/>
          <w:color w:val="auto"/>
        </w:rPr>
        <w:t>aware that the prohibition against trading while aware of, or tipping of, Material Non-Public Information about the</w:t>
      </w:r>
    </w:p>
    <w:p>
      <w:pPr>
        <w:ind w:left="660"/>
        <w:spacing w:after="0" w:line="211" w:lineRule="auto"/>
        <w:rPr>
          <w:sz w:val="20"/>
          <w:szCs w:val="20"/>
          <w:color w:val="auto"/>
        </w:rPr>
      </w:pPr>
      <w:r>
        <w:rPr>
          <w:rFonts w:ascii="Arial" w:cs="Arial" w:eastAsia="Arial" w:hAnsi="Arial"/>
          <w:sz w:val="20"/>
          <w:szCs w:val="20"/>
          <w:u w:val="single" w:color="auto"/>
          <w:color w:val="auto"/>
        </w:rPr>
        <w:t>Company or its securities applies even during a Window Period</w:t>
      </w:r>
      <w:r>
        <w:rPr>
          <w:rFonts w:ascii="Arial" w:cs="Arial" w:eastAsia="Arial" w:hAnsi="Arial"/>
          <w:sz w:val="20"/>
          <w:szCs w:val="20"/>
          <w:color w:val="auto"/>
        </w:rPr>
        <w:t>. For example, if during a Window Period, a Restricted</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Person becomes aware that a material acquisition or divestiture is pending or a forthcoming publication in the financial press may affect the relevant securities market, the person may not trade in the Company’s securities until the</w:t>
      </w:r>
    </w:p>
    <w:p>
      <w:pPr>
        <w:spacing w:after="0" w:line="1" w:lineRule="exact"/>
        <w:rPr>
          <w:sz w:val="20"/>
          <w:szCs w:val="20"/>
          <w:color w:val="auto"/>
        </w:rPr>
      </w:pPr>
    </w:p>
    <w:p>
      <w:pPr>
        <w:ind w:left="660"/>
        <w:spacing w:after="0" w:line="232" w:lineRule="auto"/>
        <w:rPr>
          <w:sz w:val="20"/>
          <w:szCs w:val="20"/>
          <w:color w:val="auto"/>
        </w:rPr>
      </w:pPr>
      <w:r>
        <w:rPr>
          <w:rFonts w:ascii="Arial" w:cs="Arial" w:eastAsia="Arial" w:hAnsi="Arial"/>
          <w:sz w:val="20"/>
          <w:szCs w:val="20"/>
          <w:color w:val="auto"/>
        </w:rPr>
        <w:t>information has been made publicly available or is no longer Material. You must consult the Legal Department whenever you are in doubt.</w:t>
      </w:r>
    </w:p>
    <w:p>
      <w:pPr>
        <w:spacing w:after="0" w:line="145"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Notification of Window Periods</w:t>
      </w:r>
      <w:r>
        <w:rPr>
          <w:rFonts w:ascii="Arial" w:cs="Arial" w:eastAsia="Arial" w:hAnsi="Arial"/>
          <w:sz w:val="20"/>
          <w:szCs w:val="20"/>
          <w:color w:val="auto"/>
        </w:rPr>
        <w:t>. The Company will deliver an e-mail (or other communication) notifying all Restricted Persons when the Window Period will open and when the Window Period will close. The Company’s delivery or non-</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delivery of these e-mails (or other communication) does not relieve Insiders of their obligation to only trade in the Company’s securities in full compliance with this Policy.</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u w:val="single" w:color="auto"/>
          <w:color w:val="auto"/>
        </w:rPr>
        <w:t>Suspension of Trading</w:t>
      </w:r>
      <w:r>
        <w:rPr>
          <w:rFonts w:ascii="Arial" w:cs="Arial" w:eastAsia="Arial" w:hAnsi="Arial"/>
          <w:sz w:val="20"/>
          <w:szCs w:val="20"/>
          <w:color w:val="auto"/>
        </w:rPr>
        <w:t>. From time to time, the Company may require that certain Insiders suspend trading in the</w:t>
      </w:r>
    </w:p>
    <w:p>
      <w:pPr>
        <w:ind w:left="660"/>
        <w:spacing w:after="0" w:line="204" w:lineRule="auto"/>
        <w:rPr>
          <w:sz w:val="20"/>
          <w:szCs w:val="20"/>
          <w:color w:val="auto"/>
        </w:rPr>
      </w:pPr>
      <w:r>
        <w:rPr>
          <w:rFonts w:ascii="Arial" w:cs="Arial" w:eastAsia="Arial" w:hAnsi="Arial"/>
          <w:sz w:val="20"/>
          <w:szCs w:val="20"/>
          <w:color w:val="auto"/>
        </w:rPr>
        <w:t>Company’s securities because of developments that have not yet been disclosed to the public. Such suspension may involve suspending or terminating a Window Period. In such events, all those Insiders who have been notified by the</w:t>
      </w:r>
    </w:p>
    <w:p>
      <w:pPr>
        <w:ind w:left="660"/>
        <w:spacing w:after="0" w:line="223" w:lineRule="auto"/>
        <w:rPr>
          <w:sz w:val="20"/>
          <w:szCs w:val="20"/>
          <w:color w:val="auto"/>
        </w:rPr>
      </w:pPr>
      <w:r>
        <w:rPr>
          <w:rFonts w:ascii="Arial" w:cs="Arial" w:eastAsia="Arial" w:hAnsi="Arial"/>
          <w:sz w:val="19"/>
          <w:szCs w:val="19"/>
          <w:color w:val="auto"/>
        </w:rPr>
        <w:t>Legal Department that they are subject to the event-specific suspension of trading (“</w:t>
      </w:r>
      <w:r>
        <w:rPr>
          <w:rFonts w:ascii="Arial" w:cs="Arial" w:eastAsia="Arial" w:hAnsi="Arial"/>
          <w:sz w:val="19"/>
          <w:szCs w:val="19"/>
          <w:b w:val="1"/>
          <w:bCs w:val="1"/>
          <w:color w:val="auto"/>
        </w:rPr>
        <w:t>special blackout</w:t>
      </w:r>
      <w:r>
        <w:rPr>
          <w:rFonts w:ascii="Arial" w:cs="Arial" w:eastAsia="Arial" w:hAnsi="Arial"/>
          <w:sz w:val="19"/>
          <w:szCs w:val="19"/>
          <w:color w:val="auto"/>
        </w:rPr>
        <w:t>”) shall not trade in</w:t>
      </w:r>
    </w:p>
    <w:p>
      <w:pPr>
        <w:jc w:val="both"/>
        <w:ind w:left="660"/>
        <w:spacing w:after="0" w:line="204" w:lineRule="auto"/>
        <w:rPr>
          <w:sz w:val="20"/>
          <w:szCs w:val="20"/>
          <w:color w:val="auto"/>
        </w:rPr>
      </w:pPr>
      <w:r>
        <w:rPr>
          <w:rFonts w:ascii="Arial" w:cs="Arial" w:eastAsia="Arial" w:hAnsi="Arial"/>
          <w:sz w:val="20"/>
          <w:szCs w:val="20"/>
          <w:color w:val="auto"/>
        </w:rPr>
        <w:t>the Company’s securities while the special blackout is in effect and shall not disclose the existence of the special blackout to anyone else inside or outside the Company, as the existence may itself be Material Non-Public Information.</w:t>
      </w:r>
    </w:p>
    <w:p>
      <w:pPr>
        <w:ind w:left="660"/>
        <w:spacing w:after="0" w:line="211" w:lineRule="auto"/>
        <w:rPr>
          <w:sz w:val="20"/>
          <w:szCs w:val="20"/>
          <w:color w:val="auto"/>
        </w:rPr>
      </w:pPr>
      <w:r>
        <w:rPr>
          <w:rFonts w:ascii="Arial" w:cs="Arial" w:eastAsia="Arial" w:hAnsi="Arial"/>
          <w:sz w:val="20"/>
          <w:szCs w:val="20"/>
          <w:color w:val="auto"/>
        </w:rPr>
        <w:t>Though these special blackouts generally will arise because the Company is involved in a highly sensitive transaction,</w:t>
      </w:r>
    </w:p>
    <w:p>
      <w:pPr>
        <w:spacing w:after="0" w:line="1" w:lineRule="exact"/>
        <w:rPr>
          <w:sz w:val="20"/>
          <w:szCs w:val="20"/>
          <w:color w:val="auto"/>
        </w:rPr>
      </w:pPr>
    </w:p>
    <w:p>
      <w:pPr>
        <w:ind w:left="660" w:right="20"/>
        <w:spacing w:after="0" w:line="225" w:lineRule="auto"/>
        <w:rPr>
          <w:sz w:val="20"/>
          <w:szCs w:val="20"/>
          <w:color w:val="auto"/>
        </w:rPr>
      </w:pPr>
      <w:r>
        <w:rPr>
          <w:rFonts w:ascii="Arial" w:cs="Arial" w:eastAsia="Arial" w:hAnsi="Arial"/>
          <w:sz w:val="20"/>
          <w:szCs w:val="20"/>
          <w:color w:val="auto"/>
        </w:rPr>
        <w:t>they may be declared for any reason. If the Company declares a special blackout to which you are subject, a member of the Legal Department will notify you when the blackout begins and when it ends.</w:t>
      </w:r>
    </w:p>
    <w:p>
      <w:pPr>
        <w:spacing w:after="0" w:line="158"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Pre-Clearance Procedures</w:t>
      </w:r>
      <w:r>
        <w:rPr>
          <w:rFonts w:ascii="Arial" w:cs="Arial" w:eastAsia="Arial" w:hAnsi="Arial"/>
          <w:sz w:val="20"/>
          <w:szCs w:val="20"/>
          <w:color w:val="auto"/>
        </w:rPr>
        <w:t>. Section 16 Persons and Restricted Persons notified by the Legal Department, and their respective Related Persons must obtain pre-clearance from the Legal Department (or in the case of the Chief Legal</w:t>
      </w:r>
    </w:p>
    <w:p>
      <w:pPr>
        <w:ind w:left="660"/>
        <w:spacing w:after="0" w:line="212" w:lineRule="auto"/>
        <w:rPr>
          <w:sz w:val="20"/>
          <w:szCs w:val="20"/>
          <w:color w:val="auto"/>
        </w:rPr>
      </w:pPr>
      <w:r>
        <w:rPr>
          <w:rFonts w:ascii="Arial" w:cs="Arial" w:eastAsia="Arial" w:hAnsi="Arial"/>
          <w:sz w:val="20"/>
          <w:szCs w:val="20"/>
          <w:color w:val="auto"/>
        </w:rPr>
        <w:t>Officer, the Chief Financial Officer) in accordance with this Section 5.6 before effecting transactions in the Company’s</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securities, including, without limitation, any exercise of an option (whether cashless or otherwise), gifts, loans, contribution to a trust or other transfers, enrollment in or changes to ESPP, or DRIP enrollment or modification. Subject</w:t>
      </w:r>
    </w:p>
    <w:p>
      <w:pPr>
        <w:spacing w:after="0" w:line="1" w:lineRule="exact"/>
        <w:rPr>
          <w:sz w:val="20"/>
          <w:szCs w:val="20"/>
          <w:color w:val="auto"/>
        </w:rPr>
      </w:pPr>
    </w:p>
    <w:p>
      <w:pPr>
        <w:ind w:left="660"/>
        <w:spacing w:after="0" w:line="232" w:lineRule="auto"/>
        <w:rPr>
          <w:sz w:val="20"/>
          <w:szCs w:val="20"/>
          <w:color w:val="auto"/>
        </w:rPr>
      </w:pPr>
      <w:r>
        <w:rPr>
          <w:rFonts w:ascii="Arial" w:cs="Arial" w:eastAsia="Arial" w:hAnsi="Arial"/>
          <w:sz w:val="20"/>
          <w:szCs w:val="20"/>
          <w:color w:val="auto"/>
        </w:rPr>
        <w:t>to Section 6.1, Restricted Persons may obtain from and submit a “Request for Pre-Clearance” form, on their own behalf (and/or on behalf of their Related Persons), to the Legal Department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19" w:name="page120"/>
    <w:bookmarkEnd w:id="119"/>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8">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line="232" w:lineRule="auto"/>
        <w:rPr>
          <w:sz w:val="20"/>
          <w:szCs w:val="20"/>
          <w:color w:val="auto"/>
        </w:rPr>
      </w:pPr>
      <w:r>
        <w:rPr>
          <w:rFonts w:ascii="Arial" w:cs="Arial" w:eastAsia="Arial" w:hAnsi="Arial"/>
          <w:sz w:val="19"/>
          <w:szCs w:val="19"/>
          <w:color w:val="auto"/>
        </w:rPr>
        <w:t>legal-securities@academy.com. The Request for Pre-Clearance form must be submitted at least two (2) business days but not more than five (5) business days in advance of the proposed transaction. Approval for transactions will generally</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be granted only during a Window Period (described in Section 5.2 above) and the transaction may only be performed during the Window Period in which the approval was granted and in any event within three (3) business days from the</w:t>
      </w:r>
    </w:p>
    <w:p>
      <w:pPr>
        <w:ind w:left="660"/>
        <w:spacing w:after="0" w:line="211" w:lineRule="auto"/>
        <w:rPr>
          <w:sz w:val="20"/>
          <w:szCs w:val="20"/>
          <w:color w:val="auto"/>
        </w:rPr>
      </w:pPr>
      <w:r>
        <w:rPr>
          <w:rFonts w:ascii="Arial" w:cs="Arial" w:eastAsia="Arial" w:hAnsi="Arial"/>
          <w:sz w:val="20"/>
          <w:szCs w:val="20"/>
          <w:color w:val="auto"/>
        </w:rPr>
        <w:t>date of approval. If an approved transaction is not completed within the period described above, the proposed</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transaction must be approved again before it may be executed. Regardless of approval, the transaction cannot be performed if the person comes into possession of Material Non-Public Information about the Company or its securities</w:t>
      </w:r>
    </w:p>
    <w:p>
      <w:pPr>
        <w:ind w:left="660"/>
        <w:spacing w:after="0" w:line="211" w:lineRule="auto"/>
        <w:rPr>
          <w:sz w:val="20"/>
          <w:szCs w:val="20"/>
          <w:color w:val="auto"/>
        </w:rPr>
      </w:pPr>
      <w:r>
        <w:rPr>
          <w:rFonts w:ascii="Arial" w:cs="Arial" w:eastAsia="Arial" w:hAnsi="Arial"/>
          <w:sz w:val="20"/>
          <w:szCs w:val="20"/>
          <w:color w:val="auto"/>
        </w:rPr>
        <w:t>before the transaction is completed. For the avoidance of doubt, there should be no presumption that the Legal</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Department will approve any or all pre-clearance requests. In addition to the above, Rule 10b5-1 plans are subject to the procedures described in Section 7.0 below.</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19"/>
          <w:szCs w:val="19"/>
          <w:b w:val="1"/>
          <w:bCs w:val="1"/>
          <w:color w:val="auto"/>
        </w:rPr>
        <w:t>Additional Prohibited Transactions for All Insiders</w:t>
      </w:r>
    </w:p>
    <w:p>
      <w:pPr>
        <w:spacing w:after="0" w:line="191" w:lineRule="exact"/>
        <w:rPr>
          <w:sz w:val="20"/>
          <w:szCs w:val="20"/>
          <w:color w:val="auto"/>
        </w:rPr>
      </w:pPr>
    </w:p>
    <w:p>
      <w:pPr>
        <w:jc w:val="both"/>
        <w:ind w:left="640" w:hanging="647"/>
        <w:spacing w:after="0" w:line="213" w:lineRule="auto"/>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u w:val="single" w:color="auto"/>
          <w:color w:val="auto"/>
        </w:rPr>
        <w:t>No Short Sales or Speculative Transactions</w:t>
      </w:r>
      <w:r>
        <w:rPr>
          <w:rFonts w:ascii="Arial" w:cs="Arial" w:eastAsia="Arial" w:hAnsi="Arial"/>
          <w:sz w:val="20"/>
          <w:szCs w:val="20"/>
          <w:color w:val="auto"/>
        </w:rPr>
        <w:t>. No Insider, whether or not such person possesses Material Non-Public</w:t>
      </w:r>
      <w:r>
        <w:rPr>
          <w:rFonts w:ascii="Arial" w:cs="Arial" w:eastAsia="Arial" w:hAnsi="Arial"/>
          <w:sz w:val="20"/>
          <w:szCs w:val="20"/>
          <w:u w:val="single" w:color="auto"/>
          <w:color w:val="auto"/>
        </w:rPr>
        <w:t xml:space="preserve"> </w:t>
      </w:r>
      <w:r>
        <w:rPr>
          <w:rFonts w:ascii="Arial" w:cs="Arial" w:eastAsia="Arial" w:hAnsi="Arial"/>
          <w:sz w:val="20"/>
          <w:szCs w:val="20"/>
          <w:color w:val="auto"/>
        </w:rPr>
        <w:t>Information, may trade in options, warrants, puts, and calls or similar instruments on the Company’s securities or sell</w:t>
      </w:r>
    </w:p>
    <w:p>
      <w:pPr>
        <w:ind w:left="660"/>
        <w:spacing w:after="0" w:line="212" w:lineRule="auto"/>
        <w:rPr>
          <w:sz w:val="20"/>
          <w:szCs w:val="20"/>
          <w:color w:val="auto"/>
        </w:rPr>
      </w:pPr>
      <w:r>
        <w:rPr>
          <w:rFonts w:ascii="Arial" w:cs="Arial" w:eastAsia="Arial" w:hAnsi="Arial"/>
          <w:sz w:val="20"/>
          <w:szCs w:val="20"/>
          <w:color w:val="auto"/>
        </w:rPr>
        <w:t>such securities “short” (i.e., selling stock that is not owned and borrowing the shares to make delivery). Such activities</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may put the personal gain of the Insider in conflict with the best interests of the Company and its securityholders or otherwise give the appearance of impropriety. No Insider may engage in any transactions (including variable forward</w:t>
      </w:r>
    </w:p>
    <w:p>
      <w:pPr>
        <w:spacing w:after="0" w:line="1" w:lineRule="exact"/>
        <w:rPr>
          <w:sz w:val="20"/>
          <w:szCs w:val="20"/>
          <w:color w:val="auto"/>
        </w:rPr>
      </w:pPr>
    </w:p>
    <w:p>
      <w:pPr>
        <w:ind w:left="660"/>
        <w:spacing w:after="0" w:line="232" w:lineRule="auto"/>
        <w:rPr>
          <w:sz w:val="20"/>
          <w:szCs w:val="20"/>
          <w:color w:val="auto"/>
        </w:rPr>
      </w:pPr>
      <w:r>
        <w:rPr>
          <w:rFonts w:ascii="Arial" w:cs="Arial" w:eastAsia="Arial" w:hAnsi="Arial"/>
          <w:sz w:val="20"/>
          <w:szCs w:val="20"/>
          <w:color w:val="auto"/>
        </w:rPr>
        <w:t>contracts, equity swaps, collars, and exchange funds) that are designed to hedge or offset any decrease in the market value of the Company’s equity securities.</w:t>
      </w:r>
    </w:p>
    <w:p>
      <w:pPr>
        <w:spacing w:after="0" w:line="145" w:lineRule="exact"/>
        <w:rPr>
          <w:sz w:val="20"/>
          <w:szCs w:val="20"/>
          <w:color w:val="auto"/>
        </w:rPr>
      </w:pPr>
    </w:p>
    <w:p>
      <w:pPr>
        <w:jc w:val="both"/>
        <w:ind w:left="640" w:hanging="647"/>
        <w:spacing w:after="0" w:line="231" w:lineRule="auto"/>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Margin Accounts and Pledges</w:t>
      </w:r>
      <w:r>
        <w:rPr>
          <w:rFonts w:ascii="Arial" w:cs="Arial" w:eastAsia="Arial" w:hAnsi="Arial"/>
          <w:sz w:val="20"/>
          <w:szCs w:val="20"/>
          <w:color w:val="auto"/>
        </w:rPr>
        <w:t>. No Insider, whether or not in possession of Material Non-Public Information, may</w:t>
      </w:r>
      <w:r>
        <w:rPr>
          <w:rFonts w:ascii="Arial" w:cs="Arial" w:eastAsia="Arial" w:hAnsi="Arial"/>
          <w:sz w:val="20"/>
          <w:szCs w:val="20"/>
          <w:u w:val="single" w:color="auto"/>
          <w:color w:val="auto"/>
        </w:rPr>
        <w:t xml:space="preserve"> </w:t>
      </w:r>
      <w:r>
        <w:rPr>
          <w:rFonts w:ascii="Arial" w:cs="Arial" w:eastAsia="Arial" w:hAnsi="Arial"/>
          <w:sz w:val="20"/>
          <w:szCs w:val="20"/>
          <w:color w:val="auto"/>
        </w:rPr>
        <w:t>purchase the Company’s securities on margin, or borrow against any account in which the Company’s securities are held, or pledge the Company’s securities as collateral for a loan.</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7.0</w:t>
      </w:r>
      <w:r>
        <w:rPr>
          <w:sz w:val="20"/>
          <w:szCs w:val="20"/>
          <w:color w:val="auto"/>
        </w:rPr>
        <w:tab/>
      </w:r>
      <w:r>
        <w:rPr>
          <w:rFonts w:ascii="Arial" w:cs="Arial" w:eastAsia="Arial" w:hAnsi="Arial"/>
          <w:sz w:val="19"/>
          <w:szCs w:val="19"/>
          <w:b w:val="1"/>
          <w:bCs w:val="1"/>
          <w:color w:val="auto"/>
        </w:rPr>
        <w:t>10b5-1 Plans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10b5-1 Trading Plans</w:t>
      </w:r>
      <w:r>
        <w:rPr>
          <w:rFonts w:ascii="Arial" w:cs="Arial" w:eastAsia="Arial" w:hAnsi="Arial"/>
          <w:sz w:val="19"/>
          <w:szCs w:val="19"/>
          <w:color w:val="auto"/>
        </w:rPr>
        <w:t>. A 10b5-1 trading plan (“</w:t>
      </w:r>
      <w:r>
        <w:rPr>
          <w:rFonts w:ascii="Arial" w:cs="Arial" w:eastAsia="Arial" w:hAnsi="Arial"/>
          <w:sz w:val="19"/>
          <w:szCs w:val="19"/>
          <w:b w:val="1"/>
          <w:bCs w:val="1"/>
          <w:color w:val="auto"/>
        </w:rPr>
        <w:t>10b5-1 Trading Plan</w:t>
      </w:r>
      <w:r>
        <w:rPr>
          <w:rFonts w:ascii="Arial" w:cs="Arial" w:eastAsia="Arial" w:hAnsi="Arial"/>
          <w:sz w:val="19"/>
          <w:szCs w:val="19"/>
          <w:color w:val="auto"/>
        </w:rPr>
        <w:t>”) is a binding, written contract between you and your</w:t>
      </w:r>
    </w:p>
    <w:p>
      <w:pPr>
        <w:spacing w:after="0" w:line="2" w:lineRule="exact"/>
        <w:rPr>
          <w:sz w:val="20"/>
          <w:szCs w:val="20"/>
          <w:color w:val="auto"/>
        </w:rPr>
      </w:pPr>
    </w:p>
    <w:p>
      <w:pPr>
        <w:jc w:val="both"/>
        <w:ind w:left="660"/>
        <w:spacing w:after="0" w:line="215" w:lineRule="auto"/>
        <w:rPr>
          <w:sz w:val="20"/>
          <w:szCs w:val="20"/>
          <w:color w:val="auto"/>
        </w:rPr>
      </w:pPr>
      <w:r>
        <w:rPr>
          <w:rFonts w:ascii="Arial" w:cs="Arial" w:eastAsia="Arial" w:hAnsi="Arial"/>
          <w:sz w:val="19"/>
          <w:szCs w:val="19"/>
          <w:color w:val="auto"/>
        </w:rPr>
        <w:t>broker that specifies the price, amount, and date of trades to be executed in your account in the future or provides a written formula or algorithm, or computer program, for determining the price, amount, and date of trades that your broker</w:t>
      </w:r>
    </w:p>
    <w:p>
      <w:pPr>
        <w:ind w:left="660"/>
        <w:spacing w:after="0" w:line="211" w:lineRule="auto"/>
        <w:rPr>
          <w:sz w:val="20"/>
          <w:szCs w:val="20"/>
          <w:color w:val="auto"/>
        </w:rPr>
      </w:pPr>
      <w:r>
        <w:rPr>
          <w:rFonts w:ascii="Arial" w:cs="Arial" w:eastAsia="Arial" w:hAnsi="Arial"/>
          <w:sz w:val="20"/>
          <w:szCs w:val="20"/>
          <w:color w:val="auto"/>
        </w:rPr>
        <w:t xml:space="preserve">will follow. </w:t>
      </w:r>
      <w:r>
        <w:rPr>
          <w:rFonts w:ascii="Arial" w:cs="Arial" w:eastAsia="Arial" w:hAnsi="Arial"/>
          <w:sz w:val="20"/>
          <w:szCs w:val="20"/>
          <w:b w:val="1"/>
          <w:bCs w:val="1"/>
          <w:color w:val="auto"/>
        </w:rPr>
        <w:t>You have an affirmative defense against insider trading liability for any trade made under a 10b5-1</w:t>
      </w:r>
    </w:p>
    <w:p>
      <w:pPr>
        <w:jc w:val="both"/>
        <w:ind w:left="660"/>
        <w:spacing w:after="0" w:line="204" w:lineRule="auto"/>
        <w:rPr>
          <w:sz w:val="20"/>
          <w:szCs w:val="20"/>
          <w:color w:val="auto"/>
        </w:rPr>
      </w:pPr>
      <w:r>
        <w:rPr>
          <w:rFonts w:ascii="Arial" w:cs="Arial" w:eastAsia="Arial" w:hAnsi="Arial"/>
          <w:sz w:val="20"/>
          <w:szCs w:val="20"/>
          <w:b w:val="1"/>
          <w:bCs w:val="1"/>
          <w:color w:val="auto"/>
        </w:rPr>
        <w:t>Trading Plan that you entered into when you were not aware of Material Non-Public Information and in accordance with the specified conditions under the Exchange Act Rule 10b5-1(c). The rules regarding 10b5-1</w:t>
      </w:r>
    </w:p>
    <w:p>
      <w:pPr>
        <w:spacing w:after="0" w:line="1" w:lineRule="exact"/>
        <w:rPr>
          <w:sz w:val="20"/>
          <w:szCs w:val="20"/>
          <w:color w:val="auto"/>
        </w:rPr>
      </w:pPr>
    </w:p>
    <w:p>
      <w:pPr>
        <w:jc w:val="both"/>
        <w:ind w:left="660"/>
        <w:spacing w:after="0" w:line="204" w:lineRule="auto"/>
        <w:rPr>
          <w:sz w:val="20"/>
          <w:szCs w:val="20"/>
          <w:color w:val="auto"/>
        </w:rPr>
      </w:pPr>
      <w:r>
        <w:rPr>
          <w:rFonts w:ascii="Arial" w:cs="Arial" w:eastAsia="Arial" w:hAnsi="Arial"/>
          <w:sz w:val="20"/>
          <w:szCs w:val="20"/>
          <w:b w:val="1"/>
          <w:bCs w:val="1"/>
          <w:color w:val="auto"/>
        </w:rPr>
        <w:t>Trading Plans are complex and you must fully comply with them in order to have the benefit of the affirmative defense. You should consult with your own legal advisor before proceeding</w:t>
      </w:r>
      <w:r>
        <w:rPr>
          <w:rFonts w:ascii="Arial" w:cs="Arial" w:eastAsia="Arial" w:hAnsi="Arial"/>
          <w:sz w:val="20"/>
          <w:szCs w:val="20"/>
          <w:color w:val="auto"/>
        </w:rPr>
        <w:t>. Under this Policy, the adoption,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amendment, or termination of a 10b5-1 Trading Plan must meet the requirements set forth in this Section 7.1.</w:t>
      </w:r>
    </w:p>
    <w:p>
      <w:pPr>
        <w:spacing w:after="0" w:line="184"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A 10b5-1 Trading Plan can only be established by an Insider when the person is not in possession of Material Non-Public Information about the Company or its securities and, in addition, for Restricted Persons and their Related Persons, only during a Window Period and when there is no blackout period in effect.</w:t>
      </w:r>
    </w:p>
    <w:p>
      <w:pPr>
        <w:spacing w:after="0" w:line="178"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In addition, a 10b5-1 Trading Plan must be adopted in good faith and not as part of a plan/scheme to evade the prohibitions of Rule 10b5-1 of the Exchange Act. Insiders must act in good faith with respect to their 10b5-1 Trading Plans, and a 10b5-1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20" w:name="page121"/>
    <w:bookmarkEnd w:id="120"/>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9">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spacing w:after="0" w:line="259" w:lineRule="auto"/>
        <w:rPr>
          <w:sz w:val="20"/>
          <w:szCs w:val="20"/>
          <w:color w:val="auto"/>
        </w:rPr>
      </w:pPr>
      <w:r>
        <w:rPr>
          <w:rFonts w:ascii="Arial" w:cs="Arial" w:eastAsia="Arial" w:hAnsi="Arial"/>
          <w:sz w:val="20"/>
          <w:szCs w:val="20"/>
          <w:color w:val="auto"/>
        </w:rPr>
        <w:t>Plan must not permit you to exercise any subsequent influence over how, when, or whether the purchases or sales are made. In addition, Insiders may not have entered into or altered a corresponding or hedging transaction or position with respect to the securities subject to the 10b5-1 Trading Plan and must agree not to enter into any such transaction while the plan is in effect.</w:t>
      </w:r>
    </w:p>
    <w:p>
      <w:pPr>
        <w:spacing w:after="0" w:line="182"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You must not trade in the Company’s securities outside of a 10b5-1 trading plan while such 10b5-1 trading plan is in effect unless such requirement is waived or modified by the Chief Legal Officer or his designee in his or her sole discretion.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10b5-1 Trading Plan must not permit any trades to occur until the expiration of a cooling-off period as follows:</w:t>
      </w:r>
    </w:p>
    <w:p>
      <w:pPr>
        <w:spacing w:after="0" w:line="202" w:lineRule="exact"/>
        <w:rPr>
          <w:sz w:val="20"/>
          <w:szCs w:val="20"/>
          <w:color w:val="auto"/>
        </w:rPr>
      </w:pPr>
    </w:p>
    <w:p>
      <w:pPr>
        <w:jc w:val="both"/>
        <w:ind w:left="1300" w:hanging="320"/>
        <w:spacing w:after="0" w:line="223" w:lineRule="auto"/>
        <w:tabs>
          <w:tab w:leader="none" w:pos="1288" w:val="left"/>
        </w:tabs>
        <w:numPr>
          <w:ilvl w:val="0"/>
          <w:numId w:val="81"/>
        </w:numPr>
        <w:rPr>
          <w:rFonts w:ascii="Times New Roman" w:cs="Times New Roman" w:eastAsia="Times New Roman" w:hAnsi="Times New Roman"/>
          <w:sz w:val="19"/>
          <w:szCs w:val="19"/>
          <w:color w:val="auto"/>
        </w:rPr>
      </w:pPr>
      <w:r>
        <w:rPr>
          <w:rFonts w:ascii="Arial" w:cs="Arial" w:eastAsia="Arial" w:hAnsi="Arial"/>
          <w:sz w:val="19"/>
          <w:szCs w:val="19"/>
          <w:color w:val="auto"/>
        </w:rPr>
        <w:t>For Section 16 Persons, the later of (A) ninety (90) days following the adoption or modification of such plan, or (B) two (2) business days following the disclosure in a periodic report of the Company’s financial results for the fiscal quarter (i.e., Form 10-K or 10-Q, as applicable, with the day of disclosure being considered day zero (0) before such two (2) business days) in which such plan was adopted or modified (not to exceed one hundred twenty</w:t>
      </w:r>
    </w:p>
    <w:p>
      <w:pPr>
        <w:spacing w:after="0" w:line="1" w:lineRule="exact"/>
        <w:rPr>
          <w:rFonts w:ascii="Times New Roman" w:cs="Times New Roman" w:eastAsia="Times New Roman" w:hAnsi="Times New Roman"/>
          <w:sz w:val="19"/>
          <w:szCs w:val="19"/>
          <w:color w:val="auto"/>
        </w:rPr>
      </w:pPr>
    </w:p>
    <w:p>
      <w:pPr>
        <w:ind w:left="1820" w:hanging="516"/>
        <w:spacing w:after="0"/>
        <w:tabs>
          <w:tab w:leader="none" w:pos="1820" w:val="left"/>
        </w:tabs>
        <w:numPr>
          <w:ilvl w:val="1"/>
          <w:numId w:val="81"/>
        </w:numPr>
        <w:rPr>
          <w:rFonts w:ascii="Arial" w:cs="Arial" w:eastAsia="Arial" w:hAnsi="Arial"/>
          <w:sz w:val="20"/>
          <w:szCs w:val="20"/>
          <w:color w:val="auto"/>
        </w:rPr>
      </w:pPr>
      <w:r>
        <w:rPr>
          <w:rFonts w:ascii="Arial" w:cs="Arial" w:eastAsia="Arial" w:hAnsi="Arial"/>
          <w:sz w:val="20"/>
          <w:szCs w:val="20"/>
          <w:color w:val="auto"/>
        </w:rPr>
        <w:t>days following the adoption or modification of such plan); and</w:t>
      </w:r>
    </w:p>
    <w:p>
      <w:pPr>
        <w:spacing w:after="0" w:line="157" w:lineRule="exact"/>
        <w:rPr>
          <w:rFonts w:ascii="Arial" w:cs="Arial" w:eastAsia="Arial" w:hAnsi="Arial"/>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20"/>
          <w:szCs w:val="20"/>
          <w:color w:val="auto"/>
        </w:rPr>
      </w:pPr>
      <w:r>
        <w:rPr>
          <w:rFonts w:ascii="Arial" w:cs="Arial" w:eastAsia="Arial" w:hAnsi="Arial"/>
          <w:sz w:val="20"/>
          <w:szCs w:val="20"/>
          <w:color w:val="auto"/>
        </w:rPr>
        <w:t>For all other Insiders, thirty (30) days following the adoption or modification of such plan.</w:t>
      </w:r>
    </w:p>
    <w:p>
      <w:pPr>
        <w:spacing w:after="0" w:line="201" w:lineRule="exact"/>
        <w:rPr>
          <w:sz w:val="20"/>
          <w:szCs w:val="20"/>
          <w:color w:val="auto"/>
        </w:rPr>
      </w:pPr>
    </w:p>
    <w:p>
      <w:pPr>
        <w:jc w:val="both"/>
        <w:ind w:left="660"/>
        <w:spacing w:after="0" w:line="259" w:lineRule="auto"/>
        <w:rPr>
          <w:sz w:val="20"/>
          <w:szCs w:val="20"/>
          <w:color w:val="auto"/>
        </w:rPr>
      </w:pPr>
      <w:r>
        <w:rPr>
          <w:rFonts w:ascii="Arial" w:cs="Arial" w:eastAsia="Arial" w:hAnsi="Arial"/>
          <w:sz w:val="20"/>
          <w:szCs w:val="20"/>
          <w:color w:val="auto"/>
        </w:rPr>
        <w:t>If you are a Section 16 Person, the 10b5-1 Trading Plan must include the following certifications required by Rule 10b5-1(c)(ii)(C): (1) you are not aware of any Material Non-Public Information about the Company or the Company securities; and (2) you are adopting the 10b5-1 Trading Plan in good faith and not as part of a plan or scheme to evade the prohibitions of Rule 10b5-1 under the Exchange Act.</w:t>
      </w:r>
    </w:p>
    <w:p>
      <w:pPr>
        <w:spacing w:after="0" w:line="182" w:lineRule="exact"/>
        <w:rPr>
          <w:sz w:val="20"/>
          <w:szCs w:val="20"/>
          <w:color w:val="auto"/>
        </w:rPr>
      </w:pPr>
    </w:p>
    <w:p>
      <w:pPr>
        <w:jc w:val="both"/>
        <w:ind w:left="660"/>
        <w:spacing w:after="0" w:line="251" w:lineRule="auto"/>
        <w:rPr>
          <w:sz w:val="20"/>
          <w:szCs w:val="20"/>
          <w:color w:val="auto"/>
        </w:rPr>
      </w:pPr>
      <w:r>
        <w:rPr>
          <w:rFonts w:ascii="Arial" w:cs="Arial" w:eastAsia="Arial" w:hAnsi="Arial"/>
          <w:sz w:val="20"/>
          <w:szCs w:val="20"/>
          <w:color w:val="auto"/>
        </w:rPr>
        <w:t>Each Insider (including any Section 16 Persons) must pre-clear with the Chief Legal Officer or the Chief Legal Officer’s designee (or in the case of the Chief Legal Officer, the Chief Financial Officer) its proposed 10b5-1 Trading Plan prior to the establishment of such plan at least two (2), but not more than five (5), business days in advance of adoption in accordance with pre-clearance procedures set forth in Section 5.6. The Company reserves the right to withhold pre-clearance of any 10b5-1 Trading Plan that the Company determines is not consistent with the rules regarding such plans. Notwithstanding any pre-clearance of a 10b5-1 Trading Plan, the Company assumes no liability for the consequences of any transaction made pursuant to such plan.</w:t>
      </w:r>
    </w:p>
    <w:p>
      <w:pPr>
        <w:spacing w:after="0" w:line="193"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If you enter into a 10b5-1 Trading Plan, your 10b5-1 Trading Plan should be structured to avoid purchases or sales shortly before known announcements, such as quarterly or annual earnings announcements. Even though transactions executed in accordance with a properly formulated 10b5-1 Trading Plan are exempt from the insider trading rules, the trades may nonetheless occur at times shortly before the Company announces material news, and the investing public and media may not understand the nuances of trading pursuant to a 10b5-1 Trading Plan. This could result in negative publicity for you and the Company if the SEC or the stock exchange were to investigate your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21" w:name="page122"/>
    <w:bookmarkEnd w:id="121"/>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0">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spacing w:after="0" w:line="267" w:lineRule="auto"/>
        <w:rPr>
          <w:sz w:val="20"/>
          <w:szCs w:val="20"/>
          <w:color w:val="auto"/>
        </w:rPr>
      </w:pPr>
      <w:r>
        <w:rPr>
          <w:rFonts w:ascii="Arial" w:cs="Arial" w:eastAsia="Arial" w:hAnsi="Arial"/>
          <w:sz w:val="19"/>
          <w:szCs w:val="19"/>
          <w:color w:val="auto"/>
        </w:rPr>
        <w:t>For Insiders (including any Section 16 Persons), any modification, amendment, or termination of a pre-approved 10b5-1 Trading Plan requires pre-clearance by the Chief Legal Officer or the Chief Legal Officer’s designee (or in the case of the Chief Legal Officer, the Chief Financial Officer). In addition, any modification of a pre-approved 10b5-1 Trading Plan as to the amount, price, or timing of the purchase or sale of the securities underlying the plan (a “</w:t>
      </w:r>
      <w:r>
        <w:rPr>
          <w:rFonts w:ascii="Arial" w:cs="Arial" w:eastAsia="Arial" w:hAnsi="Arial"/>
          <w:sz w:val="19"/>
          <w:szCs w:val="19"/>
          <w:b w:val="1"/>
          <w:bCs w:val="1"/>
          <w:color w:val="auto"/>
        </w:rPr>
        <w:t>Material Modification</w:t>
      </w:r>
      <w:r>
        <w:rPr>
          <w:rFonts w:ascii="Arial" w:cs="Arial" w:eastAsia="Arial" w:hAnsi="Arial"/>
          <w:sz w:val="19"/>
          <w:szCs w:val="19"/>
          <w:color w:val="auto"/>
        </w:rPr>
        <w:t>”) constitutes a termination of the existing plan and the adoption of a new 10b5-1 Plan and as such, must occur when you are not aware of any Material Non-Public Information and must comply with all other requirements of the rules regarding 10b5-1 trading plans, including the required cooling-off period and, if you are subject to Window Period restrictions, must take place during a Window Period. If you are considering administerial changes to your 10b5-1 Trading Plan, such as changing the account information, you should consult with the Chief Legal Officer or the Chief Legal Officer’s designee in advance to confirm that any such change does not constitute a Material Modification of your plan.</w:t>
      </w:r>
    </w:p>
    <w:p>
      <w:pPr>
        <w:spacing w:after="0" w:line="161"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The termination (other than through an amendment or modification) of an existing 10b5-1 Trading Plan must be reviewed and approved in advance by the Chief Legal Officer or the Chief Legal Officer’s designee (or in the case of the Chief Legal Officer, the Chief Financial Officer) in accordance with pre-clearance procedures set forth in Section 5.0. Except in limited circumstances, the Chief Legal Officer or the Chief Legal Officer’s designee will not approve the termination of a 10b5-1 Trading Plan unless (i) you terminate a 10b5-1 Trading Plan at a time when you are not aware of Material Non-Public Information about the Company or its securities; and (ii) the Window Period is open if you are subject to Window Periods.</w:t>
      </w:r>
    </w:p>
    <w:p>
      <w:pPr>
        <w:spacing w:after="0" w:line="186"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Subject to certain exceptions, Insiders may not have more than one 10b5-1 Trading Plan effecting trades at a time. The foregoing prohibition on overlapping 10b5-1 Trading Plans in the preceding sentence does not apply to:</w:t>
      </w:r>
    </w:p>
    <w:p>
      <w:pPr>
        <w:spacing w:after="0" w:line="156" w:lineRule="exact"/>
        <w:rPr>
          <w:sz w:val="20"/>
          <w:szCs w:val="20"/>
          <w:color w:val="auto"/>
        </w:rPr>
      </w:pPr>
    </w:p>
    <w:p>
      <w:pPr>
        <w:jc w:val="both"/>
        <w:ind w:left="1300" w:hanging="320"/>
        <w:spacing w:after="0" w:line="226" w:lineRule="auto"/>
        <w:tabs>
          <w:tab w:leader="none" w:pos="1288" w:val="left"/>
        </w:tabs>
        <w:numPr>
          <w:ilvl w:val="0"/>
          <w:numId w:val="82"/>
        </w:numPr>
        <w:rPr>
          <w:rFonts w:ascii="Times New Roman" w:cs="Times New Roman" w:eastAsia="Times New Roman" w:hAnsi="Times New Roman"/>
          <w:sz w:val="20"/>
          <w:szCs w:val="20"/>
          <w:color w:val="auto"/>
        </w:rPr>
      </w:pPr>
      <w:r>
        <w:rPr>
          <w:rFonts w:ascii="Arial" w:cs="Arial" w:eastAsia="Arial" w:hAnsi="Arial"/>
          <w:sz w:val="20"/>
          <w:szCs w:val="20"/>
          <w:color w:val="auto"/>
        </w:rPr>
        <w:t>Two separate 10b5-1 Trading Plans in effect at the same time (but not trading at the same time) so long as your later-commencing plan meets all the conditions set forth in Rule 10b5-1. Please consult the Chief Legal Officer or the Chief Legal Officer’s designee with any questions regarding overlapping plans.</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25" w:lineRule="auto"/>
        <w:tabs>
          <w:tab w:leader="none" w:pos="1288" w:val="left"/>
        </w:tabs>
        <w:numPr>
          <w:ilvl w:val="0"/>
          <w:numId w:val="82"/>
        </w:numPr>
        <w:rPr>
          <w:rFonts w:ascii="Times New Roman" w:cs="Times New Roman" w:eastAsia="Times New Roman" w:hAnsi="Times New Roman"/>
          <w:sz w:val="20"/>
          <w:szCs w:val="20"/>
          <w:color w:val="auto"/>
        </w:rPr>
      </w:pPr>
      <w:r>
        <w:rPr>
          <w:rFonts w:ascii="Arial" w:cs="Arial" w:eastAsia="Arial" w:hAnsi="Arial"/>
          <w:sz w:val="20"/>
          <w:szCs w:val="20"/>
          <w:color w:val="auto"/>
        </w:rPr>
        <w:t>Separate 10b5-1 Trading Plans for “sell-to-cover” transactions in which an Insider authorizes an agent to sell only such securities (excluding stock options) as are necessary in order to satisfy tax withholding obligations arising exclusively from the vesting of a compensatory award, such as restricted stock and restricted stock units (a “</w:t>
      </w:r>
      <w:r>
        <w:rPr>
          <w:rFonts w:ascii="Arial" w:cs="Arial" w:eastAsia="Arial" w:hAnsi="Arial"/>
          <w:sz w:val="20"/>
          <w:szCs w:val="20"/>
          <w:b w:val="1"/>
          <w:bCs w:val="1"/>
          <w:color w:val="auto"/>
        </w:rPr>
        <w:t>STC</w:t>
      </w:r>
      <w:r>
        <w:rPr>
          <w:rFonts w:ascii="Arial" w:cs="Arial" w:eastAsia="Arial" w:hAnsi="Arial"/>
          <w:sz w:val="20"/>
          <w:szCs w:val="20"/>
          <w:color w:val="auto"/>
        </w:rPr>
        <w:t xml:space="preserve"> </w:t>
      </w:r>
      <w:r>
        <w:rPr>
          <w:rFonts w:ascii="Arial" w:cs="Arial" w:eastAsia="Arial" w:hAnsi="Arial"/>
          <w:sz w:val="20"/>
          <w:szCs w:val="20"/>
          <w:b w:val="1"/>
          <w:bCs w:val="1"/>
          <w:color w:val="auto"/>
        </w:rPr>
        <w:t>10b5-1 Trading Plan</w:t>
      </w:r>
      <w:r>
        <w:rPr>
          <w:rFonts w:ascii="Arial" w:cs="Arial" w:eastAsia="Arial" w:hAnsi="Arial"/>
          <w:sz w:val="20"/>
          <w:szCs w:val="20"/>
          <w:color w:val="auto"/>
        </w:rPr>
        <w:t>”).</w:t>
      </w:r>
    </w:p>
    <w:p>
      <w:pPr>
        <w:spacing w:after="0" w:line="135"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288" w:val="left"/>
        </w:tabs>
        <w:numPr>
          <w:ilvl w:val="0"/>
          <w:numId w:val="82"/>
        </w:numPr>
        <w:rPr>
          <w:rFonts w:ascii="Times New Roman" w:cs="Times New Roman" w:eastAsia="Times New Roman" w:hAnsi="Times New Roman"/>
          <w:sz w:val="20"/>
          <w:szCs w:val="20"/>
          <w:color w:val="auto"/>
        </w:rPr>
      </w:pPr>
      <w:r>
        <w:rPr>
          <w:rFonts w:ascii="Arial" w:cs="Arial" w:eastAsia="Arial" w:hAnsi="Arial"/>
          <w:sz w:val="20"/>
          <w:szCs w:val="20"/>
          <w:color w:val="auto"/>
        </w:rPr>
        <w:t>Insiders that enter into a series of 10b5-1 trading plans with different broker-dealers or other agents acting on behalf of the Insider that are treated as a single 10b5-1 Trading Plan; provided that such plans with each broker-dealer or other agent, when taken together as a whole, meet all of the appliable conditions of, and remain collectively subject to Exchange Act Rule 10b5-1(c)(1).</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20"/>
          <w:szCs w:val="20"/>
          <w:color w:val="auto"/>
        </w:rPr>
        <w:t>Other than a STC 10b5-1 Trading Plan, Insiders may not have more than one 10b5-1 Trading Plan designed to effect the open-market purchase or sale of the total amount of securities as a single transaction during any rolling 12-month period. The affirmative defense provided under Exchange Act Rule 10b5-1(c) will only be available for a single-trade plan if such Insider had not, during the preceding 12-month period,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22" w:name="page123"/>
    <w:bookmarkEnd w:id="122"/>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another single-trade plan that qualified for the affirmative defense. Transactions effected pursuant to a pre-cleared 10b5-1 Trading Plan will not require further pre-clearance at the time of the transaction if the plan specifies the dates, prices, and amounts of the contemplated trades, or establishes a formula for determining the dates, prices, and amounts. Note that if you are a Section 16 Person, the Company may be required to disclose the material terms of your 10b5-1 Trading Plan (and may be required to disclose the material terms of Rule 10b5-1 Trading Plans of your family members and controlled entities), other than respect to price, in the Company’s periodic report for the quarter in which the 10b5-1 trading plan is adopted, terminated, or modified.</w:t>
      </w:r>
    </w:p>
    <w:p>
      <w:pPr>
        <w:spacing w:after="0" w:line="186"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Finally, if you are a Section 16 Person, 10b5-1 Trading Plans require special care. Because in a 10b5-1 Trading Plan you can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10b5-1 trading plan is not permitted unless the 10b5-1 trading plan requires your broker to notify the Company, specifically the Legal Department before the close of business on the day of the execution of the transaction. See Section 8.0.</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8.0</w:t>
      </w:r>
      <w:r>
        <w:rPr>
          <w:sz w:val="20"/>
          <w:szCs w:val="20"/>
          <w:color w:val="auto"/>
        </w:rPr>
        <w:tab/>
      </w:r>
      <w:r>
        <w:rPr>
          <w:rFonts w:ascii="Arial" w:cs="Arial" w:eastAsia="Arial" w:hAnsi="Arial"/>
          <w:sz w:val="19"/>
          <w:szCs w:val="19"/>
          <w:b w:val="1"/>
          <w:bCs w:val="1"/>
          <w:color w:val="auto"/>
        </w:rPr>
        <w:t>Potential Criminal and Civil Liability and/or Disciplinary Action</w:t>
      </w:r>
    </w:p>
    <w:p>
      <w:pPr>
        <w:spacing w:after="0" w:line="191"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Individual Responsibility</w:t>
      </w:r>
      <w:r>
        <w:rPr>
          <w:rFonts w:ascii="Arial" w:cs="Arial" w:eastAsia="Arial" w:hAnsi="Arial"/>
          <w:sz w:val="20"/>
          <w:szCs w:val="20"/>
          <w:color w:val="auto"/>
        </w:rPr>
        <w:t>. Each Insider is individually responsible for complying with the securities laws and this Policy, regardless of whether the Company has prohibited trading by that Insider or any other Insiders. Trading in securities</w:t>
      </w:r>
    </w:p>
    <w:p>
      <w:pPr>
        <w:ind w:left="660"/>
        <w:spacing w:after="0" w:line="212" w:lineRule="auto"/>
        <w:rPr>
          <w:sz w:val="20"/>
          <w:szCs w:val="20"/>
          <w:color w:val="auto"/>
        </w:rPr>
      </w:pPr>
      <w:r>
        <w:rPr>
          <w:rFonts w:ascii="Arial" w:cs="Arial" w:eastAsia="Arial" w:hAnsi="Arial"/>
          <w:sz w:val="20"/>
          <w:szCs w:val="20"/>
          <w:color w:val="auto"/>
        </w:rPr>
        <w:t>during the Window Periods and outside of any suspension periods should not be considered a safe harbor. We remind</w:t>
      </w:r>
    </w:p>
    <w:p>
      <w:pPr>
        <w:spacing w:after="0" w:line="1" w:lineRule="exact"/>
        <w:rPr>
          <w:sz w:val="20"/>
          <w:szCs w:val="20"/>
          <w:color w:val="auto"/>
        </w:rPr>
      </w:pPr>
    </w:p>
    <w:p>
      <w:pPr>
        <w:jc w:val="both"/>
        <w:ind w:left="660"/>
        <w:spacing w:after="0" w:line="215" w:lineRule="auto"/>
        <w:rPr>
          <w:sz w:val="20"/>
          <w:szCs w:val="20"/>
          <w:color w:val="auto"/>
        </w:rPr>
      </w:pPr>
      <w:r>
        <w:rPr>
          <w:rFonts w:ascii="Arial" w:cs="Arial" w:eastAsia="Arial" w:hAnsi="Arial"/>
          <w:sz w:val="19"/>
          <w:szCs w:val="19"/>
          <w:color w:val="auto"/>
        </w:rPr>
        <w:t>you that, whether or not during a Window Period, you may not trade securities of the Company or securities of Business Partners based on Material Non-Public Information about the Company or its securities or Business Partner or its</w:t>
      </w:r>
    </w:p>
    <w:p>
      <w:pPr>
        <w:ind w:left="660"/>
        <w:spacing w:after="0"/>
        <w:rPr>
          <w:sz w:val="20"/>
          <w:szCs w:val="20"/>
          <w:color w:val="auto"/>
        </w:rPr>
      </w:pPr>
      <w:r>
        <w:rPr>
          <w:rFonts w:ascii="Arial" w:cs="Arial" w:eastAsia="Arial" w:hAnsi="Arial"/>
          <w:sz w:val="20"/>
          <w:szCs w:val="20"/>
          <w:color w:val="auto"/>
        </w:rPr>
        <w:t>securities, as applicable.</w:t>
      </w:r>
    </w:p>
    <w:p>
      <w:pPr>
        <w:spacing w:after="0" w:line="184" w:lineRule="exact"/>
        <w:rPr>
          <w:sz w:val="20"/>
          <w:szCs w:val="20"/>
          <w:color w:val="auto"/>
        </w:rPr>
      </w:pPr>
    </w:p>
    <w:p>
      <w:pPr>
        <w:jc w:val="both"/>
        <w:ind w:left="660"/>
        <w:spacing w:after="0" w:line="251" w:lineRule="auto"/>
        <w:rPr>
          <w:sz w:val="20"/>
          <w:szCs w:val="20"/>
          <w:color w:val="auto"/>
        </w:rPr>
      </w:pPr>
      <w:r>
        <w:rPr>
          <w:rFonts w:ascii="Arial" w:cs="Arial" w:eastAsia="Arial" w:hAnsi="Arial"/>
          <w:sz w:val="20"/>
          <w:szCs w:val="20"/>
          <w:color w:val="auto"/>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about the Company or any Business Partner, it is advisable that you invest in the Company’s securities or the securities of any company that has a substantial relationship with the Company from the perspective of a long term investor who would like to participate over time in the Company’s or such company’s earnings growth.</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u w:val="single" w:color="auto"/>
          <w:color w:val="auto"/>
        </w:rPr>
        <w:t>Controlling Persons</w:t>
      </w:r>
      <w:r>
        <w:rPr>
          <w:rFonts w:ascii="Arial" w:cs="Arial" w:eastAsia="Arial" w:hAnsi="Arial"/>
          <w:sz w:val="20"/>
          <w:szCs w:val="20"/>
          <w:color w:val="auto"/>
        </w:rPr>
        <w:t>. Federal securities laws provide that, in addition to sanctions against an individual who trades</w:t>
      </w:r>
    </w:p>
    <w:p>
      <w:pPr>
        <w:jc w:val="both"/>
        <w:ind w:left="660"/>
        <w:spacing w:after="0" w:line="204" w:lineRule="auto"/>
        <w:rPr>
          <w:sz w:val="20"/>
          <w:szCs w:val="20"/>
          <w:color w:val="auto"/>
        </w:rPr>
      </w:pPr>
      <w:r>
        <w:rPr>
          <w:rFonts w:ascii="Arial" w:cs="Arial" w:eastAsia="Arial" w:hAnsi="Arial"/>
          <w:sz w:val="20"/>
          <w:szCs w:val="20"/>
          <w:color w:val="auto"/>
        </w:rPr>
        <w:t>illegally, penalties may be assessed against what are known as controlling persons with respect to the violator. The term “</w:t>
      </w:r>
      <w:r>
        <w:rPr>
          <w:rFonts w:ascii="Arial" w:cs="Arial" w:eastAsia="Arial" w:hAnsi="Arial"/>
          <w:sz w:val="20"/>
          <w:szCs w:val="20"/>
          <w:b w:val="1"/>
          <w:bCs w:val="1"/>
          <w:color w:val="auto"/>
        </w:rPr>
        <w:t>controlling person</w:t>
      </w:r>
      <w:r>
        <w:rPr>
          <w:rFonts w:ascii="Arial" w:cs="Arial" w:eastAsia="Arial" w:hAnsi="Arial"/>
          <w:sz w:val="20"/>
          <w:szCs w:val="20"/>
          <w:color w:val="auto"/>
        </w:rPr>
        <w:t>” is not defined, but includes employers (i.e., the Company), its board members, officers, and</w:t>
      </w:r>
    </w:p>
    <w:p>
      <w:pPr>
        <w:ind w:left="660"/>
        <w:spacing w:after="0" w:line="211" w:lineRule="auto"/>
        <w:rPr>
          <w:sz w:val="20"/>
          <w:szCs w:val="20"/>
          <w:color w:val="auto"/>
        </w:rPr>
      </w:pPr>
      <w:r>
        <w:rPr>
          <w:rFonts w:ascii="Arial" w:cs="Arial" w:eastAsia="Arial" w:hAnsi="Arial"/>
          <w:sz w:val="20"/>
          <w:szCs w:val="20"/>
          <w:color w:val="auto"/>
        </w:rPr>
        <w:t>managerial and supervisory personnel. The concept is broader than what would normally be encompassed by a</w:t>
      </w:r>
    </w:p>
    <w:p>
      <w:pPr>
        <w:spacing w:after="0" w:line="1" w:lineRule="exact"/>
        <w:rPr>
          <w:sz w:val="20"/>
          <w:szCs w:val="20"/>
          <w:color w:val="auto"/>
        </w:rPr>
      </w:pPr>
    </w:p>
    <w:p>
      <w:pPr>
        <w:jc w:val="both"/>
        <w:ind w:left="660"/>
        <w:spacing w:after="0" w:line="215" w:lineRule="auto"/>
        <w:rPr>
          <w:sz w:val="20"/>
          <w:szCs w:val="20"/>
          <w:color w:val="auto"/>
        </w:rPr>
      </w:pPr>
      <w:r>
        <w:rPr>
          <w:rFonts w:ascii="Arial" w:cs="Arial" w:eastAsia="Arial" w:hAnsi="Arial"/>
          <w:sz w:val="19"/>
          <w:szCs w:val="19"/>
          <w:color w:val="auto"/>
        </w:rPr>
        <w:t>reporting chain. Individuals may be considered controlling persons with respect to any other individual whose behavior they have the power to influence. Liability can be imposed only if two conditions are met. First, it must be shown that the</w:t>
      </w:r>
    </w:p>
    <w:p>
      <w:pPr>
        <w:ind w:left="660"/>
        <w:spacing w:after="0"/>
        <w:rPr>
          <w:sz w:val="20"/>
          <w:szCs w:val="20"/>
          <w:color w:val="auto"/>
        </w:rPr>
      </w:pPr>
      <w:r>
        <w:rPr>
          <w:rFonts w:ascii="Arial" w:cs="Arial" w:eastAsia="Arial" w:hAnsi="Arial"/>
          <w:sz w:val="20"/>
          <w:szCs w:val="20"/>
          <w:color w:val="auto"/>
        </w:rPr>
        <w:t>controlling person knew or recklessly disregarded the fact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11</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23" w:name="page124"/>
    <w:bookmarkEnd w:id="123"/>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2">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spacing w:after="0" w:line="231" w:lineRule="auto"/>
        <w:rPr>
          <w:sz w:val="20"/>
          <w:szCs w:val="20"/>
          <w:color w:val="auto"/>
        </w:rPr>
      </w:pPr>
      <w:r>
        <w:rPr>
          <w:rFonts w:ascii="Arial" w:cs="Arial" w:eastAsia="Arial" w:hAnsi="Arial"/>
          <w:sz w:val="20"/>
          <w:szCs w:val="20"/>
          <w:color w:val="auto"/>
        </w:rPr>
        <w:t>violation was likely. 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Potential Sanctions</w:t>
      </w:r>
      <w:r>
        <w:rPr>
          <w:rFonts w:ascii="Arial" w:cs="Arial" w:eastAsia="Arial" w:hAnsi="Arial"/>
          <w:sz w:val="19"/>
          <w:szCs w:val="19"/>
          <w:color w:val="auto"/>
        </w:rPr>
        <w:t>.</w:t>
      </w:r>
    </w:p>
    <w:p>
      <w:pPr>
        <w:spacing w:after="0" w:line="189" w:lineRule="exact"/>
        <w:rPr>
          <w:sz w:val="20"/>
          <w:szCs w:val="20"/>
          <w:color w:val="auto"/>
        </w:rPr>
      </w:pPr>
    </w:p>
    <w:p>
      <w:pPr>
        <w:jc w:val="both"/>
        <w:ind w:left="1300" w:hanging="644"/>
        <w:spacing w:after="0" w:line="215" w:lineRule="auto"/>
        <w:tabs>
          <w:tab w:leader="none" w:pos="128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Liability for Company Insider Trading and Tipping.</w:t>
      </w:r>
      <w:r>
        <w:rPr>
          <w:rFonts w:ascii="Arial" w:cs="Arial" w:eastAsia="Arial" w:hAnsi="Arial"/>
          <w:sz w:val="20"/>
          <w:szCs w:val="20"/>
          <w:color w:val="auto"/>
        </w:rPr>
        <w:t xml:space="preserve"> Insiders, controlling persons and the Company may be subject to civil penalties, criminal penalties and/or jail for trading in Company securities or securities of Business Partners when they have Material Non-Public Information or for improper transactions by any person (commonly referred to as a “</w:t>
      </w:r>
      <w:r>
        <w:rPr>
          <w:rFonts w:ascii="Arial" w:cs="Arial" w:eastAsia="Arial" w:hAnsi="Arial"/>
          <w:sz w:val="20"/>
          <w:szCs w:val="20"/>
          <w:b w:val="1"/>
          <w:bCs w:val="1"/>
          <w:color w:val="auto"/>
        </w:rPr>
        <w:t>tippee</w:t>
      </w:r>
      <w:r>
        <w:rPr>
          <w:rFonts w:ascii="Arial" w:cs="Arial" w:eastAsia="Arial" w:hAnsi="Arial"/>
          <w:sz w:val="20"/>
          <w:szCs w:val="20"/>
          <w:color w:val="auto"/>
        </w:rPr>
        <w:t>”)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w:t>
      </w:r>
      <w:r>
        <w:rPr>
          <w:rFonts w:ascii="Arial" w:cs="Arial" w:eastAsia="Arial" w:hAnsi="Arial"/>
          <w:sz w:val="20"/>
          <w:szCs w:val="20"/>
          <w:b w:val="1"/>
          <w:bCs w:val="1"/>
          <w:color w:val="auto"/>
        </w:rPr>
        <w:t>FINRA</w:t>
      </w:r>
      <w:r>
        <w:rPr>
          <w:rFonts w:ascii="Arial" w:cs="Arial" w:eastAsia="Arial" w:hAnsi="Arial"/>
          <w:sz w:val="20"/>
          <w:szCs w:val="20"/>
          <w:color w:val="auto"/>
        </w:rPr>
        <w:t>”) use sophisticated electronic surveillance techniques to uncover insider trading.</w:t>
      </w:r>
    </w:p>
    <w:p>
      <w:pPr>
        <w:spacing w:after="0" w:line="147" w:lineRule="exact"/>
        <w:rPr>
          <w:rFonts w:ascii="Arial" w:cs="Arial" w:eastAsia="Arial" w:hAnsi="Arial"/>
          <w:sz w:val="20"/>
          <w:szCs w:val="20"/>
          <w:color w:val="auto"/>
        </w:rPr>
      </w:pPr>
    </w:p>
    <w:p>
      <w:pPr>
        <w:jc w:val="both"/>
        <w:ind w:left="1300" w:hanging="644"/>
        <w:spacing w:after="0" w:line="223" w:lineRule="auto"/>
        <w:tabs>
          <w:tab w:leader="none" w:pos="129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Possible Disciplinary Actions.</w:t>
      </w:r>
      <w:r>
        <w:rPr>
          <w:rFonts w:ascii="Arial" w:cs="Arial" w:eastAsia="Arial" w:hAnsi="Arial"/>
          <w:sz w:val="20"/>
          <w:szCs w:val="20"/>
          <w:color w:val="auto"/>
        </w:rPr>
        <w:t xml:space="preserve"> Insiders who violate this Policy will be subject to disciplinary action, up to and including termination of employment for cause, whether or not the Insider’s failure to comply results in a violation of law. Needless to say, a violation of law, or even an SEC investigation that does not result in prosecution, can tarnish one’s reputation, and irreparably damage a career.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u w:val="single" w:color="auto"/>
          <w:color w:val="auto"/>
        </w:rPr>
        <w:t>Questions and Violations</w:t>
      </w:r>
      <w:r>
        <w:rPr>
          <w:rFonts w:ascii="Arial" w:cs="Arial" w:eastAsia="Arial" w:hAnsi="Arial"/>
          <w:sz w:val="20"/>
          <w:szCs w:val="20"/>
          <w:color w:val="auto"/>
        </w:rPr>
        <w:t>. Anyone with questions concerning this Policy or its application should contact the Legal</w:t>
      </w:r>
    </w:p>
    <w:p>
      <w:pPr>
        <w:jc w:val="both"/>
        <w:ind w:left="660"/>
        <w:spacing w:after="0" w:line="225" w:lineRule="auto"/>
        <w:rPr>
          <w:sz w:val="20"/>
          <w:szCs w:val="20"/>
          <w:color w:val="auto"/>
        </w:rPr>
      </w:pPr>
      <w:r>
        <w:rPr>
          <w:rFonts w:ascii="Arial" w:cs="Arial" w:eastAsia="Arial" w:hAnsi="Arial"/>
          <w:sz w:val="20"/>
          <w:szCs w:val="20"/>
          <w:color w:val="auto"/>
        </w:rPr>
        <w:t>Department. Any violation or perceived violation should be reported immediately to the Legal Department at Legal-Securities@academy.com.</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9.0</w:t>
      </w:r>
      <w:r>
        <w:rPr>
          <w:sz w:val="20"/>
          <w:szCs w:val="20"/>
          <w:color w:val="auto"/>
        </w:rPr>
        <w:tab/>
      </w:r>
      <w:r>
        <w:rPr>
          <w:rFonts w:ascii="Arial" w:cs="Arial" w:eastAsia="Arial" w:hAnsi="Arial"/>
          <w:sz w:val="19"/>
          <w:szCs w:val="19"/>
          <w:b w:val="1"/>
          <w:bCs w:val="1"/>
          <w:color w:val="auto"/>
        </w:rPr>
        <w:t>Broker Requirements for Section 16 Persons</w:t>
      </w:r>
    </w:p>
    <w:p>
      <w:pPr>
        <w:spacing w:after="0" w:line="204"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The timely reporting of transactions requires tight interface with brokers handling transactions for Section 16 Persons. A knowledgeable, alert broker can also serve as a gatekeeper, helping to ensure compliance with Academy’s pre-clearance procedures and prevent inadvertent violations. Therefore, in order to facilitate timely compliance by Section 16 Persons with the requirements of Section 16 of the Exchange Act, brokers of Section 16 Persons need to comply with the following requirements:</w:t>
      </w:r>
    </w:p>
    <w:p>
      <w:pPr>
        <w:spacing w:after="0" w:line="174" w:lineRule="exact"/>
        <w:rPr>
          <w:sz w:val="20"/>
          <w:szCs w:val="20"/>
          <w:color w:val="auto"/>
        </w:rPr>
      </w:pPr>
    </w:p>
    <w:p>
      <w:pPr>
        <w:jc w:val="both"/>
        <w:ind w:left="1300" w:right="20" w:hanging="320"/>
        <w:spacing w:after="0" w:line="226" w:lineRule="auto"/>
        <w:tabs>
          <w:tab w:leader="none" w:pos="1288"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not to enter any order (except for orders under pre-approved 10b5-1 plans) without first verifying with the Legal Department that your transaction was pre-cleared and complying with the brokerage firm’s compliance procedures (e.g., Rule 144), and</w:t>
      </w:r>
    </w:p>
    <w:p>
      <w:pPr>
        <w:spacing w:after="0" w:line="159" w:lineRule="exact"/>
        <w:rPr>
          <w:rFonts w:ascii="Times New Roman" w:cs="Times New Roman" w:eastAsia="Times New Roman" w:hAnsi="Times New Roman"/>
          <w:sz w:val="20"/>
          <w:szCs w:val="20"/>
          <w:color w:val="auto"/>
        </w:rPr>
      </w:pPr>
    </w:p>
    <w:p>
      <w:pPr>
        <w:jc w:val="both"/>
        <w:ind w:left="1300" w:hanging="320"/>
        <w:spacing w:after="0" w:line="219" w:lineRule="auto"/>
        <w:tabs>
          <w:tab w:leader="none" w:pos="1288" w:val="left"/>
        </w:tabs>
        <w:numPr>
          <w:ilvl w:val="0"/>
          <w:numId w:val="84"/>
        </w:numPr>
        <w:rPr>
          <w:rFonts w:ascii="Times New Roman" w:cs="Times New Roman" w:eastAsia="Times New Roman" w:hAnsi="Times New Roman"/>
          <w:sz w:val="20"/>
          <w:szCs w:val="20"/>
          <w:color w:val="auto"/>
        </w:rPr>
      </w:pPr>
      <w:r>
        <w:rPr>
          <w:rFonts w:ascii="Arial" w:cs="Arial" w:eastAsia="Arial" w:hAnsi="Arial"/>
          <w:sz w:val="20"/>
          <w:szCs w:val="20"/>
          <w:color w:val="auto"/>
        </w:rPr>
        <w:t>to report before the close of business on the day of the execution of the transaction by telephone and in writing via e-mail to the Legal Department, the complete (i.e., date, type of transaction, number of shares, price or such other details that may be reasonably requested by the Legal Department) details of every transaction involving the Company’s equity securities, including gifts, transfers, pledges and all 10b5-1 transactions.</w:t>
      </w:r>
    </w:p>
    <w:p>
      <w:pPr>
        <w:spacing w:after="0" w:line="172"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Because it is the legal obligation of the Section 16 Person to cause any filings on Form 3, Form 4, Form 5, or Form 144 (or as may otherwise be required) to be made, you are strongly encouraged to confirm following any transaction that your broker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12</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24" w:name="page125"/>
    <w:bookmarkEnd w:id="124"/>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3">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immediately e-mailed the required information to the Legal Department at Legal-Securities@academy.com.</w:t>
      </w: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19"/>
          <w:szCs w:val="19"/>
          <w:b w:val="1"/>
          <w:bCs w:val="1"/>
          <w:color w:val="auto"/>
        </w:rPr>
        <w:t>Confidentiality</w:t>
      </w:r>
    </w:p>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Company Personnel should not disclose any confidential information to non-Company Personnel (including to family members), except when necessary to carry out the Company’s business and then only when the Company Personnel disclosing the information has no reason to believe that the recipient will misuse the information (for example, when such disclosures are authorized as necessary to facilitate negotiations with vendors, suppliers or customers under confidentiality agreements).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Non-Public Information should not be discussed with any person within the Company under circumstances where it could be overheard. If you have specific questions regarding which disclosures, if any, about the Company may be appropriate to disclose to non-Company Personnel (including to family members) please contact the Legal Department.</w:t>
      </w:r>
    </w:p>
    <w:p>
      <w:pPr>
        <w:spacing w:after="0" w:line="180" w:lineRule="exact"/>
        <w:rPr>
          <w:sz w:val="20"/>
          <w:szCs w:val="20"/>
          <w:color w:val="auto"/>
        </w:rPr>
      </w:pPr>
    </w:p>
    <w:p>
      <w:pPr>
        <w:jc w:val="both"/>
        <w:ind w:left="660"/>
        <w:spacing w:after="0" w:line="254" w:lineRule="auto"/>
        <w:rPr>
          <w:sz w:val="20"/>
          <w:szCs w:val="20"/>
          <w:color w:val="auto"/>
        </w:rPr>
      </w:pPr>
      <w:r>
        <w:rPr>
          <w:rFonts w:ascii="Arial" w:cs="Arial" w:eastAsia="Arial" w:hAnsi="Arial"/>
          <w:sz w:val="20"/>
          <w:szCs w:val="20"/>
          <w:color w:val="auto"/>
        </w:rPr>
        <w:t>In addition to other circumstances where it may be applicable, this confidentiality policy must be strictly adhered to concerning inquiries about the Company that may be made by securities analysts or other members of the financial community. It is important that responses to any such inquiries be made on behalf of the Company by a duly designated officer. Accordingly, Company Personnel should not respond to any such inquiries and should refer all such inquiries to the Chief Financial Officer, the Chief Legal Officer, or the head of Investor Relations. See also, Statement of Policy, Sections 3.4 and 3.5.</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b w:val="1"/>
          <w:bCs w:val="1"/>
          <w:color w:val="auto"/>
        </w:rPr>
        <w:t>Legal Effect of this Policy</w:t>
      </w:r>
    </w:p>
    <w:p>
      <w:pPr>
        <w:spacing w:after="0" w:line="204" w:lineRule="exact"/>
        <w:rPr>
          <w:sz w:val="20"/>
          <w:szCs w:val="20"/>
          <w:color w:val="auto"/>
        </w:rPr>
      </w:pPr>
    </w:p>
    <w:p>
      <w:pPr>
        <w:jc w:val="both"/>
        <w:ind w:left="660"/>
        <w:spacing w:after="0" w:line="271" w:lineRule="auto"/>
        <w:rPr>
          <w:sz w:val="20"/>
          <w:szCs w:val="20"/>
          <w:color w:val="auto"/>
        </w:rPr>
      </w:pPr>
      <w:r>
        <w:rPr>
          <w:rFonts w:ascii="Arial" w:cs="Arial" w:eastAsia="Arial" w:hAnsi="Arial"/>
          <w:sz w:val="19"/>
          <w:szCs w:val="19"/>
          <w:color w:val="auto"/>
        </w:rPr>
        <w:t>The Company’s Policy with respect to insider trading and the disclosure of confidential information, and the procedures that implement this Policy, are not intended to serve as precise recitations of the legal prohibitions against insider trading and tipping which are highly complex, fact specific and evolving. Certain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b w:val="1"/>
          <w:bCs w:val="1"/>
          <w:color w:val="auto"/>
        </w:rPr>
        <w:t>Administration of this Policy</w:t>
      </w:r>
    </w:p>
    <w:p>
      <w:pPr>
        <w:spacing w:after="0" w:line="191"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The Chief Legal Officer shall administer this Policy. In the absence of the Chief Legal Officer, Deputy General Counsel, an Associate General Counsel, or another Legal Department team member designated by the Chief Executive Officer or the Chief Legal Officer shall be responsible for the administration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13</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240"/>
          </w:cols>
          <w:pgMar w:left="320" w:top="264" w:right="339" w:bottom="1440" w:gutter="0" w:footer="0" w:header="0"/>
        </w:sectPr>
      </w:pPr>
    </w:p>
    <w:bookmarkStart w:id="125" w:name="page126"/>
    <w:bookmarkEnd w:id="125"/>
    <w:p>
      <w:pPr>
        <w:ind w:left="2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26505" cy="514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4">
                      <a:extLst>
                        <a:ext uri="{28A0092B-C50C-407E-A947-70E740481C1C}"/>
                      </a:extLst>
                    </a:blip>
                    <a:srcRect/>
                    <a:stretch>
                      <a:fillRect/>
                    </a:stretch>
                  </pic:blipFill>
                  <pic:spPr bwMode="auto">
                    <a:xfrm>
                      <a:off x="0" y="0"/>
                      <a:ext cx="6326505" cy="514350"/>
                    </a:xfrm>
                    <a:prstGeom prst="rect">
                      <a:avLst/>
                    </a:prstGeom>
                    <a:noFill/>
                  </pic:spPr>
                </pic:pic>
              </a:graphicData>
            </a:graphic>
          </wp:anchor>
        </w:drawing>
        <w:t>Insider Trading Policy</w:t>
      </w:r>
    </w:p>
    <w:p>
      <w:pPr>
        <w:spacing w:after="0" w:line="193" w:lineRule="exact"/>
        <w:rPr>
          <w:sz w:val="20"/>
          <w:szCs w:val="20"/>
          <w:color w:val="auto"/>
        </w:rPr>
      </w:pPr>
    </w:p>
    <w:p>
      <w:pPr>
        <w:ind w:left="2520"/>
        <w:spacing w:after="0"/>
        <w:tabs>
          <w:tab w:leader="none" w:pos="6220" w:val="left"/>
        </w:tabs>
        <w:rPr>
          <w:sz w:val="20"/>
          <w:szCs w:val="20"/>
          <w:color w:val="auto"/>
        </w:rPr>
      </w:pPr>
      <w:r>
        <w:rPr>
          <w:rFonts w:ascii="Arial" w:cs="Arial" w:eastAsia="Arial" w:hAnsi="Arial"/>
          <w:sz w:val="18"/>
          <w:szCs w:val="18"/>
          <w:color w:val="auto"/>
        </w:rPr>
        <w:t>Policy No. LEG905.4</w:t>
      </w:r>
      <w:r>
        <w:rPr>
          <w:sz w:val="20"/>
          <w:szCs w:val="20"/>
          <w:color w:val="auto"/>
        </w:rPr>
        <w:tab/>
      </w:r>
      <w:r>
        <w:rPr>
          <w:rFonts w:ascii="Arial" w:cs="Arial" w:eastAsia="Arial" w:hAnsi="Arial"/>
          <w:sz w:val="17"/>
          <w:szCs w:val="17"/>
          <w:color w:val="auto"/>
        </w:rPr>
        <w:t>Effective Date: 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9"/>
          <w:szCs w:val="19"/>
          <w:b w:val="1"/>
          <w:bCs w:val="1"/>
          <w:color w:val="auto"/>
        </w:rPr>
        <w:t>Company Transactions</w:t>
      </w:r>
    </w:p>
    <w:p>
      <w:pPr>
        <w:spacing w:after="0" w:line="204"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From time to time, the Company may engage in transactions in its own securities. It is the Company’s policy to comply with all applicable securities and state laws (including appropriate approvals/authorizations by the Board of Directors or appropriate committee, if required) when engaging in transactions in Company securities (and/or in compliance with Company’s equity plans and award agreements,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14</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436929</w:t>
      </w:r>
    </w:p>
    <w:p>
      <w:pPr>
        <w:sectPr>
          <w:pgSz w:w="11900" w:h="16838" w:orient="portrait"/>
          <w:cols w:equalWidth="0" w:num="1">
            <w:col w:w="11040"/>
          </w:cols>
          <w:pgMar w:left="320" w:top="264" w:right="5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88465" cy="6940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688465" cy="694055"/>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ACKNOWLEDGMENT AND CERTIFICATION CONCERNING INSIDER TRADING POLICY</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80" w:lineRule="exact"/>
        <w:rPr>
          <w:sz w:val="20"/>
          <w:szCs w:val="20"/>
          <w:color w:val="auto"/>
        </w:rPr>
      </w:pPr>
    </w:p>
    <w:p>
      <w:pPr>
        <w:jc w:val="both"/>
        <w:ind w:firstLine="260"/>
        <w:spacing w:after="0" w:line="254" w:lineRule="auto"/>
        <w:rPr>
          <w:sz w:val="20"/>
          <w:szCs w:val="20"/>
          <w:color w:val="auto"/>
        </w:rPr>
      </w:pPr>
      <w:r>
        <w:rPr>
          <w:rFonts w:ascii="Arial" w:cs="Arial" w:eastAsia="Arial" w:hAnsi="Arial"/>
          <w:sz w:val="20"/>
          <w:szCs w:val="20"/>
          <w:color w:val="auto"/>
        </w:rPr>
        <w:t xml:space="preserve">If you are a </w:t>
      </w:r>
      <w:r>
        <w:rPr>
          <w:rFonts w:ascii="Arial" w:cs="Arial" w:eastAsia="Arial" w:hAnsi="Arial"/>
          <w:sz w:val="20"/>
          <w:szCs w:val="20"/>
          <w:b w:val="1"/>
          <w:bCs w:val="1"/>
          <w:color w:val="auto"/>
        </w:rPr>
        <w:t>Restricted Person</w:t>
      </w:r>
      <w:r>
        <w:rPr>
          <w:rFonts w:ascii="Arial" w:cs="Arial" w:eastAsia="Arial" w:hAnsi="Arial"/>
          <w:sz w:val="20"/>
          <w:szCs w:val="20"/>
          <w:color w:val="auto"/>
        </w:rPr>
        <w:t xml:space="preserve"> as described in Section 5.1, we ask that you acknowledge that you have received and read this Insider Trading Policy and since the date this Policy became effective, or such shorter period of time that you have been involved with Academy Sports and Outdoors, Inc. (the “Company”), you have complied with the Policy and will continue to comply with the Policy for as long as you are subject to the Policy. The Company may ask you to re-submit this acknowledgement on an annual basis, upon your designation as a Restricted Person or whenever the Insider Trading Policy is significantly updated.</w:t>
      </w:r>
    </w:p>
    <w:p>
      <w:pPr>
        <w:spacing w:after="0" w:line="200" w:lineRule="exact"/>
        <w:rPr>
          <w:sz w:val="20"/>
          <w:szCs w:val="20"/>
          <w:color w:val="auto"/>
        </w:rPr>
      </w:pPr>
    </w:p>
    <w:p>
      <w:pPr>
        <w:spacing w:after="0" w:line="340" w:lineRule="exact"/>
        <w:rPr>
          <w:sz w:val="20"/>
          <w:szCs w:val="20"/>
          <w:color w:val="auto"/>
        </w:rPr>
      </w:pPr>
    </w:p>
    <w:p>
      <w:pPr>
        <w:jc w:val="both"/>
        <w:ind w:firstLine="227"/>
        <w:spacing w:after="0" w:line="262" w:lineRule="auto"/>
        <w:rPr>
          <w:sz w:val="20"/>
          <w:szCs w:val="20"/>
          <w:color w:val="auto"/>
        </w:rPr>
      </w:pPr>
      <w:r>
        <w:rPr>
          <w:rFonts w:ascii="Arial" w:cs="Arial" w:eastAsia="Arial" w:hAnsi="Arial"/>
          <w:sz w:val="20"/>
          <w:szCs w:val="20"/>
          <w:color w:val="auto"/>
        </w:rPr>
        <w:t>By my signature below, I acknowledge that I have read and received the Company’s Insider Trading Policy and since the date this Policy became effective, or such shorter period of time that I have been involved with the Company, I have complied with the Policy and will continue to comply with the Policy for as long as I am subject to the Policy.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Name (printed):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22631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hanging="292"/>
        <w:spacing w:after="0"/>
        <w:tabs>
          <w:tab w:leader="none" w:pos="300"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Only Restricted Persons are required to sign this acknowledgement.</w:t>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r>
        <w:rPr>
          <w:rFonts w:ascii="Times New Roman" w:cs="Times New Roman" w:eastAsia="Times New Roman" w:hAnsi="Times New Roman"/>
          <w:sz w:val="23"/>
          <w:szCs w:val="23"/>
          <w:b w:val="1"/>
          <w:bCs w:val="1"/>
          <w:color w:val="auto"/>
          <w:vertAlign w:val="superscript"/>
        </w:rPr>
        <w:t>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Subsidiaries of Academy Sports and Outdoors, Inc.</w:t>
            </w:r>
          </w:p>
        </w:tc>
        <w:tc>
          <w:tcPr>
            <w:tcW w:w="80" w:type="dxa"/>
            <w:vAlign w:val="bottom"/>
            <w:vMerge w:val="restart"/>
          </w:tcPr>
          <w:p>
            <w:pPr>
              <w:spacing w:after="0"/>
              <w:rPr>
                <w:sz w:val="17"/>
                <w:szCs w:val="17"/>
                <w:color w:val="auto"/>
              </w:rPr>
            </w:pPr>
          </w:p>
        </w:tc>
        <w:tc>
          <w:tcPr>
            <w:tcW w:w="43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State or Country of</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4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Incorporation or Formation</w:t>
            </w:r>
          </w:p>
        </w:tc>
        <w:tc>
          <w:tcPr>
            <w:tcW w:w="0" w:type="dxa"/>
            <w:vAlign w:val="bottom"/>
          </w:tcPr>
          <w:p>
            <w:pPr>
              <w:spacing w:after="0"/>
              <w:rPr>
                <w:sz w:val="1"/>
                <w:szCs w:val="1"/>
                <w:color w:val="auto"/>
              </w:rPr>
            </w:pPr>
          </w:p>
        </w:tc>
      </w:tr>
      <w:tr>
        <w:trPr>
          <w:trHeight w:val="47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Academy Holding Company,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Managing Co.,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Investors,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Ltd.</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International Limited</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Procurement Co.,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Mason Creek Insurance Co.,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20" w:hanging="94"/>
        <w:spacing w:after="0"/>
        <w:tabs>
          <w:tab w:leader="none" w:pos="12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Subsidiaries noted throughout this document may be direct or indirect subsidiaries of the Registrant.</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333-249233 and Registration Statement No. 333-263944 on Form S-8 of our reports dated March 20, 2025, relating to the consolidated financial statements of Academy Sports and Outdoors, Inc. and the effectiveness of Academy Sports and Outdoors, Inc.’s internal control over financial reporting appearing in this Annual Report on Form 10-K for the year ended February 1, 2025.</w:t>
      </w:r>
    </w:p>
    <w:p>
      <w:pPr>
        <w:spacing w:after="0" w:line="237"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Deloitte and Touche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11240"/>
          </w:cols>
          <w:pgMar w:left="320" w:top="122"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February 1,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20, 2025</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February 1,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20, 2025</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Academy Sports and Outdoors, Inc. (the “Company”) for the fiscal year ended February 1, 2025, as filed with the Securities and Exchange Commission on the date hereof (the “Report”), I, Steven Lawrence, Chief Executive Officer of the Company, do hereby certify,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20, 2025</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Academy Sports and Outdoors, Inc. (the “Company”) for the fiscal year ended February 1, 2025, as filed with the Securities and Exchange Commission on the date hereof (the “Report”), I, Earl Carlton Ford, IV, Executive Vice President and Chief Financial Officer of the Company, do hereby certify, pursuant to 18 U.S.C. Section 1350, as adopted pursuant to Section 906 of the Sarbanes-Oxley Act of 2002, that:</w:t>
      </w:r>
    </w:p>
    <w:p>
      <w:pPr>
        <w:spacing w:after="0" w:line="72"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20, 2025</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5126355" cy="565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7">
                      <a:extLst>
                        <a:ext uri="{28A0092B-C50C-407E-A947-70E740481C1C}"/>
                      </a:extLst>
                    </a:blip>
                    <a:srcRect/>
                    <a:stretch>
                      <a:fillRect/>
                    </a:stretch>
                  </pic:blipFill>
                  <pic:spPr bwMode="auto">
                    <a:xfrm>
                      <a:off x="0" y="0"/>
                      <a:ext cx="51263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656"/>
        <w:spacing w:after="0" w:line="213" w:lineRule="auto"/>
        <w:tabs>
          <w:tab w:leader="none" w:pos="1296"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Academy Sports and Outdoors,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believes that it is in the best interests of the Company and its shareholders to create and maintain a culture that emphasizes integrity and accountability and that reinforces the Company’s pay-for-performance compensation philosophy. The Board has therefore adopted this Incentive Compensation Clawback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which provides for the recoupment of certain incentive compensation in the event of an accounting restatement resulting from material noncompliance with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2"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22"/>
          <w:szCs w:val="22"/>
          <w:color w:val="auto"/>
        </w:rPr>
        <w:t>This Policy is intended to comply with and, as applicable, to be administered and interpreted consistent with, Listing Rule 5608 adopted by the Nasdaq Stock Market to implement Rule 10D-1 under the Securities Exchange Act of 1934, as amended (collectively, “</w:t>
      </w:r>
      <w:r>
        <w:rPr>
          <w:rFonts w:ascii="Times New Roman" w:cs="Times New Roman" w:eastAsia="Times New Roman" w:hAnsi="Times New Roman"/>
          <w:sz w:val="22"/>
          <w:szCs w:val="22"/>
          <w:b w:val="1"/>
          <w:bCs w:val="1"/>
          <w:color w:val="auto"/>
        </w:rPr>
        <w:t>Rule 10D-1</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right="40" w:firstLine="656"/>
        <w:spacing w:after="0" w:line="227" w:lineRule="auto"/>
        <w:tabs>
          <w:tab w:leader="none" w:pos="129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Board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authority and sole discretion to interpret and enforce this Policy in accordance with its business judgment. Any determination by the Committee with respect to this Policy shall be final, conclusive and binding on all interested parties.</w:t>
      </w:r>
    </w:p>
    <w:p>
      <w:pPr>
        <w:spacing w:after="0" w:line="146" w:lineRule="exact"/>
        <w:rPr>
          <w:rFonts w:ascii="Times New Roman" w:cs="Times New Roman" w:eastAsia="Times New Roman" w:hAnsi="Times New Roman"/>
          <w:sz w:val="22"/>
          <w:szCs w:val="22"/>
          <w:b w:val="1"/>
          <w:bCs w:val="1"/>
          <w:color w:val="auto"/>
        </w:rPr>
      </w:pPr>
    </w:p>
    <w:p>
      <w:pPr>
        <w:jc w:val="both"/>
        <w:ind w:right="140" w:firstLine="656"/>
        <w:spacing w:after="0" w:line="221" w:lineRule="auto"/>
        <w:tabs>
          <w:tab w:leader="none" w:pos="1296"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TEAM MEMBERS</w:t>
      </w:r>
      <w:r>
        <w:rPr>
          <w:rFonts w:ascii="Times New Roman" w:cs="Times New Roman" w:eastAsia="Times New Roman" w:hAnsi="Times New Roman"/>
          <w:sz w:val="22"/>
          <w:szCs w:val="22"/>
          <w:color w:val="auto"/>
        </w:rPr>
        <w:t>. This Policy applies to any officer of the Company as defined under Rule 16a-1(f) under the Securities Exchange Act of 1934, as amended (collectively, the “</w:t>
      </w:r>
      <w:r>
        <w:rPr>
          <w:rFonts w:ascii="Times New Roman" w:cs="Times New Roman" w:eastAsia="Times New Roman" w:hAnsi="Times New Roman"/>
          <w:sz w:val="22"/>
          <w:szCs w:val="22"/>
          <w:b w:val="1"/>
          <w:bCs w:val="1"/>
          <w:color w:val="auto"/>
        </w:rPr>
        <w:t>Covered Team Members</w:t>
      </w:r>
      <w:r>
        <w:rPr>
          <w:rFonts w:ascii="Times New Roman" w:cs="Times New Roman" w:eastAsia="Times New Roman" w:hAnsi="Times New Roman"/>
          <w:sz w:val="22"/>
          <w:szCs w:val="22"/>
          <w:color w:val="auto"/>
        </w:rPr>
        <w:t>”). This Policy shall be binding and enforceable against all Covered Team Members and their beneficiaries, heirs, executors, administrators, or other legal representatives.</w:t>
      </w:r>
    </w:p>
    <w:p>
      <w:pPr>
        <w:spacing w:after="0" w:line="148" w:lineRule="exact"/>
        <w:rPr>
          <w:rFonts w:ascii="Times New Roman" w:cs="Times New Roman" w:eastAsia="Times New Roman" w:hAnsi="Times New Roman"/>
          <w:sz w:val="22"/>
          <w:szCs w:val="22"/>
          <w:b w:val="1"/>
          <w:bCs w:val="1"/>
          <w:color w:val="auto"/>
        </w:rPr>
      </w:pPr>
    </w:p>
    <w:p>
      <w:pPr>
        <w:ind w:right="60" w:firstLine="656"/>
        <w:spacing w:after="0" w:line="221" w:lineRule="auto"/>
        <w:tabs>
          <w:tab w:leader="none" w:pos="1296"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 For purposes of this Policy, “</w:t>
      </w: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 means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granted, earned or vested based in whole or in part on the Company’s attainment of a Financial Reporting Measure (as defined below) that was Received (as defined below) by a person (i) on or after October 2, 2023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after the person began service as a Covered Team Member, and (ii) who served as a Covered Team Member at any time during the performance period for the Incentive Compensation. Incentive Compensation is deemed to be “</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in the fiscal period during which the relevant Financial Reporting Measure is attained, regardless of when the compensation is actually paid or awarded. “</w:t>
      </w:r>
      <w:r>
        <w:rPr>
          <w:rFonts w:ascii="Times New Roman" w:cs="Times New Roman" w:eastAsia="Times New Roman" w:hAnsi="Times New Roman"/>
          <w:sz w:val="21"/>
          <w:szCs w:val="21"/>
          <w:b w:val="1"/>
          <w:bCs w:val="1"/>
          <w:color w:val="auto"/>
        </w:rPr>
        <w:t>Financial Reporting Measure</w:t>
      </w:r>
      <w:r>
        <w:rPr>
          <w:rFonts w:ascii="Times New Roman" w:cs="Times New Roman" w:eastAsia="Times New Roman" w:hAnsi="Times New Roman"/>
          <w:sz w:val="21"/>
          <w:szCs w:val="21"/>
          <w:color w:val="auto"/>
        </w:rPr>
        <w:t>” means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Incentive Compensation includes cash compensation and any equity awards to the extent based in whole or in part on such attainment.</w:t>
      </w:r>
    </w:p>
    <w:p>
      <w:pPr>
        <w:spacing w:after="0" w:line="152"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RESTATEMENT OF FINANCIAL RESULTS; CALCULATION OF OVERPAYMENT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418664</w:t>
      </w:r>
    </w:p>
    <w:p>
      <w:pPr>
        <w:sectPr>
          <w:pgSz w:w="11900" w:h="16838" w:orient="portrait"/>
          <w:cols w:equalWidth="0" w:num="1">
            <w:col w:w="11240"/>
          </w:cols>
          <w:pgMar w:left="320" w:top="104" w:right="339" w:bottom="1440" w:gutter="0" w:footer="0" w:header="0"/>
        </w:sectPr>
      </w:pPr>
    </w:p>
    <w:bookmarkStart w:id="134" w:name="page135"/>
    <w:bookmarkEnd w:id="134"/>
    <w:p>
      <w:pPr>
        <w:spacing w:after="0" w:line="171"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auto"/>
        </w:rPr>
        <w:t>If the Committee determines, in its discretion, that Incentive Compensation that is Received by a Covered Team Member during the Clawback Period (as defined below) exceeds the amount that would have been Received if determined or calculated based on the Company’s restated financial results, such excess amount of Incentive Compensation will be subject to mandatory recoupment by the Company pursuant to this Policy, as promptly as reasonably possible. Such excess amount shall be referred to herein as the “</w:t>
      </w:r>
      <w:r>
        <w:rPr>
          <w:rFonts w:ascii="Times New Roman" w:cs="Times New Roman" w:eastAsia="Times New Roman" w:hAnsi="Times New Roman"/>
          <w:sz w:val="22"/>
          <w:szCs w:val="22"/>
          <w:b w:val="1"/>
          <w:bCs w:val="1"/>
          <w:color w:val="auto"/>
        </w:rPr>
        <w:t>Overpayment</w:t>
      </w:r>
      <w:r>
        <w:rPr>
          <w:rFonts w:ascii="Times New Roman" w:cs="Times New Roman" w:eastAsia="Times New Roman" w:hAnsi="Times New Roman"/>
          <w:sz w:val="22"/>
          <w:szCs w:val="22"/>
          <w:color w:val="auto"/>
        </w:rPr>
        <w:t>.” For Incentive Compensation earned or vested based on stock price or total shareholder return, the Committee will determine any Overpayment amount based on a reasonable estimate of the effect of the accounting restatement on the relevant stock price or total shareholder return. In all cases, the calculation of the Overpayment to be recovered will be determined on a pre-tax basis.</w:t>
      </w:r>
    </w:p>
    <w:p>
      <w:pPr>
        <w:spacing w:after="0" w:line="152" w:lineRule="exact"/>
        <w:rPr>
          <w:sz w:val="20"/>
          <w:szCs w:val="20"/>
          <w:color w:val="auto"/>
        </w:rPr>
      </w:pPr>
    </w:p>
    <w:p>
      <w:pPr>
        <w:jc w:val="both"/>
        <w:ind w:right="460" w:firstLine="648"/>
        <w:spacing w:after="0" w:line="22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Clawback Period</w:t>
      </w:r>
      <w:r>
        <w:rPr>
          <w:rFonts w:ascii="Times New Roman" w:cs="Times New Roman" w:eastAsia="Times New Roman" w:hAnsi="Times New Roman"/>
          <w:sz w:val="22"/>
          <w:szCs w:val="22"/>
          <w:color w:val="auto"/>
        </w:rPr>
        <w:t>” means the three completed fiscal years immediately preceding the date that the Company is required to prepare the accounting restatement described in this Policy and any “transition period” (the date the Company is required to prepare the restatement and any “transition period” shall be determined pursuant to Rule 10D-1).</w:t>
      </w:r>
    </w:p>
    <w:p>
      <w:pPr>
        <w:spacing w:after="0" w:line="146" w:lineRule="exact"/>
        <w:rPr>
          <w:sz w:val="20"/>
          <w:szCs w:val="20"/>
          <w:color w:val="auto"/>
        </w:rPr>
      </w:pPr>
    </w:p>
    <w:p>
      <w:pPr>
        <w:ind w:firstLine="656"/>
        <w:spacing w:after="0" w:line="212" w:lineRule="auto"/>
        <w:tabs>
          <w:tab w:leader="none" w:pos="129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FORMS OF RECOVERY</w:t>
      </w:r>
      <w:r>
        <w:rPr>
          <w:rFonts w:ascii="Times New Roman" w:cs="Times New Roman" w:eastAsia="Times New Roman" w:hAnsi="Times New Roman"/>
          <w:sz w:val="22"/>
          <w:szCs w:val="22"/>
          <w:color w:val="auto"/>
        </w:rPr>
        <w:t>. The Company may implement a clawback pursuant to this Policy in any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applicable law, including by requiring payment of such amount(s) to the Company, by set-off, by reducing future compensation, or by such other means or combination of means as the Committee determines to be appropriate. Notwithstanding the foregoing, the Company need not recover the excess amount of Incentive Compensation if and to the extent that the Committee determines that such clawback is impracticable, subject to and in accordance with any applicable exceptions under the Nasdaq listing rules and not required under Rule 10D-1, including if the Committee determines that the direct expense paid to a third party to assist in enforcing this Policy would exceed the amount to be recovered after making a reasonable attempt to recover such amounts. The Company shall not indemnify any Covered Team Members against the loss of any Incentive Compensation pursuant to this Policy.</w:t>
      </w:r>
    </w:p>
    <w:p>
      <w:pPr>
        <w:spacing w:after="0" w:line="148" w:lineRule="exact"/>
        <w:rPr>
          <w:rFonts w:ascii="Times New Roman" w:cs="Times New Roman" w:eastAsia="Times New Roman" w:hAnsi="Times New Roman"/>
          <w:sz w:val="22"/>
          <w:szCs w:val="22"/>
          <w:b w:val="1"/>
          <w:bCs w:val="1"/>
          <w:color w:val="auto"/>
        </w:rPr>
      </w:pPr>
    </w:p>
    <w:p>
      <w:pPr>
        <w:ind w:right="360" w:firstLine="656"/>
        <w:spacing w:after="0" w:line="216" w:lineRule="auto"/>
        <w:tabs>
          <w:tab w:leader="none" w:pos="1296"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NON-EXCLUSIVITY</w:t>
      </w:r>
      <w:r>
        <w:rPr>
          <w:rFonts w:ascii="Times New Roman" w:cs="Times New Roman" w:eastAsia="Times New Roman" w:hAnsi="Times New Roman"/>
          <w:sz w:val="22"/>
          <w:szCs w:val="22"/>
          <w:color w:val="auto"/>
        </w:rPr>
        <w:t>. Nothing in this Policy shall be viewed as limiting the right of the Company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to pursue recoupment under or as required by the Company’s plans, awards, any employment agreements, the applicable provisions of any law, rule or regulation (including, without limitation, Section 304 of the Sarbanes-Oxley Act of 2002), or any and any other legal remedies available to the Company. In addition, the Company’s Incentive Compensation Clawback Policy, as in effect prior to the Effective Date, shall continue to apply to any Incentive Compensation (as defined in such prior policy) Received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2 of 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lvl w:ilvl="1">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1"/>
    </w:lvl>
    <w:lvl w:ilvl="1">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1)"/>
      <w:numFmt w:val="lowerLetter"/>
      <w:start w:val="1"/>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lowerLetter"/>
      <w:start w:val="1"/>
    </w:lvl>
    <w:lvl w:ilvl="1">
      <w:lvlJc w:val="left"/>
      <w:lvlText w:val="(%2)"/>
      <w:numFmt w:val="decimal"/>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2"/>
    </w:lvl>
  </w:abstractNum>
  <w:abstractNum w:abstractNumId="45">
    <w:nsid w:val="15014ACB"/>
    <w:multiLevelType w:val="hybridMultilevel"/>
    <w:lvl w:ilvl="0">
      <w:lvlJc w:val="left"/>
      <w:lvlText w:val="%1."/>
      <w:numFmt w:val="decimal"/>
      <w:start w:val="3"/>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1."/>
      <w:numFmt w:val="decimal"/>
      <w:start w:val="5"/>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7"/>
    </w:lvl>
  </w:abstractNum>
  <w:abstractNum w:abstractNumId="53">
    <w:nsid w:val="661E3F1E"/>
    <w:multiLevelType w:val="hybridMultilevel"/>
    <w:lvl w:ilvl="0">
      <w:lvlJc w:val="left"/>
      <w:lvlText w:val="%1."/>
      <w:numFmt w:val="decimal"/>
      <w:start w:val="8"/>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lowerRoman"/>
      <w:start w:val="2"/>
    </w:lvl>
  </w:abstractNum>
  <w:abstractNum w:abstractNumId="56">
    <w:nsid w:val="7BD3EE7B"/>
    <w:multiLevelType w:val="hybridMultilevel"/>
    <w:lvl w:ilvl="0">
      <w:lvlJc w:val="left"/>
      <w:lvlText w:val="%1."/>
      <w:numFmt w:val="decimal"/>
      <w:start w:val="9"/>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decimal"/>
      <w:start w:val="1"/>
    </w:lvl>
    <w:lvl w:ilvl="1">
      <w:lvlJc w:val="left"/>
      <w:lvlText w:val="(%2)"/>
      <w:numFmt w:val="decimal"/>
      <w:start w:val="1"/>
    </w:lvl>
  </w:abstractNum>
  <w:abstractNum w:abstractNumId="59">
    <w:nsid w:val="BF72B14"/>
    <w:multiLevelType w:val="hybridMultilevel"/>
    <w:lvl w:ilvl="0">
      <w:lvlJc w:val="left"/>
      <w:lvlText w:val="%1."/>
      <w:numFmt w:val="decimal"/>
      <w:start w:val="12"/>
    </w:lvl>
    <w:lvl w:ilvl="1">
      <w:lvlJc w:val="left"/>
      <w:lvlText w:val="%2"/>
      <w:numFmt w:val="decimal"/>
      <w:start w:val="1"/>
    </w:lvl>
  </w:abstractNum>
  <w:abstractNum w:abstractNumId="60">
    <w:nsid w:val="11447B73"/>
    <w:multiLevelType w:val="hybridMultilevel"/>
    <w:lvl w:ilvl="0">
      <w:lvlJc w:val="left"/>
      <w:lvlText w:val="%1."/>
      <w:numFmt w:val="decimal"/>
      <w:start w:val="13"/>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upperLetter"/>
      <w:start w:val="9"/>
    </w:lvl>
  </w:abstractNum>
  <w:abstractNum w:abstractNumId="64">
    <w:nsid w:val="1A32234B"/>
    <w:multiLevelType w:val="hybridMultilevel"/>
    <w:lvl w:ilvl="0">
      <w:lvlJc w:val="left"/>
      <w:lvlText w:val="%1."/>
      <w:numFmt w:val="upperLetter"/>
      <w:start w:val="1"/>
    </w:lvl>
  </w:abstractNum>
  <w:abstractNum w:abstractNumId="65">
    <w:nsid w:val="3B0FD379"/>
    <w:multiLevelType w:val="hybridMultilevel"/>
    <w:lvl w:ilvl="0">
      <w:lvlJc w:val="left"/>
      <w:lvlText w:val="%1"/>
      <w:numFmt w:val="upperLetter"/>
      <w:start w:val="1"/>
    </w:lvl>
    <w:lvl w:ilvl="1">
      <w:lvlJc w:val="left"/>
      <w:lvlText w:val="%2."/>
      <w:numFmt w:val="upperLetter"/>
      <w:start w:val="2"/>
    </w:lvl>
  </w:abstractNum>
  <w:abstractNum w:abstractNumId="66">
    <w:nsid w:val="68EB2F63"/>
    <w:multiLevelType w:val="hybridMultilevel"/>
    <w:lvl w:ilvl="0">
      <w:lvlJc w:val="left"/>
      <w:lvlText w:val="%1"/>
      <w:numFmt w:val="upperLetter"/>
      <w:start w:val="1"/>
    </w:lvl>
    <w:lvl w:ilvl="1">
      <w:lvlJc w:val="left"/>
      <w:lvlText w:val="%2."/>
      <w:numFmt w:val="upperLetter"/>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4"/>
    </w:lvl>
  </w:abstractNum>
  <w:abstractNum w:abstractNumId="69">
    <w:nsid w:val="6A5EE64"/>
    <w:multiLevelType w:val="hybridMultilevel"/>
    <w:lvl w:ilvl="0">
      <w:lvlJc w:val="left"/>
      <w:lvlText w:val="%1."/>
      <w:numFmt w:val="upperLetter"/>
      <w:start w:val="2"/>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upperLetter"/>
      <w:start w:val="3"/>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upperLetter"/>
      <w:start w:val="4"/>
    </w:lvl>
  </w:abstractNum>
  <w:abstractNum w:abstractNumId="74">
    <w:nsid w:val="100F59DC"/>
    <w:multiLevelType w:val="hybridMultilevel"/>
    <w:lvl w:ilvl="0">
      <w:lvlJc w:val="left"/>
      <w:lvlText w:val="%1."/>
      <w:numFmt w:val="upperLetter"/>
      <w:start w:val="5"/>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lvl w:ilvl="1">
      <w:lvlJc w:val="left"/>
      <w:lvlText w:val="(%2)"/>
      <w:numFmt w:val="decimal"/>
      <w:start w:val="120"/>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1)"/>
      <w:numFmt w:val="lowerRoman"/>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bullet"/>
      <w:start w:val="1"/>
    </w:lvl>
  </w:abstractNum>
  <w:abstractNum w:abstractNumId="85">
    <w:nsid w:val="74DE0EE3"/>
    <w:multiLevelType w:val="hybridMultilevel"/>
    <w:lvl w:ilvl="0">
      <w:lvlJc w:val="left"/>
      <w:lvlText w:val="1"/>
      <w:numFmt w:val="bullet"/>
      <w:start w:val="1"/>
    </w:lvl>
  </w:abstractNum>
  <w:abstractNum w:abstractNumId="86">
    <w:nsid w:val="68EBC550"/>
    <w:multiLevelType w:val="hybridMultilevel"/>
    <w:lvl w:ilvl="0">
      <w:lvlJc w:val="left"/>
      <w:lvlText w:val="%1."/>
      <w:numFmt w:val="decimal"/>
      <w:start w:val="1"/>
    </w:lvl>
    <w:lvl w:ilvl="1">
      <w:lvlJc w:val="left"/>
      <w:lvlText w:val="%2."/>
      <w:numFmt w:val="lowerLetter"/>
      <w:start w:val="1"/>
    </w:lvl>
  </w:abstractNum>
  <w:abstractNum w:abstractNumId="87">
    <w:nsid w:val="2DF6D648"/>
    <w:multiLevelType w:val="hybridMultilevel"/>
    <w:lvl w:ilvl="0">
      <w:lvlJc w:val="left"/>
      <w:lvlText w:val="%1."/>
      <w:numFmt w:val="decimal"/>
      <w:start w:val="1"/>
    </w:lvl>
    <w:lvl w:ilvl="1">
      <w:lvlJc w:val="left"/>
      <w:lvlText w:val="%2."/>
      <w:numFmt w:val="lowerLetter"/>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2"/>
    </w:lvl>
  </w:abstractNum>
  <w:abstractNum w:abstractNumId="92">
    <w:nsid w:val="CC1016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2"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91" Type="http://schemas.openxmlformats.org/officeDocument/2006/relationships/image" Target="media/image118.png"/><Relationship Id="rId192"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jpeg"/><Relationship Id="rId199" Type="http://schemas.openxmlformats.org/officeDocument/2006/relationships/image" Target="media/image124.png"/><Relationship Id="rId200" Type="http://schemas.openxmlformats.org/officeDocument/2006/relationships/image" Target="media/image125.png"/><Relationship Id="rId201" Type="http://schemas.openxmlformats.org/officeDocument/2006/relationships/image" Target="media/image126.png"/><Relationship Id="rId202" Type="http://schemas.openxmlformats.org/officeDocument/2006/relationships/image" Target="media/image127.png"/><Relationship Id="rId203"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06" Type="http://schemas.openxmlformats.org/officeDocument/2006/relationships/image" Target="media/image131.png"/><Relationship Id="rId207" Type="http://schemas.openxmlformats.org/officeDocument/2006/relationships/image" Target="media/image132.png"/><Relationship Id="rId208" Type="http://schemas.openxmlformats.org/officeDocument/2006/relationships/image" Target="media/image133.png"/><Relationship Id="rId209" Type="http://schemas.openxmlformats.org/officeDocument/2006/relationships/image" Target="media/image134.png"/><Relationship Id="rId210" Type="http://schemas.openxmlformats.org/officeDocument/2006/relationships/image" Target="media/image135.png"/><Relationship Id="rId211" Type="http://schemas.openxmlformats.org/officeDocument/2006/relationships/image" Target="media/image136.png"/><Relationship Id="rId212" Type="http://schemas.openxmlformats.org/officeDocument/2006/relationships/image" Target="media/image137.png"/><Relationship Id="rId213" Type="http://schemas.openxmlformats.org/officeDocument/2006/relationships/image" Target="media/image138.png"/><Relationship Id="rId214" Type="http://schemas.openxmlformats.org/officeDocument/2006/relationships/image" Target="media/image139.png"/><Relationship Id="rId215" Type="http://schemas.openxmlformats.org/officeDocument/2006/relationships/image" Target="media/image140.jpeg"/><Relationship Id="rId216" Type="http://schemas.openxmlformats.org/officeDocument/2006/relationships/image" Target="media/image141.png"/><Relationship Id="rId217" Type="http://schemas.openxmlformats.org/officeDocument/2006/relationships/image" Target="media/image142.png"/><Relationship Id="rId120" Type="http://schemas.openxmlformats.org/officeDocument/2006/relationships/hyperlink" Target="http://www.sec.gov/Archives/edgar/data/1817358/000119312520264744/d910645dex31.htm" TargetMode="External"/><Relationship Id="rId121" Type="http://schemas.openxmlformats.org/officeDocument/2006/relationships/hyperlink" Target="http://www.sec.gov/Archives/edgar/data/1817358/000181735823000123/ex31toformcertofchangeofre.htm" TargetMode="External"/><Relationship Id="rId122" Type="http://schemas.openxmlformats.org/officeDocument/2006/relationships/hyperlink" Target="http://www.sec.gov/Archives/edgar/data/1817358/000181735822000182/exhibit32-amendedandrestat.htm" TargetMode="External"/><Relationship Id="rId123" Type="http://schemas.openxmlformats.org/officeDocument/2006/relationships/hyperlink" Target="http://www.sec.gov/Archives/edgar/data/0001817358/000119312520287988/d22150dex41.htm" TargetMode="External"/><Relationship Id="rId124" Type="http://schemas.openxmlformats.org/officeDocument/2006/relationships/hyperlink" Target="http://www.sec.gov/Archives/edgar/data/1817358/000181735823000062/exhibit42-descriptionofthe.htm" TargetMode="External"/><Relationship Id="rId125" Type="http://schemas.openxmlformats.org/officeDocument/2006/relationships/hyperlink" Target="http://www.sec.gov/Archives/edgar/data/0001817358/000119312520287988/d22150dex101.htm" TargetMode="External"/><Relationship Id="rId126" Type="http://schemas.openxmlformats.org/officeDocument/2006/relationships/hyperlink" Target="http://www.sec.gov/Archives/edgar/data/0001817358/000181735821000102/exh101-asoxamendmentno4r.htm" TargetMode="External"/><Relationship Id="rId127" Type="http://schemas.openxmlformats.org/officeDocument/2006/relationships/hyperlink" Target="http://www.sec.gov/Archives/edgar/data/1817358/000181735823000186/exhibit101conformingchange.htm" TargetMode="External"/><Relationship Id="rId128" Type="http://schemas.openxmlformats.org/officeDocument/2006/relationships/hyperlink" Target="http://www.sec.gov/Archives/edgar/data/0001817358/000119312520242076/d934024dex102.htm" TargetMode="External"/><Relationship Id="rId129" Type="http://schemas.openxmlformats.org/officeDocument/2006/relationships/hyperlink" Target="http://www.sec.gov/Archives/edgar/data/0001817358/000119312520242076/d934024dex103.htm" TargetMode="External"/><Relationship Id="rId130" Type="http://schemas.openxmlformats.org/officeDocument/2006/relationships/hyperlink" Target="http://www.sec.gov/Archives/edgar/data/0001817358/000119312520242076/d934024dex104.htm" TargetMode="External"/><Relationship Id="rId131" Type="http://schemas.openxmlformats.org/officeDocument/2006/relationships/hyperlink" Target="http://www.sec.gov/Archives/edgar/data/0001817358/000119312521016235/d103203dex105.htm" TargetMode="External"/><Relationship Id="rId133" Type="http://schemas.openxmlformats.org/officeDocument/2006/relationships/hyperlink" Target="http://www.sec.gov/Archives/edgar/data/0001817358/000119312521016235/d103203dex106.htm" TargetMode="External"/><Relationship Id="rId134" Type="http://schemas.openxmlformats.org/officeDocument/2006/relationships/hyperlink" Target="http://www.sec.gov/Archives/edgar/data/0001817358/000119312521016235/d103203dex107.htm" TargetMode="External"/><Relationship Id="rId135" Type="http://schemas.openxmlformats.org/officeDocument/2006/relationships/hyperlink" Target="http://www.sec.gov/Archives/edgar/data/0001817358/000119312520242076/d934024dex107.htm" TargetMode="External"/><Relationship Id="rId136" Type="http://schemas.openxmlformats.org/officeDocument/2006/relationships/hyperlink" Target="http://www.sec.gov/Archives/edgar/data/0001817358/000119312520242076/d934024dex108.htm" TargetMode="External"/><Relationship Id="rId137" Type="http://schemas.openxmlformats.org/officeDocument/2006/relationships/hyperlink" Target="http://www.sec.gov/Archives/edgar/data/0001817358/000119312520242076/d934024dex105.htm" TargetMode="External"/><Relationship Id="rId138" Type="http://schemas.openxmlformats.org/officeDocument/2006/relationships/hyperlink" Target="https://www.sec.gov/Archives/edgar/data/0001817358/000119312520242076/d934024dex106.htm" TargetMode="External"/><Relationship Id="rId139" Type="http://schemas.openxmlformats.org/officeDocument/2006/relationships/hyperlink" Target="http://www.sec.gov/Archives/edgar/data/0001817358/000119312520287988/d22150dex102.htm" TargetMode="External"/><Relationship Id="rId140" Type="http://schemas.openxmlformats.org/officeDocument/2006/relationships/hyperlink" Target="http://www.sec.gov/Archives/edgar/data/1817358/000181735823000153/exhibit101-ablamendment.htm" TargetMode="External"/><Relationship Id="rId141" Type="http://schemas.openxmlformats.org/officeDocument/2006/relationships/hyperlink" Target="http://www.sec.gov/Archives/edgar/data/1817358/000181735824000026/exhibit101-asoxamendment.htm" TargetMode="External"/><Relationship Id="rId142" Type="http://schemas.openxmlformats.org/officeDocument/2006/relationships/hyperlink" Target="http://www.sec.gov/Archives/edgar/data/0001817358/000119312521016235/d103203dex1013.htm" TargetMode="External"/><Relationship Id="rId143" Type="http://schemas.openxmlformats.org/officeDocument/2006/relationships/hyperlink" Target="http://www.sec.gov/Archives/edgar/data/0001817358/000119312521016235/d103203dex1014.htm" TargetMode="External"/><Relationship Id="rId146" Type="http://schemas.openxmlformats.org/officeDocument/2006/relationships/hyperlink" Target="http://www.sec.gov/Archives/edgar/data/1817358/000181735822000158/a102aso2022formofnon-emplo.htm" TargetMode="External"/><Relationship Id="rId147" Type="http://schemas.openxmlformats.org/officeDocument/2006/relationships/hyperlink" Target="http://www.sec.gov/Archives/edgar/data/1817358/000181735823000186/exhibit105-ceo2023formofpr.htm" TargetMode="External"/><Relationship Id="rId148" Type="http://schemas.openxmlformats.org/officeDocument/2006/relationships/hyperlink" Target="http://www.sec.gov/Archives/edgar/data/1817358/000181735823000186/exhibit106-ceo2023formofti.htm" TargetMode="External"/><Relationship Id="rId149" Type="http://schemas.openxmlformats.org/officeDocument/2006/relationships/hyperlink" Target="http://www.sec.gov/Archives/edgar/data/1817358/000181735823000186/exhibit107-ceo2023formofti.htm" TargetMode="External"/><Relationship Id="rId150" Type="http://schemas.openxmlformats.org/officeDocument/2006/relationships/hyperlink" Target="http://www.sec.gov/Archives/edgar/data/1817358/000181735822000119/exhibit101-ceoperformancer.htm" TargetMode="External"/><Relationship Id="rId151" Type="http://schemas.openxmlformats.org/officeDocument/2006/relationships/hyperlink" Target="http://www.sec.gov/Archives/edgar/data/1817358/000181735822000119/exhibit102-ceotimeoptions.htm" TargetMode="External"/><Relationship Id="rId152" Type="http://schemas.openxmlformats.org/officeDocument/2006/relationships/hyperlink" Target="http://www.sec.gov/Archives/edgar/data/1817358/000181735823000186/exhibit102-ecmay2023formof.htm" TargetMode="External"/><Relationship Id="rId153" Type="http://schemas.openxmlformats.org/officeDocument/2006/relationships/hyperlink" Target="http://www.sec.gov/Archives/edgar/data/1817358/000181735823000186/exhibit103-ecmay2023formof.htm" TargetMode="External"/><Relationship Id="rId154" Type="http://schemas.openxmlformats.org/officeDocument/2006/relationships/hyperlink" Target="http://www.sec.gov/Archives/edgar/data/1817358/000181735823000186/exhibit104-ecmay2023formof.htm" TargetMode="External"/><Relationship Id="rId155" Type="http://schemas.openxmlformats.org/officeDocument/2006/relationships/hyperlink" Target="http://www.sec.gov/Archives/edgar/data/1817358/000181735823000153/exhibit102-ec2023formofprs.htm" TargetMode="External"/><Relationship Id="rId156" Type="http://schemas.openxmlformats.org/officeDocument/2006/relationships/hyperlink" Target="http://www.sec.gov/Archives/edgar/data/1817358/000181735823000153/exhibit103-ec2023formoftim.htm" TargetMode="External"/><Relationship Id="rId157" Type="http://schemas.openxmlformats.org/officeDocument/2006/relationships/hyperlink" Target="http://www.sec.gov/Archives/edgar/data/1817358/000181735823000153/exhibit104-ec2023formoftim.htm" TargetMode="External"/><Relationship Id="rId158" Type="http://schemas.openxmlformats.org/officeDocument/2006/relationships/hyperlink" Target="http://www.sec.gov/Archives/edgar/data/1817358/000181735822000119/exhibit103-ecperformancers.htm" TargetMode="External"/><Relationship Id="rId159" Type="http://schemas.openxmlformats.org/officeDocument/2006/relationships/hyperlink" Target="http://www.sec.gov/Archives/edgar/data/1817358/000181735822000119/exhibit104-ectimersuagreem.htm" TargetMode="External"/><Relationship Id="rId160" Type="http://schemas.openxmlformats.org/officeDocument/2006/relationships/hyperlink" Target="http://www.sec.gov/Archives/edgar/data/1817358/000181735822000119/exhibit105-ectimeoptiongra.htm" TargetMode="External"/><Relationship Id="rId161" Type="http://schemas.openxmlformats.org/officeDocument/2006/relationships/hyperlink" Target="http://www.sec.gov/Archives/edgar/data/1817358/000181735821000215/exhibit1001q32021.htm" TargetMode="External"/><Relationship Id="rId162" Type="http://schemas.openxmlformats.org/officeDocument/2006/relationships/hyperlink" Target="http://www.sec.gov/Archives/edgar/data/1817358/000181735821000059/a1019fy2020.htm" TargetMode="External"/><Relationship Id="rId163" Type="http://schemas.openxmlformats.org/officeDocument/2006/relationships/hyperlink" Target="http://www.sec.gov/Archives/edgar/data/0001817358/000181735820000012/exhibit102.htm" TargetMode="External"/><Relationship Id="rId164" Type="http://schemas.openxmlformats.org/officeDocument/2006/relationships/hyperlink" Target="http://www.sec.gov/Archives/edgar/data/0001817358/000119312520252290/d934024dex1010.htm" TargetMode="External"/><Relationship Id="rId165" Type="http://schemas.openxmlformats.org/officeDocument/2006/relationships/hyperlink" Target="http://www.sec.gov/Archives/edgar/data/0001817358/000119312520252290/d934024dex1011.htm" TargetMode="External"/><Relationship Id="rId166" Type="http://schemas.openxmlformats.org/officeDocument/2006/relationships/hyperlink" Target="http://www.sec.gov/Archives/edgar/data/0001817358/000119312520252290/d934024dex1012.htm" TargetMode="External"/><Relationship Id="rId167" Type="http://schemas.openxmlformats.org/officeDocument/2006/relationships/hyperlink" Target="http://www.sec.gov/Archives/edgar/data/1817358/000119312520242076/d934024dex1013.htm" TargetMode="External"/><Relationship Id="rId168" Type="http://schemas.openxmlformats.org/officeDocument/2006/relationships/hyperlink" Target="https://www.sec.gov/Archives/edgar/data/1817358/000119312520242076/d934024dex1014.htm" TargetMode="External"/><Relationship Id="rId171" Type="http://schemas.openxmlformats.org/officeDocument/2006/relationships/hyperlink" Target="http://www.sec.gov/Archives/edgar/data/1817358/000119312520242076/d934024dex1015.htm" TargetMode="External"/><Relationship Id="rId172" Type="http://schemas.openxmlformats.org/officeDocument/2006/relationships/hyperlink" Target="http://www.sec.gov/Archives/edgar/data/1817358/000119312520242076/d934024dex1016.htm" TargetMode="External"/><Relationship Id="rId173" Type="http://schemas.openxmlformats.org/officeDocument/2006/relationships/hyperlink" Target="http://www.sec.gov/Archives/edgar/data/1817358/000119312520242076/d934024dex1017.htm" TargetMode="External"/><Relationship Id="rId174" Type="http://schemas.openxmlformats.org/officeDocument/2006/relationships/hyperlink" Target="http://www.sec.gov/Archives/edgar/data/1817358/000119312520242076/d934024dex1018.htm" TargetMode="External"/><Relationship Id="rId175" Type="http://schemas.openxmlformats.org/officeDocument/2006/relationships/hyperlink" Target="http://www.sec.gov/Archives/edgar/data/1817358/000119312520242076/d934024dex1019.htm" TargetMode="External"/><Relationship Id="rId176" Type="http://schemas.openxmlformats.org/officeDocument/2006/relationships/hyperlink" Target="http://www.sec.gov/Archives/edgar/data/0001817358/000181735821000059/exhibit1027.htm" TargetMode="External"/><Relationship Id="rId177" Type="http://schemas.openxmlformats.org/officeDocument/2006/relationships/hyperlink" Target="http://www.sec.gov/Archives/edgar/data/1817358/000119312520242076/d934024dex1020.htm" TargetMode="External"/><Relationship Id="rId178" Type="http://schemas.openxmlformats.org/officeDocument/2006/relationships/hyperlink" Target="http://www.sec.gov/Archives/edgar/data/1817358/000119312520242076/d934024dex1021.htm" TargetMode="External"/><Relationship Id="rId179" Type="http://schemas.openxmlformats.org/officeDocument/2006/relationships/hyperlink" Target="http://www.sec.gov/Archives/edgar/data/1817358/000119312520242076/d934024dex1022.htm" TargetMode="External"/><Relationship Id="rId180" Type="http://schemas.openxmlformats.org/officeDocument/2006/relationships/hyperlink" Target="http://www.sec.gov/Archives/edgar/data/1817358/000119312520242076/d934024dex1023.htm" TargetMode="External"/><Relationship Id="rId181" Type="http://schemas.openxmlformats.org/officeDocument/2006/relationships/hyperlink" Target="http://www.sec.gov/Archives/edgar/data/1817358/000119312520242076/d934024dex1024.htm" TargetMode="External"/><Relationship Id="rId182" Type="http://schemas.openxmlformats.org/officeDocument/2006/relationships/hyperlink" Target="http://www.sec.gov/Archives/edgar/data/1817358/000119312520242076/d934024dex1025.htm" TargetMode="External"/><Relationship Id="rId183" Type="http://schemas.openxmlformats.org/officeDocument/2006/relationships/hyperlink" Target="http://www.sec.gov/Archives/edgar/data/1817358/000119312520242076/d934024dex1026.htm" TargetMode="External"/><Relationship Id="rId184" Type="http://schemas.openxmlformats.org/officeDocument/2006/relationships/hyperlink" Target="http://www.sec.gov/Archives/edgar/data/1817358/000119312520242076/d934024dex1027.htm" TargetMode="External"/><Relationship Id="rId185" Type="http://schemas.openxmlformats.org/officeDocument/2006/relationships/hyperlink" Target="http://www.sec.gov/Archives/edgar/data/1817358/000119312520242076/d934024dex1028.htm" TargetMode="External"/><Relationship Id="rId186" Type="http://schemas.openxmlformats.org/officeDocument/2006/relationships/hyperlink" Target="http://www.sec.gov/Archives/edgar/data/1817358/000181735823000087/ex101toform8-k4272023.htm" TargetMode="External"/><Relationship Id="rId187" Type="http://schemas.openxmlformats.org/officeDocument/2006/relationships/hyperlink" Target="http://www.sec.gov/Archives/edgar/data/1817358/000119312520242076/d934024dex1031.htm" TargetMode="External"/><Relationship Id="rId188" Type="http://schemas.openxmlformats.org/officeDocument/2006/relationships/hyperlink" Target="http://www.sec.gov/Archives/edgar/data/1817358/000181735823000215/exhibit101toformjohnsonemp.htm" TargetMode="External"/><Relationship Id="rId189" Type="http://schemas.openxmlformats.org/officeDocument/2006/relationships/hyperlink" Target="http://www.sec.gov/Archives/edgar/data/1817358/000181735823000175/exhibit101toformfordemploy.htm" TargetMode="External"/><Relationship Id="rId190" Type="http://schemas.openxmlformats.org/officeDocument/2006/relationships/hyperlink" Target="http://www.sec.gov/Archives/edgar/data/0001817358/000119312520252290/d934024dex1034.htm" TargetMode="External"/><Relationship Id="rId193" Type="http://schemas.openxmlformats.org/officeDocument/2006/relationships/hyperlink" Target="http://www.sec.gov/Archives/edgar/data/0001817358/000119312520252290/d934024dex1037.htm" TargetMode="External"/><Relationship Id="rId194" Type="http://schemas.openxmlformats.org/officeDocument/2006/relationships/hyperlink" Target="https://www.sec.gov/ix?doc=/Archives/edgar/data/0001817358/000181735824000124/aso-202405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2025-03-20T15:28:43Z</dcterms:created>
  <dcterms:modified xsi:type="dcterms:W3CDTF">2025-03-20T15:28:43Z</dcterms:modified>
</cp:coreProperties>
</file>