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September 28, 2020</w:t>
      </w:r>
    </w:p>
    <w:p>
      <w:pPr>
        <w:spacing w:after="0" w:line="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333-248683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27940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FORM S-1</w:t>
      </w:r>
    </w:p>
    <w:p>
      <w:pPr>
        <w:jc w:val="center"/>
        <w:ind w:right="-99"/>
        <w:spacing w:after="0" w:line="227" w:lineRule="auto"/>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tbl>
      <w:tblPr>
        <w:tblLayout w:type="fixed"/>
        <w:tblInd w:w="1280" w:type="dxa"/>
        <w:tblCellMar>
          <w:top w:w="0" w:type="dxa"/>
          <w:left w:w="0" w:type="dxa"/>
          <w:bottom w:w="0" w:type="dxa"/>
          <w:right w:w="0" w:type="dxa"/>
        </w:tblCellMar>
      </w:tblPr>
      <w:tr>
        <w:trPr>
          <w:trHeight w:val="149"/>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38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5940</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8"/>
              </w:rPr>
              <w:t>85-1800912</w:t>
            </w:r>
          </w:p>
        </w:tc>
      </w:tr>
      <w:tr>
        <w:trPr>
          <w:trHeight w:val="122"/>
        </w:trPr>
        <w:tc>
          <w:tcPr>
            <w:tcW w:w="2600" w:type="dxa"/>
            <w:vAlign w:val="bottom"/>
          </w:tcPr>
          <w:p>
            <w:pPr>
              <w:jc w:val="center"/>
              <w:ind w:right="11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800" w:type="dxa"/>
            <w:vAlign w:val="bottom"/>
          </w:tcPr>
          <w:p>
            <w:pPr>
              <w:jc w:val="center"/>
              <w:ind w:right="23"/>
              <w:spacing w:after="0" w:line="122" w:lineRule="exact"/>
              <w:rPr>
                <w:sz w:val="20"/>
                <w:szCs w:val="20"/>
                <w:color w:val="auto"/>
              </w:rPr>
            </w:pPr>
            <w:r>
              <w:rPr>
                <w:rFonts w:ascii="Times New Roman" w:cs="Times New Roman" w:eastAsia="Times New Roman" w:hAnsi="Times New Roman"/>
                <w:sz w:val="11"/>
                <w:szCs w:val="11"/>
                <w:b w:val="1"/>
                <w:bCs w:val="1"/>
                <w:color w:val="auto"/>
                <w:w w:val="97"/>
              </w:rPr>
              <w:t>(Primary Standard Industrial</w:t>
            </w:r>
          </w:p>
        </w:tc>
        <w:tc>
          <w:tcPr>
            <w:tcW w:w="2120" w:type="dxa"/>
            <w:vAlign w:val="bottom"/>
          </w:tcPr>
          <w:p>
            <w:pPr>
              <w:jc w:val="center"/>
              <w:ind w:left="1203"/>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600" w:type="dxa"/>
            <w:vAlign w:val="bottom"/>
          </w:tcPr>
          <w:p>
            <w:pPr>
              <w:jc w:val="center"/>
              <w:ind w:right="1123"/>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8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2120" w:type="dxa"/>
            <w:vAlign w:val="bottom"/>
          </w:tcPr>
          <w:p>
            <w:pPr>
              <w:jc w:val="center"/>
              <w:ind w:left="1203"/>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bl>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Rene G. Casares, Esq.</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General Counsel</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1800 North Mason Road</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Katy, Texas 77449</w:t>
      </w:r>
    </w:p>
    <w:p>
      <w:pPr>
        <w:jc w:val="center"/>
        <w:ind w:right="-99"/>
        <w:spacing w:after="0" w:line="225" w:lineRule="auto"/>
        <w:rPr>
          <w:sz w:val="20"/>
          <w:szCs w:val="20"/>
          <w:color w:val="auto"/>
        </w:rPr>
      </w:pPr>
      <w:r>
        <w:rPr>
          <w:rFonts w:ascii="Times New Roman" w:cs="Times New Roman" w:eastAsia="Times New Roman" w:hAnsi="Times New Roman"/>
          <w:sz w:val="14"/>
          <w:szCs w:val="14"/>
          <w:b w:val="1"/>
          <w:bCs w:val="1"/>
          <w:color w:val="auto"/>
        </w:rPr>
        <w:t>(281) 646-5200</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tbl>
      <w:tblPr>
        <w:tblLayout w:type="fixed"/>
        <w:tblInd w:w="198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tc>
      </w:tr>
      <w:tr>
        <w:trPr>
          <w:trHeight w:val="138"/>
        </w:trPr>
        <w:tc>
          <w:tcPr>
            <w:tcW w:w="2500" w:type="dxa"/>
            <w:vAlign w:val="bottom"/>
          </w:tcPr>
          <w:p>
            <w:pPr>
              <w:jc w:val="center"/>
              <w:ind w:right="637"/>
              <w:spacing w:after="0" w:line="138" w:lineRule="exact"/>
              <w:rPr>
                <w:sz w:val="20"/>
                <w:szCs w:val="20"/>
                <w:color w:val="auto"/>
              </w:rPr>
            </w:pPr>
            <w:r>
              <w:rPr>
                <w:rFonts w:ascii="Times New Roman" w:cs="Times New Roman" w:eastAsia="Times New Roman" w:hAnsi="Times New Roman"/>
                <w:sz w:val="13"/>
                <w:szCs w:val="13"/>
                <w:b w:val="1"/>
                <w:bCs w:val="1"/>
                <w:color w:val="auto"/>
                <w:w w:val="96"/>
              </w:rPr>
              <w:t>Joseph H. Kaufman, Esq.</w:t>
            </w:r>
          </w:p>
        </w:tc>
        <w:tc>
          <w:tcPr>
            <w:tcW w:w="4700" w:type="dxa"/>
            <w:vAlign w:val="bottom"/>
          </w:tcPr>
          <w:p>
            <w:pPr>
              <w:jc w:val="center"/>
              <w:ind w:left="3156"/>
              <w:spacing w:after="0" w:line="138" w:lineRule="exact"/>
              <w:rPr>
                <w:sz w:val="20"/>
                <w:szCs w:val="20"/>
                <w:color w:val="auto"/>
              </w:rPr>
            </w:pPr>
            <w:r>
              <w:rPr>
                <w:rFonts w:ascii="Times New Roman" w:cs="Times New Roman" w:eastAsia="Times New Roman" w:hAnsi="Times New Roman"/>
                <w:sz w:val="13"/>
                <w:szCs w:val="13"/>
                <w:b w:val="1"/>
                <w:bCs w:val="1"/>
                <w:color w:val="auto"/>
                <w:w w:val="96"/>
              </w:rPr>
              <w:t>Marc D. Jaffe,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Sunny Cheong, Esq.</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Ian D. Schuman, Esq.</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Simpson Thacher &amp; Bartlett LLP</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6"/>
              </w:rPr>
              <w:t>Latham &amp; Watkins LLP</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425 Lexington Avenue</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885 Third Avenue</w:t>
            </w:r>
          </w:p>
        </w:tc>
      </w:tr>
      <w:tr>
        <w:trPr>
          <w:trHeight w:val="135"/>
        </w:trPr>
        <w:tc>
          <w:tcPr>
            <w:tcW w:w="2500" w:type="dxa"/>
            <w:vAlign w:val="bottom"/>
          </w:tcPr>
          <w:p>
            <w:pPr>
              <w:jc w:val="center"/>
              <w:ind w:right="6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10017</w:t>
            </w:r>
          </w:p>
        </w:tc>
        <w:tc>
          <w:tcPr>
            <w:tcW w:w="4700" w:type="dxa"/>
            <w:vAlign w:val="bottom"/>
          </w:tcPr>
          <w:p>
            <w:pPr>
              <w:jc w:val="center"/>
              <w:ind w:left="3156"/>
              <w:spacing w:after="0" w:line="135" w:lineRule="exact"/>
              <w:rPr>
                <w:sz w:val="20"/>
                <w:szCs w:val="20"/>
                <w:color w:val="auto"/>
              </w:rPr>
            </w:pPr>
            <w:r>
              <w:rPr>
                <w:rFonts w:ascii="Times New Roman" w:cs="Times New Roman" w:eastAsia="Times New Roman" w:hAnsi="Times New Roman"/>
                <w:sz w:val="13"/>
                <w:szCs w:val="13"/>
                <w:b w:val="1"/>
                <w:bCs w:val="1"/>
                <w:color w:val="auto"/>
                <w:w w:val="95"/>
              </w:rPr>
              <w:t>New York, New York 10022</w:t>
            </w:r>
          </w:p>
        </w:tc>
      </w:tr>
      <w:tr>
        <w:trPr>
          <w:trHeight w:val="166"/>
        </w:trPr>
        <w:tc>
          <w:tcPr>
            <w:tcW w:w="2500" w:type="dxa"/>
            <w:vAlign w:val="bottom"/>
          </w:tcPr>
          <w:p>
            <w:pPr>
              <w:jc w:val="center"/>
              <w:ind w:right="637"/>
              <w:spacing w:after="0"/>
              <w:rPr>
                <w:sz w:val="20"/>
                <w:szCs w:val="20"/>
                <w:color w:val="auto"/>
              </w:rPr>
            </w:pPr>
            <w:r>
              <w:rPr>
                <w:rFonts w:ascii="Times New Roman" w:cs="Times New Roman" w:eastAsia="Times New Roman" w:hAnsi="Times New Roman"/>
                <w:sz w:val="13"/>
                <w:szCs w:val="13"/>
                <w:b w:val="1"/>
                <w:bCs w:val="1"/>
                <w:color w:val="auto"/>
                <w:w w:val="98"/>
              </w:rPr>
              <w:t>(212) 455-2000</w:t>
            </w:r>
          </w:p>
        </w:tc>
        <w:tc>
          <w:tcPr>
            <w:tcW w:w="4700" w:type="dxa"/>
            <w:vAlign w:val="bottom"/>
          </w:tcPr>
          <w:p>
            <w:pPr>
              <w:jc w:val="center"/>
              <w:ind w:left="3156"/>
              <w:spacing w:after="0"/>
              <w:rPr>
                <w:sz w:val="20"/>
                <w:szCs w:val="20"/>
                <w:color w:val="auto"/>
              </w:rPr>
            </w:pPr>
            <w:r>
              <w:rPr>
                <w:rFonts w:ascii="Times New Roman" w:cs="Times New Roman" w:eastAsia="Times New Roman" w:hAnsi="Times New Roman"/>
                <w:sz w:val="13"/>
                <w:szCs w:val="13"/>
                <w:b w:val="1"/>
                <w:bCs w:val="1"/>
                <w:color w:val="auto"/>
                <w:w w:val="98"/>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w:t>
      </w:r>
      <w:r>
        <w:rPr>
          <w:rFonts w:ascii="Times New Roman" w:cs="Times New Roman" w:eastAsia="Times New Roman" w:hAnsi="Times New Roman"/>
          <w:sz w:val="13"/>
          <w:szCs w:val="13"/>
          <w:color w:val="auto"/>
        </w:rPr>
        <w:t>: As soon as practicable after this Registration Statement is declared effective.</w:t>
      </w:r>
    </w:p>
    <w:p>
      <w:pPr>
        <w:spacing w:after="0" w:line="21" w:lineRule="exact"/>
        <w:rPr>
          <w:sz w:val="24"/>
          <w:szCs w:val="24"/>
          <w:color w:val="auto"/>
        </w:rPr>
      </w:pPr>
    </w:p>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9" w:lineRule="exact"/>
        <w:rPr>
          <w:sz w:val="24"/>
          <w:szCs w:val="24"/>
          <w:color w:val="auto"/>
        </w:rPr>
      </w:pPr>
    </w:p>
    <w:p>
      <w:pPr>
        <w:ind w:left="120" w:right="60"/>
        <w:spacing w:after="0" w:line="16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60"/>
        <w:spacing w:after="0" w:line="15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240"/>
        <w:spacing w:after="0" w:line="162"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5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Accelerated filer</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0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54"/>
        </w:trPr>
        <w:tc>
          <w:tcPr>
            <w:tcW w:w="14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5200" w:type="dxa"/>
            <w:vAlign w:val="bottom"/>
          </w:tcPr>
          <w:p>
            <w:pPr>
              <w:ind w:left="3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0" w:type="dxa"/>
            <w:vAlign w:val="bottom"/>
          </w:tcPr>
          <w:p>
            <w:pPr>
              <w:ind w:left="300"/>
              <w:spacing w:after="0" w:line="101" w:lineRule="exact"/>
              <w:rPr>
                <w:sz w:val="20"/>
                <w:szCs w:val="20"/>
                <w:color w:val="auto"/>
              </w:rPr>
            </w:pPr>
            <w:r>
              <w:rPr>
                <w:rFonts w:ascii="MS PGothic" w:cs="MS PGothic" w:eastAsia="MS PGothic" w:hAnsi="MS PGothic"/>
                <w:sz w:val="10"/>
                <w:szCs w:val="10"/>
                <w:color w:val="auto"/>
                <w:w w:val="79"/>
              </w:rPr>
              <w:t>☐</w:t>
            </w:r>
          </w:p>
        </w:tc>
      </w:tr>
    </w:tbl>
    <w:p>
      <w:pPr>
        <w:jc w:val="both"/>
        <w:ind w:left="120" w:right="10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CALCULATION OF REGISTRATION FEE</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95"/>
        </w:trPr>
        <w:tc>
          <w:tcPr>
            <w:tcW w:w="356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Borders>
              <w:right w:val="single" w:sz="8" w:color="auto"/>
            </w:tcBorders>
          </w:tcPr>
          <w:p>
            <w:pPr>
              <w:jc w:val="center"/>
              <w:ind w:left="19"/>
              <w:spacing w:after="0" w:line="95"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1860" w:type="dxa"/>
            <w:vAlign w:val="bottom"/>
          </w:tcPr>
          <w:p>
            <w:pPr>
              <w:spacing w:after="0"/>
              <w:rPr>
                <w:sz w:val="8"/>
                <w:szCs w:val="8"/>
                <w:color w:val="auto"/>
              </w:rPr>
            </w:pPr>
          </w:p>
        </w:tc>
      </w:tr>
      <w:tr>
        <w:trPr>
          <w:trHeight w:val="142"/>
        </w:trPr>
        <w:tc>
          <w:tcPr>
            <w:tcW w:w="35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ind w:left="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6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Borders>
              <w:right w:val="single" w:sz="8" w:color="auto"/>
            </w:tcBorders>
          </w:tcPr>
          <w:p>
            <w:pPr>
              <w:jc w:val="center"/>
              <w:ind w:left="39"/>
              <w:spacing w:after="0" w:line="14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860" w:type="dxa"/>
            <w:vAlign w:val="bottom"/>
          </w:tcPr>
          <w:p>
            <w:pPr>
              <w:spacing w:after="0"/>
              <w:rPr>
                <w:sz w:val="12"/>
                <w:szCs w:val="12"/>
                <w:color w:val="auto"/>
              </w:rPr>
            </w:pPr>
          </w:p>
        </w:tc>
      </w:tr>
      <w:tr>
        <w:trPr>
          <w:trHeight w:val="135"/>
        </w:trPr>
        <w:tc>
          <w:tcPr>
            <w:tcW w:w="3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Title of Each Class of</w:t>
            </w:r>
          </w:p>
        </w:tc>
        <w:tc>
          <w:tcPr>
            <w:tcW w:w="1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186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86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860" w:type="dxa"/>
            <w:vAlign w:val="bottom"/>
          </w:tcPr>
          <w:p>
            <w:pPr>
              <w:jc w:val="center"/>
              <w:ind w:lef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62"/>
        </w:trPr>
        <w:tc>
          <w:tcPr>
            <w:tcW w:w="3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to be Registered</w:t>
            </w:r>
          </w:p>
        </w:tc>
        <w:tc>
          <w:tcPr>
            <w:tcW w:w="1880" w:type="dxa"/>
            <w:vAlign w:val="bottom"/>
            <w:tcBorders>
              <w:bottom w:val="single" w:sz="8" w:color="auto"/>
              <w:right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Registered</w:t>
            </w:r>
            <w:r>
              <w:rPr>
                <w:rFonts w:ascii="Times New Roman" w:cs="Times New Roman" w:eastAsia="Times New Roman" w:hAnsi="Times New Roman"/>
                <w:sz w:val="10"/>
                <w:szCs w:val="10"/>
                <w:b w:val="1"/>
                <w:bCs w:val="1"/>
                <w:color w:val="auto"/>
                <w:w w:val="95"/>
              </w:rPr>
              <w:t>(1)</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Per Share</w:t>
            </w:r>
            <w:r>
              <w:rPr>
                <w:rFonts w:ascii="Times New Roman" w:cs="Times New Roman" w:eastAsia="Times New Roman" w:hAnsi="Times New Roman"/>
                <w:sz w:val="10"/>
                <w:szCs w:val="10"/>
                <w:b w:val="1"/>
                <w:bCs w:val="1"/>
                <w:color w:val="auto"/>
                <w:w w:val="98"/>
              </w:rPr>
              <w:t>(2)</w:t>
            </w:r>
          </w:p>
        </w:tc>
        <w:tc>
          <w:tcPr>
            <w:tcW w:w="186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3"/>
                <w:szCs w:val="13"/>
                <w:b w:val="1"/>
                <w:bCs w:val="1"/>
                <w:color w:val="auto"/>
                <w:w w:val="98"/>
              </w:rPr>
              <w:t>Offering Price</w:t>
            </w:r>
            <w:r>
              <w:rPr>
                <w:rFonts w:ascii="Times New Roman" w:cs="Times New Roman" w:eastAsia="Times New Roman" w:hAnsi="Times New Roman"/>
                <w:sz w:val="10"/>
                <w:szCs w:val="10"/>
                <w:b w:val="1"/>
                <w:bCs w:val="1"/>
                <w:color w:val="auto"/>
                <w:w w:val="98"/>
              </w:rPr>
              <w:t>(1)(2)</w:t>
            </w:r>
          </w:p>
        </w:tc>
        <w:tc>
          <w:tcPr>
            <w:tcW w:w="18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8"/>
              </w:rPr>
              <w:t>Registration Fee</w:t>
            </w:r>
            <w:r>
              <w:rPr>
                <w:rFonts w:ascii="Times New Roman" w:cs="Times New Roman" w:eastAsia="Times New Roman" w:hAnsi="Times New Roman"/>
                <w:sz w:val="10"/>
                <w:szCs w:val="10"/>
                <w:b w:val="1"/>
                <w:bCs w:val="1"/>
                <w:color w:val="auto"/>
                <w:w w:val="98"/>
              </w:rPr>
              <w:t>(3)</w:t>
            </w:r>
          </w:p>
        </w:tc>
      </w:tr>
      <w:tr>
        <w:trPr>
          <w:trHeight w:val="128"/>
        </w:trPr>
        <w:tc>
          <w:tcPr>
            <w:tcW w:w="35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Common Stock, $0.01 par value per share</w:t>
            </w:r>
          </w:p>
        </w:tc>
        <w:tc>
          <w:tcPr>
            <w:tcW w:w="1880" w:type="dxa"/>
            <w:vAlign w:val="bottom"/>
            <w:tcBorders>
              <w:bottom w:val="single" w:sz="8" w:color="auto"/>
              <w:right w:val="single" w:sz="8" w:color="auto"/>
            </w:tcBorders>
          </w:tcPr>
          <w:p>
            <w:pPr>
              <w:jc w:val="center"/>
              <w:ind w:left="17"/>
              <w:spacing w:after="0" w:line="129" w:lineRule="exact"/>
              <w:rPr>
                <w:sz w:val="20"/>
                <w:szCs w:val="20"/>
                <w:color w:val="auto"/>
              </w:rPr>
            </w:pPr>
            <w:r>
              <w:rPr>
                <w:rFonts w:ascii="Times New Roman" w:cs="Times New Roman" w:eastAsia="Times New Roman" w:hAnsi="Times New Roman"/>
                <w:sz w:val="13"/>
                <w:szCs w:val="13"/>
                <w:color w:val="auto"/>
                <w:w w:val="95"/>
              </w:rPr>
              <w:t>17,968,750</w:t>
            </w:r>
          </w:p>
        </w:tc>
        <w:tc>
          <w:tcPr>
            <w:tcW w:w="1860" w:type="dxa"/>
            <w:vAlign w:val="bottom"/>
            <w:tcBorders>
              <w:bottom w:val="single" w:sz="8" w:color="auto"/>
              <w:right w:val="single" w:sz="8" w:color="auto"/>
            </w:tcBorders>
          </w:tcPr>
          <w:p>
            <w:pPr>
              <w:jc w:val="center"/>
              <w:ind w:left="19"/>
              <w:spacing w:after="0" w:line="129" w:lineRule="exact"/>
              <w:rPr>
                <w:sz w:val="20"/>
                <w:szCs w:val="20"/>
                <w:color w:val="auto"/>
              </w:rPr>
            </w:pPr>
            <w:r>
              <w:rPr>
                <w:rFonts w:ascii="Times New Roman" w:cs="Times New Roman" w:eastAsia="Times New Roman" w:hAnsi="Times New Roman"/>
                <w:sz w:val="13"/>
                <w:szCs w:val="13"/>
                <w:color w:val="auto"/>
                <w:w w:val="94"/>
              </w:rPr>
              <w:t>$17.00</w:t>
            </w:r>
          </w:p>
        </w:tc>
        <w:tc>
          <w:tcPr>
            <w:tcW w:w="1860" w:type="dxa"/>
            <w:vAlign w:val="bottom"/>
            <w:tcBorders>
              <w:bottom w:val="single" w:sz="8" w:color="auto"/>
              <w:right w:val="single" w:sz="8" w:color="auto"/>
            </w:tcBorders>
          </w:tcPr>
          <w:p>
            <w:pPr>
              <w:jc w:val="center"/>
              <w:ind w:left="19"/>
              <w:spacing w:after="0" w:line="129" w:lineRule="exact"/>
              <w:rPr>
                <w:sz w:val="20"/>
                <w:szCs w:val="20"/>
                <w:color w:val="auto"/>
              </w:rPr>
            </w:pPr>
            <w:r>
              <w:rPr>
                <w:rFonts w:ascii="Times New Roman" w:cs="Times New Roman" w:eastAsia="Times New Roman" w:hAnsi="Times New Roman"/>
                <w:sz w:val="13"/>
                <w:szCs w:val="13"/>
                <w:color w:val="auto"/>
                <w:w w:val="97"/>
              </w:rPr>
              <w:t>$305,468,750</w:t>
            </w:r>
          </w:p>
        </w:tc>
        <w:tc>
          <w:tcPr>
            <w:tcW w:w="1860" w:type="dxa"/>
            <w:vAlign w:val="bottom"/>
            <w:tcBorders>
              <w:bottom w:val="single" w:sz="8" w:color="auto"/>
            </w:tcBorders>
          </w:tcPr>
          <w:p>
            <w:pPr>
              <w:jc w:val="center"/>
              <w:ind w:left="17"/>
              <w:spacing w:after="0" w:line="129" w:lineRule="exact"/>
              <w:rPr>
                <w:sz w:val="20"/>
                <w:szCs w:val="20"/>
                <w:color w:val="auto"/>
              </w:rPr>
            </w:pPr>
            <w:r>
              <w:rPr>
                <w:rFonts w:ascii="Times New Roman" w:cs="Times New Roman" w:eastAsia="Times New Roman" w:hAnsi="Times New Roman"/>
                <w:sz w:val="13"/>
                <w:szCs w:val="13"/>
                <w:color w:val="auto"/>
                <w:w w:val="99"/>
              </w:rPr>
              <w:t>$39,650</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2,343,750 shares of common stock that the underwriters have the option to purchase. See “Underwriting (Conflicts of Interest).”</w:t>
      </w:r>
    </w:p>
    <w:p>
      <w:pPr>
        <w:ind w:left="440" w:hanging="324"/>
        <w:spacing w:after="0" w:line="216" w:lineRule="auto"/>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in accordance with Rule 457(a) promulgated under the Securities Act of 1933, as amended.</w:t>
      </w:r>
    </w:p>
    <w:p>
      <w:pPr>
        <w:ind w:left="440" w:hanging="324"/>
        <w:spacing w:after="0"/>
        <w:tabs>
          <w:tab w:leader="none" w:pos="4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 previously paid $39,650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ind w:left="120" w:right="180"/>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on Form S-1, or the Registration Statement, is being filed by Academy Sports and Outdoors, Inc., a newly formed Delaware corporation, or the Registrant, in connection with a proposed registered public offering of shares of its common stock. Prior to the consummation of this offering, we intend to undertake a series of reorganization transactions, which we refer to as the Reorganization Transactions, that will result in, among other things, New Academy Holding Company, LLC, the current holding company for the business described in this prospectus that is part of the Registration Statement, being contributed to the Registrant by its unitholders and becoming a wholly owned subsidiary of the Registrant. Following the Reorganization Transactions, the Registrant will be the holding company of the business described in this prospectus.</w:t>
      </w:r>
    </w:p>
    <w:p>
      <w:pPr>
        <w:sectPr>
          <w:pgSz w:w="11900" w:h="16838" w:orient="portrait"/>
          <w:cols w:equalWidth="0" w:num="1">
            <w:col w:w="11060"/>
          </w:cols>
          <w:pgMar w:left="320" w:top="455" w:right="51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60"/>
        <w:spacing w:after="0" w:line="252"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FF4338"/>
        </w:rPr>
        <w:t>Subject to completion, dated September 28, 2020</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15,625,000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8272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Academy Sports and Outdoors, Inc.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6" w:lineRule="exact"/>
        <w:rPr>
          <w:sz w:val="20"/>
          <w:szCs w:val="20"/>
          <w:color w:val="auto"/>
        </w:rPr>
      </w:pPr>
    </w:p>
    <w:p>
      <w:pPr>
        <w:ind w:left="120" w:right="60" w:firstLine="991"/>
        <w:spacing w:after="0" w:line="276" w:lineRule="auto"/>
        <w:rPr>
          <w:sz w:val="20"/>
          <w:szCs w:val="20"/>
          <w:color w:val="auto"/>
        </w:rPr>
      </w:pPr>
      <w:r>
        <w:rPr>
          <w:rFonts w:ascii="Arial" w:cs="Arial" w:eastAsia="Arial" w:hAnsi="Arial"/>
          <w:sz w:val="18"/>
          <w:szCs w:val="18"/>
          <w:color w:val="auto"/>
        </w:rPr>
        <w:t>This is the initial public offering of common stock of Academy Sports and Outdoors, Inc. We are offering 15,625,000 shares of our common stock.</w:t>
      </w:r>
    </w:p>
    <w:p>
      <w:pPr>
        <w:spacing w:after="0" w:line="145"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expect that the initial public offering price of our common stock will be between $15.00 and $17.00 per share. We have applied to list our common stock on Nasdaq Global Select Market, or Nasdaq, under the symbol “ASO.”</w:t>
      </w:r>
    </w:p>
    <w:p>
      <w:pPr>
        <w:spacing w:after="0" w:line="164" w:lineRule="exact"/>
        <w:rPr>
          <w:sz w:val="20"/>
          <w:szCs w:val="20"/>
          <w:color w:val="auto"/>
        </w:rPr>
      </w:pPr>
    </w:p>
    <w:p>
      <w:pPr>
        <w:ind w:left="120" w:right="140" w:firstLine="991"/>
        <w:spacing w:after="0" w:line="248" w:lineRule="auto"/>
        <w:rPr>
          <w:sz w:val="20"/>
          <w:szCs w:val="20"/>
          <w:color w:val="auto"/>
        </w:rPr>
      </w:pPr>
      <w:r>
        <w:rPr>
          <w:rFonts w:ascii="Arial" w:cs="Arial" w:eastAsia="Arial" w:hAnsi="Arial"/>
          <w:sz w:val="18"/>
          <w:szCs w:val="18"/>
          <w:color w:val="auto"/>
        </w:rPr>
        <w:t>After the completion of this offering, investment entities owned by investment funds and other entities affiliated with Kohlberg Kravis Roberts &amp; Co. L.P. will beneficially own approximately 70% of the voting power of our common stock. As a result, we will be a “controlled company” within the meaning of the corporate governance standards of Nasdaq. See “Management—Controlled Company Exemption.”</w:t>
      </w:r>
    </w:p>
    <w:p>
      <w:pPr>
        <w:spacing w:after="0" w:line="290" w:lineRule="exact"/>
        <w:rPr>
          <w:sz w:val="20"/>
          <w:szCs w:val="20"/>
          <w:color w:val="auto"/>
        </w:rPr>
      </w:pPr>
    </w:p>
    <w:p>
      <w:pPr>
        <w:ind w:left="120" w:right="300" w:firstLine="991"/>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23 to read about factors you should consider before buying shares of our common stock.</w:t>
      </w:r>
    </w:p>
    <w:p>
      <w:pPr>
        <w:spacing w:after="0" w:line="247" w:lineRule="exact"/>
        <w:rPr>
          <w:sz w:val="20"/>
          <w:szCs w:val="20"/>
          <w:color w:val="auto"/>
        </w:rPr>
      </w:pPr>
    </w:p>
    <w:p>
      <w:pPr>
        <w:jc w:val="both"/>
        <w:ind w:left="120" w:right="20" w:firstLine="991"/>
        <w:spacing w:after="0" w:line="261"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6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Underwriting</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Academy</w:t>
            </w:r>
          </w:p>
        </w:tc>
      </w:tr>
      <w:tr>
        <w:trPr>
          <w:trHeight w:val="159"/>
        </w:trPr>
        <w:tc>
          <w:tcPr>
            <w:tcW w:w="6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2"/>
          </w:tcPr>
          <w:p>
            <w:pPr>
              <w:jc w:val="center"/>
              <w:ind w:right="840"/>
              <w:spacing w:after="0" w:line="159" w:lineRule="exact"/>
              <w:rPr>
                <w:sz w:val="20"/>
                <w:szCs w:val="20"/>
                <w:color w:val="auto"/>
              </w:rPr>
            </w:pPr>
            <w:r>
              <w:rPr>
                <w:rFonts w:ascii="Arial" w:cs="Arial" w:eastAsia="Arial" w:hAnsi="Arial"/>
                <w:sz w:val="14"/>
                <w:szCs w:val="14"/>
                <w:b w:val="1"/>
                <w:bCs w:val="1"/>
                <w:color w:val="auto"/>
              </w:rPr>
              <w:t>Discounts and</w:t>
            </w:r>
          </w:p>
        </w:tc>
        <w:tc>
          <w:tcPr>
            <w:tcW w:w="104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Sports and</w:t>
            </w:r>
          </w:p>
        </w:tc>
      </w:tr>
      <w:tr>
        <w:trPr>
          <w:trHeight w:val="181"/>
        </w:trPr>
        <w:tc>
          <w:tcPr>
            <w:tcW w:w="618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Price to Public</w:t>
            </w:r>
          </w:p>
        </w:tc>
        <w:tc>
          <w:tcPr>
            <w:tcW w:w="1940" w:type="dxa"/>
            <w:vAlign w:val="bottom"/>
            <w:gridSpan w:val="2"/>
          </w:tcPr>
          <w:p>
            <w:pPr>
              <w:spacing w:after="0" w:line="181" w:lineRule="exact"/>
              <w:rPr>
                <w:sz w:val="20"/>
                <w:szCs w:val="20"/>
                <w:color w:val="auto"/>
              </w:rPr>
            </w:pPr>
            <w:r>
              <w:rPr>
                <w:rFonts w:ascii="Arial" w:cs="Arial" w:eastAsia="Arial" w:hAnsi="Arial"/>
                <w:sz w:val="12"/>
                <w:szCs w:val="12"/>
                <w:b w:val="1"/>
                <w:bCs w:val="1"/>
                <w:color w:val="auto"/>
              </w:rPr>
              <w:t>Commissions</w:t>
            </w:r>
            <w:r>
              <w:rPr>
                <w:rFonts w:ascii="Arial" w:cs="Arial" w:eastAsia="Arial" w:hAnsi="Arial"/>
                <w:sz w:val="20"/>
                <w:szCs w:val="20"/>
                <w:b w:val="1"/>
                <w:bCs w:val="1"/>
                <w:color w:val="auto"/>
                <w:vertAlign w:val="superscript"/>
              </w:rPr>
              <w:t>(1)</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Outdoors, Inc.</w:t>
            </w: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2"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w:t>
      </w:r>
    </w:p>
    <w:p>
      <w:pPr>
        <w:spacing w:after="0" w:line="212" w:lineRule="exact"/>
        <w:rPr>
          <w:sz w:val="20"/>
          <w:szCs w:val="20"/>
          <w:color w:val="auto"/>
        </w:rPr>
      </w:pPr>
    </w:p>
    <w:p>
      <w:pPr>
        <w:jc w:val="both"/>
        <w:ind w:left="120" w:right="280" w:firstLine="991"/>
        <w:spacing w:after="0" w:line="255" w:lineRule="auto"/>
        <w:rPr>
          <w:sz w:val="20"/>
          <w:szCs w:val="20"/>
          <w:color w:val="auto"/>
        </w:rPr>
      </w:pPr>
      <w:r>
        <w:rPr>
          <w:rFonts w:ascii="Arial" w:cs="Arial" w:eastAsia="Arial" w:hAnsi="Arial"/>
          <w:sz w:val="18"/>
          <w:szCs w:val="18"/>
          <w:color w:val="auto"/>
        </w:rPr>
        <w:t>We have granted the underwriters a 30-day option from the date of this prospectus to purchase up to 2,343,750 additional shares of our common stock at the initial public offering price, less underwriting discounts and commissions, to cover over-allotments, if any.</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6100" w:type="dxa"/>
            <w:vAlign w:val="bottom"/>
            <w:gridSpan w:val="3"/>
          </w:tcPr>
          <w:p>
            <w:pPr>
              <w:ind w:left="780"/>
              <w:spacing w:after="0"/>
              <w:rPr>
                <w:sz w:val="20"/>
                <w:szCs w:val="20"/>
                <w:color w:val="auto"/>
              </w:rPr>
            </w:pPr>
            <w:r>
              <w:rPr>
                <w:rFonts w:ascii="Arial" w:cs="Arial" w:eastAsia="Arial" w:hAnsi="Arial"/>
                <w:sz w:val="18"/>
                <w:szCs w:val="18"/>
                <w:color w:val="auto"/>
              </w:rPr>
              <w:t>The underwriters expect to deliver the shares on or about</w:t>
            </w:r>
          </w:p>
        </w:tc>
        <w:tc>
          <w:tcPr>
            <w:tcW w:w="1860" w:type="dxa"/>
            <w:vAlign w:val="bottom"/>
          </w:tcPr>
          <w:p>
            <w:pPr>
              <w:jc w:val="right"/>
              <w:ind w:right="1119"/>
              <w:spacing w:after="0"/>
              <w:rPr>
                <w:sz w:val="20"/>
                <w:szCs w:val="20"/>
                <w:color w:val="auto"/>
              </w:rPr>
            </w:pPr>
            <w:r>
              <w:rPr>
                <w:rFonts w:ascii="Arial" w:cs="Arial" w:eastAsia="Arial" w:hAnsi="Arial"/>
                <w:sz w:val="18"/>
                <w:szCs w:val="18"/>
                <w:color w:val="auto"/>
              </w:rPr>
              <w:t>, 2020.</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2160" w:type="dxa"/>
            <w:vAlign w:val="bottom"/>
            <w:vMerge w:val="restart"/>
          </w:tcPr>
          <w:p>
            <w:pPr>
              <w:ind w:left="380"/>
              <w:spacing w:after="0"/>
              <w:rPr>
                <w:sz w:val="20"/>
                <w:szCs w:val="20"/>
                <w:color w:val="auto"/>
              </w:rPr>
            </w:pPr>
            <w:r>
              <w:rPr>
                <w:rFonts w:ascii="Arial" w:cs="Arial" w:eastAsia="Arial" w:hAnsi="Arial"/>
                <w:sz w:val="27"/>
                <w:szCs w:val="27"/>
                <w:b w:val="1"/>
                <w:bCs w:val="1"/>
                <w:color w:val="auto"/>
              </w:rPr>
              <w:t>Credit Suisse</w:t>
            </w:r>
          </w:p>
        </w:tc>
        <w:tc>
          <w:tcPr>
            <w:tcW w:w="5800" w:type="dxa"/>
            <w:vAlign w:val="bottom"/>
            <w:gridSpan w:val="3"/>
          </w:tcPr>
          <w:p>
            <w:pPr>
              <w:jc w:val="center"/>
              <w:ind w:left="381"/>
              <w:spacing w:after="0"/>
              <w:rPr>
                <w:sz w:val="20"/>
                <w:szCs w:val="20"/>
                <w:color w:val="auto"/>
              </w:rPr>
            </w:pPr>
            <w:r>
              <w:rPr>
                <w:rFonts w:ascii="Arial" w:cs="Arial" w:eastAsia="Arial" w:hAnsi="Arial"/>
                <w:sz w:val="18"/>
                <w:szCs w:val="18"/>
                <w:b w:val="1"/>
                <w:bCs w:val="1"/>
                <w:i w:val="1"/>
                <w:iCs w:val="1"/>
                <w:color w:val="auto"/>
                <w:w w:val="99"/>
              </w:rPr>
              <w:t>Joint Book-Running Managers</w:t>
            </w:r>
          </w:p>
        </w:tc>
        <w:tc>
          <w:tcPr>
            <w:tcW w:w="2640" w:type="dxa"/>
            <w:vAlign w:val="bottom"/>
            <w:vMerge w:val="restart"/>
          </w:tcPr>
          <w:p>
            <w:pPr>
              <w:ind w:left="640"/>
              <w:spacing w:after="0"/>
              <w:rPr>
                <w:sz w:val="20"/>
                <w:szCs w:val="20"/>
                <w:color w:val="auto"/>
              </w:rPr>
            </w:pPr>
            <w:r>
              <w:rPr>
                <w:rFonts w:ascii="Arial" w:cs="Arial" w:eastAsia="Arial" w:hAnsi="Arial"/>
                <w:sz w:val="27"/>
                <w:szCs w:val="27"/>
                <w:b w:val="1"/>
                <w:bCs w:val="1"/>
                <w:color w:val="auto"/>
                <w:w w:val="98"/>
              </w:rPr>
              <w:t>BofA Securities</w:t>
            </w:r>
          </w:p>
        </w:tc>
        <w:tc>
          <w:tcPr>
            <w:tcW w:w="0" w:type="dxa"/>
            <w:vAlign w:val="bottom"/>
          </w:tcPr>
          <w:p>
            <w:pPr>
              <w:spacing w:after="0"/>
              <w:rPr>
                <w:sz w:val="1"/>
                <w:szCs w:val="1"/>
                <w:color w:val="auto"/>
              </w:rPr>
            </w:pPr>
          </w:p>
        </w:tc>
      </w:tr>
      <w:tr>
        <w:trPr>
          <w:trHeight w:val="382"/>
        </w:trPr>
        <w:tc>
          <w:tcPr>
            <w:tcW w:w="2160" w:type="dxa"/>
            <w:vAlign w:val="bottom"/>
            <w:vMerge w:val="continue"/>
          </w:tcPr>
          <w:p>
            <w:pPr>
              <w:spacing w:after="0"/>
              <w:rPr>
                <w:sz w:val="24"/>
                <w:szCs w:val="24"/>
                <w:color w:val="auto"/>
              </w:rPr>
            </w:pPr>
          </w:p>
        </w:tc>
        <w:tc>
          <w:tcPr>
            <w:tcW w:w="3940" w:type="dxa"/>
            <w:vAlign w:val="bottom"/>
            <w:gridSpan w:val="2"/>
          </w:tcPr>
          <w:p>
            <w:pPr>
              <w:ind w:left="1260"/>
              <w:spacing w:after="0"/>
              <w:rPr>
                <w:sz w:val="20"/>
                <w:szCs w:val="20"/>
                <w:color w:val="auto"/>
              </w:rPr>
            </w:pPr>
            <w:r>
              <w:rPr>
                <w:rFonts w:ascii="Arial" w:cs="Arial" w:eastAsia="Arial" w:hAnsi="Arial"/>
                <w:sz w:val="27"/>
                <w:szCs w:val="27"/>
                <w:b w:val="1"/>
                <w:bCs w:val="1"/>
                <w:color w:val="auto"/>
              </w:rPr>
              <w:t>J.P. Morgan</w:t>
            </w:r>
          </w:p>
        </w:tc>
        <w:tc>
          <w:tcPr>
            <w:tcW w:w="1860" w:type="dxa"/>
            <w:vAlign w:val="bottom"/>
          </w:tcPr>
          <w:p>
            <w:pPr>
              <w:jc w:val="center"/>
              <w:ind w:right="139"/>
              <w:spacing w:after="0"/>
              <w:rPr>
                <w:sz w:val="20"/>
                <w:szCs w:val="20"/>
                <w:color w:val="auto"/>
              </w:rPr>
            </w:pPr>
            <w:r>
              <w:rPr>
                <w:rFonts w:ascii="Arial" w:cs="Arial" w:eastAsia="Arial" w:hAnsi="Arial"/>
                <w:sz w:val="27"/>
                <w:szCs w:val="27"/>
                <w:b w:val="1"/>
                <w:bCs w:val="1"/>
                <w:color w:val="auto"/>
                <w:w w:val="99"/>
              </w:rPr>
              <w:t>KKR</w:t>
            </w:r>
          </w:p>
        </w:tc>
        <w:tc>
          <w:tcPr>
            <w:tcW w:w="2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center"/>
              <w:ind w:right="68"/>
              <w:spacing w:after="0"/>
              <w:rPr>
                <w:sz w:val="20"/>
                <w:szCs w:val="20"/>
                <w:color w:val="auto"/>
              </w:rPr>
            </w:pPr>
            <w:r>
              <w:rPr>
                <w:rFonts w:ascii="Arial" w:cs="Arial" w:eastAsia="Arial" w:hAnsi="Arial"/>
                <w:sz w:val="18"/>
                <w:szCs w:val="18"/>
                <w:b w:val="1"/>
                <w:bCs w:val="1"/>
                <w:i w:val="1"/>
                <w:iCs w:val="1"/>
                <w:color w:val="auto"/>
                <w:w w:val="99"/>
              </w:rPr>
              <w:t>Bookrunners</w:t>
            </w:r>
          </w:p>
        </w:tc>
        <w:tc>
          <w:tcPr>
            <w:tcW w:w="1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160" w:type="dxa"/>
            <w:vAlign w:val="bottom"/>
          </w:tcPr>
          <w:p>
            <w:pPr>
              <w:ind w:left="280"/>
              <w:spacing w:after="0"/>
              <w:rPr>
                <w:sz w:val="20"/>
                <w:szCs w:val="20"/>
                <w:color w:val="auto"/>
              </w:rPr>
            </w:pPr>
            <w:r>
              <w:rPr>
                <w:rFonts w:ascii="Arial" w:cs="Arial" w:eastAsia="Arial" w:hAnsi="Arial"/>
                <w:sz w:val="20"/>
                <w:szCs w:val="20"/>
                <w:b w:val="1"/>
                <w:bCs w:val="1"/>
                <w:color w:val="auto"/>
              </w:rPr>
              <w:t>Evercore ISI</w:t>
            </w:r>
          </w:p>
        </w:tc>
        <w:tc>
          <w:tcPr>
            <w:tcW w:w="2500" w:type="dxa"/>
            <w:vAlign w:val="bottom"/>
          </w:tcPr>
          <w:p>
            <w:pPr>
              <w:ind w:left="220"/>
              <w:spacing w:after="0"/>
              <w:rPr>
                <w:sz w:val="20"/>
                <w:szCs w:val="20"/>
                <w:color w:val="auto"/>
              </w:rPr>
            </w:pPr>
            <w:r>
              <w:rPr>
                <w:rFonts w:ascii="Arial" w:cs="Arial" w:eastAsia="Arial" w:hAnsi="Arial"/>
                <w:sz w:val="20"/>
                <w:szCs w:val="20"/>
                <w:b w:val="1"/>
                <w:bCs w:val="1"/>
                <w:color w:val="auto"/>
              </w:rPr>
              <w:t>Guggenheim Securities</w:t>
            </w:r>
          </w:p>
        </w:tc>
        <w:tc>
          <w:tcPr>
            <w:tcW w:w="3300" w:type="dxa"/>
            <w:vAlign w:val="bottom"/>
            <w:gridSpan w:val="2"/>
          </w:tcPr>
          <w:p>
            <w:pPr>
              <w:jc w:val="center"/>
              <w:ind w:left="208"/>
              <w:spacing w:after="0"/>
              <w:rPr>
                <w:sz w:val="20"/>
                <w:szCs w:val="20"/>
                <w:color w:val="auto"/>
              </w:rPr>
            </w:pPr>
            <w:r>
              <w:rPr>
                <w:rFonts w:ascii="Arial" w:cs="Arial" w:eastAsia="Arial" w:hAnsi="Arial"/>
                <w:sz w:val="20"/>
                <w:szCs w:val="20"/>
                <w:b w:val="1"/>
                <w:bCs w:val="1"/>
                <w:color w:val="auto"/>
                <w:w w:val="98"/>
              </w:rPr>
              <w:t>UBS Investment Bank</w:t>
            </w:r>
          </w:p>
        </w:tc>
        <w:tc>
          <w:tcPr>
            <w:tcW w:w="2640" w:type="dxa"/>
            <w:vAlign w:val="bottom"/>
          </w:tcPr>
          <w:p>
            <w:pPr>
              <w:ind w:left="360"/>
              <w:spacing w:after="0"/>
              <w:rPr>
                <w:sz w:val="20"/>
                <w:szCs w:val="20"/>
                <w:color w:val="auto"/>
              </w:rPr>
            </w:pPr>
            <w:r>
              <w:rPr>
                <w:rFonts w:ascii="Arial" w:cs="Arial" w:eastAsia="Arial" w:hAnsi="Arial"/>
                <w:sz w:val="20"/>
                <w:szCs w:val="20"/>
                <w:b w:val="1"/>
                <w:bCs w:val="1"/>
                <w:color w:val="auto"/>
              </w:rPr>
              <w:t>Wells Fargo Securities</w:t>
            </w:r>
          </w:p>
        </w:tc>
        <w:tc>
          <w:tcPr>
            <w:tcW w:w="0" w:type="dxa"/>
            <w:vAlign w:val="bottom"/>
          </w:tcPr>
          <w:p>
            <w:pPr>
              <w:spacing w:after="0"/>
              <w:rPr>
                <w:sz w:val="1"/>
                <w:szCs w:val="1"/>
                <w:color w:val="auto"/>
              </w:rPr>
            </w:pPr>
          </w:p>
        </w:tc>
      </w:tr>
      <w:tr>
        <w:trPr>
          <w:trHeight w:val="410"/>
        </w:trPr>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jc w:val="center"/>
              <w:ind w:right="48"/>
              <w:spacing w:after="0"/>
              <w:rPr>
                <w:sz w:val="20"/>
                <w:szCs w:val="20"/>
                <w:color w:val="auto"/>
              </w:rPr>
            </w:pPr>
            <w:r>
              <w:rPr>
                <w:rFonts w:ascii="Arial" w:cs="Arial" w:eastAsia="Arial" w:hAnsi="Arial"/>
                <w:sz w:val="18"/>
                <w:szCs w:val="18"/>
                <w:b w:val="1"/>
                <w:bCs w:val="1"/>
                <w:i w:val="1"/>
                <w:iCs w:val="1"/>
                <w:color w:val="auto"/>
                <w:w w:val="99"/>
              </w:rPr>
              <w:t>Co-Managers</w:t>
            </w:r>
          </w:p>
        </w:tc>
        <w:tc>
          <w:tcPr>
            <w:tcW w:w="1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60" w:type="dxa"/>
            <w:vAlign w:val="bottom"/>
          </w:tcPr>
          <w:p>
            <w:pPr>
              <w:jc w:val="center"/>
              <w:ind w:right="499"/>
              <w:spacing w:after="0"/>
              <w:rPr>
                <w:sz w:val="20"/>
                <w:szCs w:val="20"/>
                <w:color w:val="auto"/>
              </w:rPr>
            </w:pPr>
            <w:r>
              <w:rPr>
                <w:rFonts w:ascii="Arial" w:cs="Arial" w:eastAsia="Arial" w:hAnsi="Arial"/>
                <w:sz w:val="18"/>
                <w:szCs w:val="18"/>
                <w:b w:val="1"/>
                <w:bCs w:val="1"/>
                <w:color w:val="auto"/>
                <w:w w:val="99"/>
              </w:rPr>
              <w:t>Stephens Inc.</w:t>
            </w:r>
          </w:p>
        </w:tc>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Capital One Securities</w:t>
            </w:r>
          </w:p>
        </w:tc>
        <w:tc>
          <w:tcPr>
            <w:tcW w:w="3300" w:type="dxa"/>
            <w:vAlign w:val="bottom"/>
            <w:gridSpan w:val="2"/>
          </w:tcPr>
          <w:p>
            <w:pPr>
              <w:jc w:val="right"/>
              <w:ind w:right="759"/>
              <w:spacing w:after="0"/>
              <w:rPr>
                <w:sz w:val="20"/>
                <w:szCs w:val="20"/>
                <w:color w:val="auto"/>
              </w:rPr>
            </w:pPr>
            <w:r>
              <w:rPr>
                <w:rFonts w:ascii="Arial" w:cs="Arial" w:eastAsia="Arial" w:hAnsi="Arial"/>
                <w:sz w:val="18"/>
                <w:szCs w:val="18"/>
                <w:b w:val="1"/>
                <w:bCs w:val="1"/>
                <w:color w:val="auto"/>
              </w:rPr>
              <w:t>Loop Capital Markets</w:t>
            </w:r>
          </w:p>
        </w:tc>
        <w:tc>
          <w:tcPr>
            <w:tcW w:w="2640" w:type="dxa"/>
            <w:vAlign w:val="bottom"/>
          </w:tcPr>
          <w:p>
            <w:pPr>
              <w:ind w:left="220"/>
              <w:spacing w:after="0"/>
              <w:rPr>
                <w:sz w:val="20"/>
                <w:szCs w:val="20"/>
                <w:color w:val="auto"/>
              </w:rPr>
            </w:pPr>
            <w:r>
              <w:rPr>
                <w:rFonts w:ascii="Arial" w:cs="Arial" w:eastAsia="Arial" w:hAnsi="Arial"/>
                <w:sz w:val="18"/>
                <w:szCs w:val="18"/>
                <w:b w:val="1"/>
                <w:bCs w:val="1"/>
                <w:color w:val="auto"/>
              </w:rPr>
              <w:t>CastleOak Securities, L.P.</w:t>
            </w:r>
          </w:p>
        </w:tc>
        <w:tc>
          <w:tcPr>
            <w:tcW w:w="0" w:type="dxa"/>
            <w:vAlign w:val="bottom"/>
          </w:tcPr>
          <w:p>
            <w:pPr>
              <w:spacing w:after="0"/>
              <w:rPr>
                <w:sz w:val="1"/>
                <w:szCs w:val="1"/>
                <w:color w:val="auto"/>
              </w:rPr>
            </w:pPr>
          </w:p>
        </w:tc>
      </w:tr>
      <w:tr>
        <w:trPr>
          <w:trHeight w:val="310"/>
        </w:trPr>
        <w:tc>
          <w:tcPr>
            <w:tcW w:w="2160" w:type="dxa"/>
            <w:vAlign w:val="bottom"/>
          </w:tcPr>
          <w:p>
            <w:pPr>
              <w:jc w:val="center"/>
              <w:ind w:right="499"/>
              <w:spacing w:after="0"/>
              <w:rPr>
                <w:sz w:val="20"/>
                <w:szCs w:val="20"/>
                <w:color w:val="auto"/>
              </w:rPr>
            </w:pPr>
            <w:r>
              <w:rPr>
                <w:rFonts w:ascii="Arial" w:cs="Arial" w:eastAsia="Arial" w:hAnsi="Arial"/>
                <w:sz w:val="18"/>
                <w:szCs w:val="18"/>
                <w:b w:val="1"/>
                <w:bCs w:val="1"/>
                <w:color w:val="auto"/>
                <w:w w:val="99"/>
              </w:rPr>
              <w:t>Blaylock Van, LLC</w:t>
            </w:r>
          </w:p>
        </w:tc>
        <w:tc>
          <w:tcPr>
            <w:tcW w:w="3940" w:type="dxa"/>
            <w:vAlign w:val="bottom"/>
            <w:gridSpan w:val="2"/>
          </w:tcPr>
          <w:p>
            <w:pPr>
              <w:ind w:left="300"/>
              <w:spacing w:after="0"/>
              <w:rPr>
                <w:sz w:val="20"/>
                <w:szCs w:val="20"/>
                <w:color w:val="auto"/>
              </w:rPr>
            </w:pPr>
            <w:r>
              <w:rPr>
                <w:rFonts w:ascii="Arial" w:cs="Arial" w:eastAsia="Arial" w:hAnsi="Arial"/>
                <w:sz w:val="18"/>
                <w:szCs w:val="18"/>
                <w:b w:val="1"/>
                <w:bCs w:val="1"/>
                <w:color w:val="auto"/>
              </w:rPr>
              <w:t>Cabrera Capital Markets, LLC</w:t>
            </w:r>
          </w:p>
        </w:tc>
        <w:tc>
          <w:tcPr>
            <w:tcW w:w="1860" w:type="dxa"/>
            <w:vAlign w:val="bottom"/>
          </w:tcPr>
          <w:p>
            <w:pPr>
              <w:jc w:val="center"/>
              <w:ind w:right="119"/>
              <w:spacing w:after="0"/>
              <w:rPr>
                <w:sz w:val="20"/>
                <w:szCs w:val="20"/>
                <w:color w:val="auto"/>
              </w:rPr>
            </w:pPr>
            <w:r>
              <w:rPr>
                <w:rFonts w:ascii="Arial" w:cs="Arial" w:eastAsia="Arial" w:hAnsi="Arial"/>
                <w:sz w:val="18"/>
                <w:szCs w:val="18"/>
                <w:b w:val="1"/>
                <w:bCs w:val="1"/>
                <w:color w:val="auto"/>
              </w:rPr>
              <w:t>Ramirez &amp; Co., Inc.</w:t>
            </w:r>
          </w:p>
        </w:tc>
        <w:tc>
          <w:tcPr>
            <w:tcW w:w="2640" w:type="dxa"/>
            <w:vAlign w:val="bottom"/>
          </w:tcPr>
          <w:p>
            <w:pPr>
              <w:ind w:left="660"/>
              <w:spacing w:after="0"/>
              <w:rPr>
                <w:sz w:val="20"/>
                <w:szCs w:val="20"/>
                <w:color w:val="auto"/>
              </w:rPr>
            </w:pPr>
            <w:r>
              <w:rPr>
                <w:rFonts w:ascii="Arial" w:cs="Arial" w:eastAsia="Arial" w:hAnsi="Arial"/>
                <w:sz w:val="18"/>
                <w:szCs w:val="18"/>
                <w:b w:val="1"/>
                <w:bCs w:val="1"/>
                <w:color w:val="auto"/>
              </w:rPr>
              <w:t>R. Seelaus &amp; Co., LLC</w:t>
            </w:r>
          </w:p>
        </w:tc>
        <w:tc>
          <w:tcPr>
            <w:tcW w:w="0" w:type="dxa"/>
            <w:vAlign w:val="bottom"/>
          </w:tcPr>
          <w:p>
            <w:pPr>
              <w:spacing w:after="0"/>
              <w:rPr>
                <w:sz w:val="1"/>
                <w:szCs w:val="1"/>
                <w:color w:val="auto"/>
              </w:rPr>
            </w:pPr>
          </w:p>
        </w:tc>
      </w:tr>
      <w:tr>
        <w:trPr>
          <w:trHeight w:val="418"/>
        </w:trPr>
        <w:tc>
          <w:tcPr>
            <w:tcW w:w="2160" w:type="dxa"/>
            <w:vAlign w:val="bottom"/>
          </w:tcPr>
          <w:p>
            <w:pPr>
              <w:spacing w:after="0"/>
              <w:rPr>
                <w:sz w:val="24"/>
                <w:szCs w:val="24"/>
                <w:color w:val="auto"/>
              </w:rPr>
            </w:pPr>
          </w:p>
        </w:tc>
        <w:tc>
          <w:tcPr>
            <w:tcW w:w="3940" w:type="dxa"/>
            <w:vAlign w:val="bottom"/>
            <w:gridSpan w:val="2"/>
          </w:tcPr>
          <w:p>
            <w:pPr>
              <w:ind w:left="1360"/>
              <w:spacing w:after="0"/>
              <w:rPr>
                <w:sz w:val="20"/>
                <w:szCs w:val="20"/>
                <w:color w:val="auto"/>
              </w:rPr>
            </w:pPr>
            <w:r>
              <w:rPr>
                <w:rFonts w:ascii="Arial" w:cs="Arial" w:eastAsia="Arial" w:hAnsi="Arial"/>
                <w:sz w:val="18"/>
                <w:szCs w:val="18"/>
                <w:b w:val="1"/>
                <w:bCs w:val="1"/>
                <w:color w:val="auto"/>
              </w:rPr>
              <w:t>The date of this prospectus is</w:t>
            </w:r>
          </w:p>
        </w:tc>
        <w:tc>
          <w:tcPr>
            <w:tcW w:w="1860" w:type="dxa"/>
            <w:vAlign w:val="bottom"/>
          </w:tcPr>
          <w:p>
            <w:pPr>
              <w:jc w:val="right"/>
              <w:ind w:right="779"/>
              <w:spacing w:after="0"/>
              <w:rPr>
                <w:sz w:val="20"/>
                <w:szCs w:val="20"/>
                <w:color w:val="auto"/>
              </w:rPr>
            </w:pPr>
            <w:r>
              <w:rPr>
                <w:rFonts w:ascii="Arial" w:cs="Arial" w:eastAsia="Arial" w:hAnsi="Arial"/>
                <w:sz w:val="18"/>
                <w:szCs w:val="18"/>
                <w:b w:val="1"/>
                <w:bCs w:val="1"/>
                <w:color w:val="auto"/>
              </w:rPr>
              <w:t>, 2020.</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215265</wp:posOffset>
            </wp:positionV>
            <wp:extent cx="6035040" cy="7543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Trademarks, Tradenames, Service Marks and Copyrights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Basis of Presentation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Non-GAAP Financial Measures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Letter From Our Chairman, President and Chief Executive Officer</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Selected Historical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Principal Stockholders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Material U.S. Federal Income and Estate Tax Consequences to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2">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4"/>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Index to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the 25th day after the date of this prospectus, all dealers that effect transactions in these shares of our common stock,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17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of our common stock.</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TRADENAMES, SERVICE MARKS AND COPYRIGHTS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own and license a number of registered and common law trademarks and pending applications for trademark registrations in the United States, primarily through our subsidiaries, including, for example: Academy Sports +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Magellan Outdoors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BCG</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O’rageous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Outdoor Gourmet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means our senior secured asset-based revolving credit facility, as described under “Description of Certain Indebtedness;”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“Academy Sports + Outdoors,” the “Company,” “we,” “us” and “our” refer to, (1) prior to the consummation of this offering, New Academy Holding Company, LLC, a Delaware limited liability company and the current holding company for our operations, and its consolidated subsidiaries; and (2) following the consummation of this offering, Academy Sports and Outdoors, Inc. and its consolidated subsidiaries;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“Adviser” has the meaning set forth under “Certain Relationships and Related Party Transactions—Monitoring Agreement;”</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“Allstar Managers” means Allstar Managers, LLC, an entity owned by certain current and former executives and directors of the Company;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order value” means in-store and e-commerce merchandise sales divided by the number of sales transactions, which indicates the average amount of a sales receipt;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“BOPIS” means our buy-online-pickup-in-store program;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 this prospectus regarding our comparable sales may not be comparable to similar data made available by other retailers;</w:t>
      </w:r>
    </w:p>
    <w:p>
      <w:pPr>
        <w:spacing w:after="0" w:line="88"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5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“Gochman Investors” means, collectively, certain investors who are family descendants of our founder, Max Gochman;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means, collectively, investment funds and other entities affiliated with Kohlberg Kravis Roberts &amp; Co. L.P.;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means, collectively, investment entities owned by KKR;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stores” means stores that have been in operation for longer than four years;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sales transactions” means total quantity of sales transactions generated, whether in-store or online;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brands” means our private label brands, which include both our own brands, as well as brands we license under exclusive license contracts;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that will take place prior to the consummation of this offering and will result in, among other things, New Academy Holding Company, LLC, the current holding company for the business described in this prospectus, being contributed to Academy Sports and Outdoors, Inc. by its unitholders and becoming a wholly owned subsidiary of Academy Sports and Outdoors, Inc.; and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means our senior secured term loan facility, as described under “Description of Certain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Financial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New Academy Holding Company, LLC conducts (and after the consummation of this offering, Academy Sports and Outdoors, Inc. will conduct) its operations through its subsidiaries, including its indirect subsidiary, Academy, Ltd., an operating company which is doing business as “Academy Sports + Outdoors.”</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and “Adjusted Free Cash Flow.”</w:t>
      </w:r>
    </w:p>
    <w:p>
      <w:pPr>
        <w:spacing w:after="0" w:line="180"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6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LETTER FROM OUR CHAIRMAN, PRESIDENT AND CHIEF EXECUTIVE OFFICER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Stakeholders and Future Stakeholders: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 am proud to introduce those of you who are not very familiar with, and further inform those of you who know us, to Academy Sports + Outdoors. I am excited to be part of this company and share all the great things we are accomplishing. Academy began over 80 years ago in San Antonio, Texas focusing on its customers with a powerful assortment and great value. It has evolved into a truly remarkable Sports + Outdoors emporium with the same strong focus on customers, assortment, and value.</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Having known Academy since I was growing up in Houston, I was excited to join its Board of Managers three years ago. During that time, I learned more about Academy’s opportunities. When the opportunity to become CEO was presented two years ago, I enthusiastically took the position for three major reasons:</w:t>
      </w:r>
    </w:p>
    <w:p>
      <w:pPr>
        <w:spacing w:after="0" w:line="81"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unparalleled opportunity to grow its existing stores within its current footprint, new markets, and through omnichannel penetration;</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chance to improve its operational efficiencies and effectiveness across all elements of the company with an accomplished, experienced leadership team;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lead a company that has tremendous brand position and customer loyalty with an emphasis on fun, family and community.</w:t>
      </w:r>
    </w:p>
    <w:p>
      <w:pPr>
        <w:spacing w:after="0" w:line="22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Leading Academy is a dream job that allows me to fill my passion for retail and connecting with customers. I have been fortunate to be part of bringing growth and improved performance to retailers in the role of President, CEO, Chairman, or Director. My current role with our strong leadership team creates a significant opportunity to enhance the culture, operations, and customer connections at Academy. We have a deep bench of excellent executives working with me, which has allowed us to achieve improving comparable sales, profitability and cash flow, thus helping to drive significant long-term shareholder value.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I began leading Academy, we have been working on several key initiatives including:</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p>
    <w:p>
      <w:pPr>
        <w:spacing w:after="0" w:line="117"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focused strategy with a clear vision to be the best with a strong positive culture. We have a dedicated staff of over 20,000 team members that are focused on serving our customers and building our company. We have put together an outstanding leadership team from within and outside the company that has transformed the company over the past two years.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p>
    <w:p>
      <w:pPr>
        <w:spacing w:after="0" w:line="11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significant actions to improve our merchandise offering, beginning with strengthening our sports and outdoors assortment quality and selection and exiting or reducing categories that were low profit or did not fit, such as toys, electronics and luggage. We developed and improved our pricing and clearance programs to ensure our value and keep our inventory fresh. In stores, we enhanced our merchandise presentation and signage to make the shopping experience more exciting. We also upgraded our planning and allocation systems to improve our in-stocks and inventory turns and allow us to target markets and stores with the right merchandise.</w:t>
      </w:r>
    </w:p>
    <w:p>
      <w:pPr>
        <w:spacing w:after="0" w:line="2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Omnichannel</w:t>
      </w:r>
    </w:p>
    <w:p>
      <w:pPr>
        <w:spacing w:after="0" w:line="117"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Academy had been underdeveloped in omnichannel capabilities, but we have been making major improvements to our capabilities that have shown substantial progress and effects over the past year. We have made numerous website improvements, including increased speed, simplified checkout, expanded payment options, content and product information, and search capabilities. We have increased the connection between our website and our stores through our marketing, inventory, and BOPIS.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p>
    <w:p>
      <w:pPr>
        <w:spacing w:after="0" w:line="117" w:lineRule="exact"/>
        <w:rPr>
          <w:rFonts w:ascii="Times New Roman" w:cs="Times New Roman" w:eastAsia="Times New Roman" w:hAnsi="Times New Roman"/>
          <w:sz w:val="18"/>
          <w:szCs w:val="18"/>
          <w:color w:val="auto"/>
        </w:rPr>
      </w:pPr>
    </w:p>
    <w:p>
      <w:pPr>
        <w:ind w:left="1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substantial enhancements in our stores, including upgrading our service levels by using new technology to hire better team members, scheduling team members to maximize their service level effectiveness, and training team members to improve selling skills and product knowledge. We have improved our supply chain operations by using a new freight system and improved freight handling processes. We have also developed and implemented a work productivity pay program that allows our distribution team members to earn more as they increase their productivity.</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As you can see, we have been busy working on these and other high-value programs to improve our long-term performance. Beginning last year, we started to see improvements resulting from these initiatives. In addition, the improvements to our omnichannel capabilities have positioned us well to benefit from changing consumer preferences in response to the COVID-19 pandemic and resulted in substantial increases of our e-commerce sales and, in turn, our comparable sales. We have achieved four consecutive quarters with positive comparable sales, which is an improvement over our negative comparable sales for the past three fiscal years. In addition, second quarter of 2020 was our fourth consecutive quarter of profitability growth and our fifth consecutive quarter of cash flow growth. These results have allowed us to make significant progress on our long-term goals. While we still have a great deal of work and opportunity ahead of us, we are committed to work and focus on achieving our long-range vision and objectives.</w:t>
      </w:r>
    </w:p>
    <w:p>
      <w:pPr>
        <w:spacing w:after="0" w:line="18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Through the years, we have concentrated on serving our customers and communities, in both good and bad times. I am proud of how our company has continued this commitment during the COVID-19 crisis, through our stores that remained open after being designated as an essential retailer and through our website and omnichannel capabilities, all proving valuable to our customers. Our 20,000+ team members have been nothing short of inspiring during this challenging time, which shows not only their dedication, but their ability to adapt and succeed in any environment, be it a hurricane, recession, or pandemic. We will continue to serve our customers by offering a broad, differentiated, value assortment with the service they expect from Academy that satisfies them, regardless of the situation.</w:t>
      </w:r>
    </w:p>
    <w:p>
      <w:pPr>
        <w:spacing w:after="0" w:line="187"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Today and going forward, we will maintain focus on our priorities and the execution necessary to achieve excellence. We believe that we have a best-in-class value offering with localized merchandising and marketing, and a new store opening and growth strategy that sets us apart from our competitors. We have proven that we are much more than a sporting goods store, as we are sought out for our extensive assortment and value by our customers, in all seasons and situations. Our customers return to our stores knowing they can count on us, time after time.</w:t>
      </w:r>
    </w:p>
    <w:p>
      <w:pPr>
        <w:spacing w:after="0" w:line="180"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We are at the beginning of an incredible journey and still have much to accomplish. I know that we can and will be the best. I look forward to connecting with you and hope that you will join us as a public stakeholder in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791335" cy="625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13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Ken C. Hicks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metropolitan statistical areas, or MSAs.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66" w:lineRule="auto"/>
        <w:rPr>
          <w:sz w:val="20"/>
          <w:szCs w:val="20"/>
          <w:color w:val="auto"/>
        </w:rPr>
      </w:pPr>
      <w:r>
        <w:rPr>
          <w:rFonts w:ascii="Times New Roman" w:cs="Times New Roman" w:eastAsia="Times New Roman" w:hAnsi="Times New Roman"/>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03" w:lineRule="exact"/>
        <w:rPr>
          <w:sz w:val="20"/>
          <w:szCs w:val="20"/>
          <w:color w:val="auto"/>
        </w:rPr>
      </w:pPr>
    </w:p>
    <w:p>
      <w:pPr>
        <w:ind w:left="300" w:right="432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21" w:lineRule="exact"/>
        <w:rPr>
          <w:sz w:val="20"/>
          <w:szCs w:val="20"/>
          <w:color w:val="auto"/>
        </w:rPr>
      </w:pPr>
    </w:p>
    <w:p>
      <w:pPr>
        <w:ind w:left="300" w:right="42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emerging, profitable e-commerce platform that leverages our strong BOPIS and shipping fulfillment capabilities has achieved year-over-year sales growth of 8% and 284% during 2019 and the first half 2020,</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360"/>
        <w:spacing w:after="0"/>
        <w:tabs>
          <w:tab w:leader="none" w:pos="5100" w:val="left"/>
          <w:tab w:leader="none" w:pos="848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240" w:right="200" w:hanging="415"/>
        <w:spacing w:after="0" w:line="25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240" w:right="42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initiative resulted in an improved customer shopping experience and increased sales.</w:t>
      </w:r>
    </w:p>
    <w:p>
      <w:pPr>
        <w:spacing w:after="0" w:line="63"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240" w:right="60" w:hanging="415"/>
        <w:spacing w:after="0" w:line="284"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240" w:right="16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jc w:val="both"/>
        <w:ind w:left="1240" w:right="120" w:hanging="415"/>
        <w:spacing w:after="0" w:line="267"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240" w:right="14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66" w:lineRule="auto"/>
        <w:rPr>
          <w:sz w:val="20"/>
          <w:szCs w:val="20"/>
          <w:color w:val="auto"/>
        </w:rPr>
      </w:pPr>
      <w:r>
        <w:rPr>
          <w:rFonts w:ascii="Times New Roman" w:cs="Times New Roman" w:eastAsia="Times New Roman" w:hAnsi="Times New Roman"/>
          <w:sz w:val="18"/>
          <w:szCs w:val="18"/>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&amp; Internet retailers</w:t>
      </w:r>
    </w:p>
    <w:p>
      <w:pPr>
        <w:spacing w:after="0" w:line="225"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300" w:right="780" w:firstLine="426"/>
        <w:spacing w:after="0" w:line="282"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3"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94"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–passionate local experts who are specially recruited and trained for category-specific positions.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7"/>
          <w:szCs w:val="17"/>
          <w:i w:val="1"/>
          <w:iCs w:val="1"/>
          <w:color w:val="auto"/>
        </w:rPr>
        <w:t>Enthusiasts</w:t>
      </w:r>
      <w:r>
        <w:rPr>
          <w:rFonts w:ascii="Times New Roman" w:cs="Times New Roman" w:eastAsia="Times New Roman" w:hAnsi="Times New Roman"/>
          <w:sz w:val="17"/>
          <w:szCs w:val="17"/>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58"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300" w:firstLine="426"/>
        <w:spacing w:after="0" w:line="273" w:lineRule="auto"/>
        <w:rPr>
          <w:sz w:val="20"/>
          <w:szCs w:val="20"/>
          <w:color w:val="auto"/>
        </w:rPr>
      </w:pPr>
      <w:r>
        <w:rPr>
          <w:rFonts w:ascii="Times New Roman" w:cs="Times New Roman" w:eastAsia="Times New Roman" w:hAnsi="Times New Roman"/>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20"/>
        <w:spacing w:after="0" w:line="282" w:lineRule="auto"/>
        <w:rPr>
          <w:sz w:val="20"/>
          <w:szCs w:val="20"/>
          <w:color w:val="auto"/>
        </w:rPr>
      </w:pPr>
      <w:r>
        <w:rPr>
          <w:rFonts w:ascii="Times New Roman" w:cs="Times New Roman" w:eastAsia="Times New Roman" w:hAnsi="Times New Roman"/>
          <w:sz w:val="18"/>
          <w:szCs w:val="18"/>
          <w:color w:val="auto"/>
        </w:rPr>
        <w:t>market share during all economic cycles, including during April and May 2020. We attribute this to customers knowing we offer a broad assortment of the items they want during a down cycle at everyday value.</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8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300" w:right="140" w:firstLine="426"/>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8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08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1" w:lineRule="auto"/>
        <w:rPr>
          <w:sz w:val="20"/>
          <w:szCs w:val="20"/>
          <w:color w:val="auto"/>
        </w:rPr>
      </w:pPr>
      <w:r>
        <w:rPr>
          <w:rFonts w:ascii="Times New Roman" w:cs="Times New Roman" w:eastAsia="Times New Roman" w:hAnsi="Times New Roman"/>
          <w:sz w:val="17"/>
          <w:szCs w:val="17"/>
          <w:color w:val="auto"/>
        </w:rPr>
        <w:t>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64"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81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981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this Offering</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85" w:lineRule="exact"/>
        <w:rPr>
          <w:sz w:val="20"/>
          <w:szCs w:val="20"/>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320" w:top="455" w:right="6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7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240" w:right="6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240" w:right="60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a “controlled company” within the meaning of Nasdaq rules and, as a result, qualifying for exemptions from certain corporate governance requirements; and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KKR Stockholders controlling us and their interests conflicting with ours or yours in the future.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KKR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Times New Roman" w:cs="Times New Roman" w:eastAsia="Times New Roman" w:hAnsi="Times New Roman"/>
          <w:sz w:val="18"/>
          <w:szCs w:val="18"/>
          <w:b w:val="1"/>
          <w:bCs w:val="1"/>
          <w:color w:val="auto"/>
        </w:rPr>
        <w:t>The information contained on, or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320" w:top="455" w:right="6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15,625,000 shares.</w:t>
            </w:r>
          </w:p>
        </w:tc>
      </w:tr>
      <w:tr>
        <w:trPr>
          <w:trHeight w:val="450"/>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have granted the underwriters a 30-day option from the date of this prospectus to</w:t>
            </w:r>
          </w:p>
        </w:tc>
      </w:tr>
      <w:tr>
        <w:trPr>
          <w:trHeight w:val="220"/>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up to 2,343,750 additional shares of our common stock at the initial public</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offering price, less underwriting discounts and commissions, to cover over-allotments, if</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any.</w:t>
            </w:r>
          </w:p>
        </w:tc>
      </w:tr>
      <w:tr>
        <w:trPr>
          <w:trHeight w:val="437"/>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to be outstanding immediately after</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88,103,095 shares (or 90,446,845 shares if the underwriters exercise in full their over-</w:t>
            </w:r>
          </w:p>
        </w:tc>
      </w:tr>
      <w:tr>
        <w:trPr>
          <w:trHeight w:val="238"/>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this offering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$225</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million (or approximately $260 million, if the underwriters exercise in full their over-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allotment option), assuming an initial public offering price of $16.00 per share, which is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midpoint of the estimated price range set forth on the cover page of this prospectus, and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expenses payable by us. For a sensitivity analysis as to the offering price and other</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information, see “Use of Proceeds.”</w:t>
            </w:r>
          </w:p>
        </w:tc>
      </w:tr>
      <w:tr>
        <w:trPr>
          <w:trHeight w:val="441"/>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repayment of certain indebtedness.</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Affiliates of KKR beneficially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Because KKR Capital Markets LLC, an affiliate of KKR, is an underwriter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this offering and its affiliates own in excess of 10% of our issued and outstanding</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KKR Capital Markets LLC is deemed to have a “conflict of interest” under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Rule 5121, or Rule 5121, of the Financial Industry Regulatory Authority, Inc., or FINRA.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 requirements of Rule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5121, which requires, among other things, that a “qualified independent underwriter”</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participate in the preparation of, and exercise the usual standards of “due diligence” with</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respect to, the registration statement and this prospectus. Credit Suisse Securities (USA)</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LLC has agreed to act as a qualified independent underwriter for this offering and to</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undertake the legal responsibilities and liabilities of an underwriter under the Securities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Act, specifically including those inherent in Section 11 thereof. Credit Suisse Securities</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(USA) LLC will not receive any additional fees for serving as a qualified independent</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underwriter in connection with this offering. We have agreed to indemnify Credit Suisse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Securities (USA) LLC against liabilities incurred in connection with acting as a qualified</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independent underwriter, including liabilities under the Securities Act. See “Underwriting</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(Conflicts of Interest).”</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6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824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KKR Stockholders will collectively beneficially own approximately 70% of the voting power of our common stock. We currently intend to avail ourselves of the controlled company exemption under the corporate governance standards of Nasdaq.</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Investing in shares of our common stock involves a high degree of risk. See “Risk Factors” for a discussion of factors you should carefully consider before investing in shares of our common stock.</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40"/>
        <w:spacing w:after="0" w:line="266" w:lineRule="auto"/>
        <w:rPr>
          <w:sz w:val="20"/>
          <w:szCs w:val="20"/>
          <w:color w:val="auto"/>
        </w:rPr>
      </w:pPr>
      <w:r>
        <w:rPr>
          <w:rFonts w:ascii="Times New Roman" w:cs="Times New Roman" w:eastAsia="Times New Roman" w:hAnsi="Times New Roman"/>
          <w:sz w:val="18"/>
          <w:szCs w:val="18"/>
          <w:color w:val="auto"/>
        </w:rPr>
        <w:t>For a discussion of certain U.S. federal income and estate tax consequences that may be relevant to non-U.S. stockholders, see “Material U.S. Federal Income and Estate Tax Consequences to Non-U.S. Holders.”</w:t>
      </w:r>
    </w:p>
    <w:p>
      <w:pPr>
        <w:spacing w:after="0" w:line="199"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“ASO.”</w:t>
      </w:r>
    </w:p>
    <w:p>
      <w:pPr>
        <w:spacing w:after="0" w:line="207"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indicate otherwise or the context otherwise requires, this prospectus reflects and assumes:</w:t>
      </w:r>
    </w:p>
    <w:p>
      <w:pPr>
        <w:spacing w:after="0" w:line="131" w:lineRule="exact"/>
        <w:rPr>
          <w:sz w:val="20"/>
          <w:szCs w:val="20"/>
          <w:color w:val="auto"/>
        </w:rPr>
      </w:pPr>
    </w:p>
    <w:p>
      <w:pPr>
        <w:ind w:left="1240" w:hanging="52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30" w:lineRule="exact"/>
        <w:rPr>
          <w:rFonts w:ascii="Times New Roman" w:cs="Times New Roman" w:eastAsia="Times New Roman" w:hAnsi="Times New Roman"/>
          <w:sz w:val="18"/>
          <w:szCs w:val="18"/>
          <w:color w:val="auto"/>
        </w:rPr>
      </w:pPr>
    </w:p>
    <w:p>
      <w:pPr>
        <w:ind w:left="1240" w:right="22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price of $16.00 per share of common stock, which is the midpoint of the estimated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240" w:right="60" w:hanging="523"/>
        <w:spacing w:after="0" w:line="289" w:lineRule="auto"/>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the Reorganization Transactions substantially concurrently with the pricing of this offering, pursuant to which, among others, we will issue one share of our common stock for every 3.15 membership units of New Academy Holding Company, LLC contributed to us by the existing unitholders of New Academy Holding Company, LLC, or such ratio, the contribution ratio; and</w:t>
      </w:r>
    </w:p>
    <w:p>
      <w:pPr>
        <w:spacing w:after="0" w:line="63" w:lineRule="exact"/>
        <w:rPr>
          <w:rFonts w:ascii="Times New Roman" w:cs="Times New Roman" w:eastAsia="Times New Roman" w:hAnsi="Times New Roman"/>
          <w:sz w:val="17"/>
          <w:szCs w:val="17"/>
          <w:color w:val="auto"/>
        </w:rPr>
      </w:pPr>
    </w:p>
    <w:p>
      <w:pPr>
        <w:ind w:left="1240" w:right="34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immediately prior to the consummation of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excludes:</w:t>
      </w:r>
    </w:p>
    <w:p>
      <w:pPr>
        <w:spacing w:after="0" w:line="131" w:lineRule="exact"/>
        <w:rPr>
          <w:sz w:val="20"/>
          <w:szCs w:val="20"/>
          <w:color w:val="auto"/>
        </w:rPr>
      </w:pPr>
    </w:p>
    <w:p>
      <w:pPr>
        <w:ind w:left="1240" w:hanging="523"/>
        <w:spacing w:after="0" w:line="261"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9,833,311 shares of common stock issuable upon exercise of outstanding options, (i) 6,663,598 of which are vested, with a weighted-average exercise price of $9.23 per share, and (ii) 3,169,713 of which are not vested, with a weighted-average exercise price of $16.88 per share, in each case, issued under the New Academy Holding Company, LLC 2011 Unit Incentive Plan, or the 2011 Equity Plan, and adjusted based on the contribution ratio. See “Executive Compensation—Equity Compensation Plans—2011 Equity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5" w:right="67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950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1950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523"/>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2,217,196 shares of common stock issuable upon settlement of outstanding restricted stock units, (i) 802,510 of which are vested and (ii) 1,414,686 of which are not vested, in each case, issued under the 2011 Equity Plan, and adjusted based on the contribution ratio. See “Executive Compensation—Equity Compensation Plans—2011 Equity Plan;”</w:t>
      </w:r>
    </w:p>
    <w:p>
      <w:pPr>
        <w:spacing w:after="0" w:line="81" w:lineRule="exact"/>
        <w:rPr>
          <w:rFonts w:ascii="Times New Roman" w:cs="Times New Roman" w:eastAsia="Times New Roman" w:hAnsi="Times New Roman"/>
          <w:sz w:val="18"/>
          <w:szCs w:val="18"/>
          <w:color w:val="auto"/>
        </w:rPr>
      </w:pPr>
    </w:p>
    <w:p>
      <w:pPr>
        <w:ind w:left="1240" w:hanging="523"/>
        <w:spacing w:after="0" w:line="258"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5,150,000 shares of common stock reserved for future issuance under our new 2020 Omnibus Incentive Plan, or the 2020 Equity Plan, which we intend to adopt in connection with this offering, which number of shares includes the awards we expect to grant concurrently with the pricing or the closing, as applicable, of this offering in the form of 112,844 options and 10,409 restricted stock units. See “Executive Compensation—Long-Term Equity Incentive Compensation—IPO Equity Awards under 2020 Equity Plan” and “Executive Compensation—Equity Compensation Plans—2020 Equity Plan;” and</w:t>
      </w:r>
    </w:p>
    <w:p>
      <w:pPr>
        <w:spacing w:after="0" w:line="88" w:lineRule="exact"/>
        <w:rPr>
          <w:rFonts w:ascii="Times New Roman" w:cs="Times New Roman" w:eastAsia="Times New Roman" w:hAnsi="Times New Roman"/>
          <w:sz w:val="18"/>
          <w:szCs w:val="18"/>
          <w:color w:val="auto"/>
        </w:rPr>
      </w:pPr>
    </w:p>
    <w:p>
      <w:pPr>
        <w:ind w:left="1240" w:right="360" w:hanging="523"/>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common stock reserved for future issuance under our new 2020 Employee Stock Purchase Plan, or the ESPP, which we intend to adopt in connection with this offering.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5" w:right="6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Set forth below is the summary historical consolidated financial and other data for New Academy Holding Company, LLC and its subsidiaries. The summary historical financial data for 2019, 2018 and 2017 has been derived from our audited consolidated financial statements included elsewhere in this prospectus. The summary historical financial data as of August 1, 2020 and for the twenty-six weeks ended August 1, 2020 and August 3,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83"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Period length</w:t>
            </w:r>
          </w:p>
        </w:tc>
        <w:tc>
          <w:tcPr>
            <w:tcW w:w="1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4,829,897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4,783,893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4,835,582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2,742,721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3,398,743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3,415,941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3,436,618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1,948,275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1,616,002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1,367,952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1,398,964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1,251,733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1,239,002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1,241,643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614,172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r>
              <w:rPr>
                <w:rFonts w:ascii="Times New Roman" w:cs="Times New Roman" w:eastAsia="Times New Roman" w:hAnsi="Times New Roman"/>
                <w:sz w:val="15"/>
                <w:szCs w:val="15"/>
                <w:color w:val="auto"/>
              </w:rPr>
              <w:t>(2)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33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9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52 weeks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53 weeks</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80"/>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 weeks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store data)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75,691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3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1,099,749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1,134,156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1,223,486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1,203,806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582,789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15"/>
                <w:szCs w:val="15"/>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4,331,321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3,238,957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3,323,046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4,842,848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4,366,629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deferred loan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1,462,658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1,625,060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1,675,356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1,431,050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1,488,358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832,687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1,149,096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198,481</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(66,783)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(115,901)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Store Data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 (decrease)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stores at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square feet at end of period (in millions)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per square foot</w:t>
            </w:r>
            <w:r>
              <w:rPr>
                <w:rFonts w:ascii="Times New Roman" w:cs="Times New Roman" w:eastAsia="Times New Roman" w:hAnsi="Times New Roman"/>
                <w:sz w:val="15"/>
                <w:szCs w:val="15"/>
                <w:color w:val="auto"/>
              </w:rPr>
              <w:t>(4)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315,420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282,902</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Adjusted Net Income</w:t>
            </w:r>
            <w:r>
              <w:rPr>
                <w:rFonts w:ascii="Times New Roman" w:cs="Times New Roman" w:eastAsia="Times New Roman" w:hAnsi="Times New Roman"/>
                <w:sz w:val="15"/>
                <w:szCs w:val="15"/>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r>
              <w:rPr>
                <w:rFonts w:ascii="Times New Roman" w:cs="Times New Roman" w:eastAsia="Times New Roman" w:hAnsi="Times New Roman"/>
                <w:sz w:val="15"/>
                <w:szCs w:val="15"/>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(32,546)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720" w:hanging="422"/>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720" w:right="4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and in 2019 and 2017, we repurchased principal on our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w:t>
      </w:r>
    </w:p>
    <w:p>
      <w:pPr>
        <w:spacing w:after="0" w:line="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and recognized a related net gain of $6.3 million.</w:t>
      </w:r>
    </w:p>
    <w:p>
      <w:pPr>
        <w:spacing w:after="0" w:line="9" w:lineRule="exact"/>
        <w:rPr>
          <w:rFonts w:ascii="Times New Roman" w:cs="Times New Roman" w:eastAsia="Times New Roman" w:hAnsi="Times New Roman"/>
          <w:sz w:val="18"/>
          <w:szCs w:val="18"/>
          <w:color w:val="auto"/>
        </w:rPr>
      </w:pPr>
    </w:p>
    <w:p>
      <w:pPr>
        <w:ind w:left="720" w:right="6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Times New Roman" w:cs="Times New Roman" w:eastAsia="Times New Roman" w:hAnsi="Times New Roman"/>
          <w:sz w:val="18"/>
          <w:szCs w:val="18"/>
          <w:color w:val="auto"/>
        </w:rPr>
      </w:pPr>
    </w:p>
    <w:p>
      <w:pPr>
        <w:ind w:left="720" w:right="520" w:hanging="422"/>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720" w:right="540" w:hanging="422"/>
        <w:spacing w:after="0" w:line="273"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80"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82" w:lineRule="exact"/>
        <w:rPr>
          <w:sz w:val="20"/>
          <w:szCs w:val="20"/>
          <w:color w:val="auto"/>
        </w:rPr>
      </w:pPr>
    </w:p>
    <w:p>
      <w:pPr>
        <w:ind w:left="720"/>
        <w:spacing w:after="0" w:line="25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89" w:lineRule="exact"/>
        <w:rPr>
          <w:sz w:val="20"/>
          <w:szCs w:val="20"/>
          <w:color w:val="auto"/>
        </w:rPr>
      </w:pPr>
    </w:p>
    <w:p>
      <w:pPr>
        <w:ind w:left="720" w:right="10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240" w:right="160" w:hanging="523"/>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55" w:right="7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6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2661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2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240" w:hanging="523"/>
        <w:spacing w:after="0" w:line="31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45" w:lineRule="exact"/>
        <w:rPr>
          <w:rFonts w:ascii="Times New Roman" w:cs="Times New Roman" w:eastAsia="Times New Roman" w:hAnsi="Times New Roman"/>
          <w:sz w:val="17"/>
          <w:szCs w:val="17"/>
          <w:color w:val="auto"/>
        </w:rPr>
      </w:pPr>
    </w:p>
    <w:p>
      <w:pPr>
        <w:ind w:left="1240" w:hanging="523"/>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240" w:right="140" w:hanging="523"/>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1" w:lineRule="exact"/>
        <w:rPr>
          <w:rFonts w:ascii="Times New Roman" w:cs="Times New Roman" w:eastAsia="Times New Roman" w:hAnsi="Times New Roman"/>
          <w:sz w:val="18"/>
          <w:szCs w:val="18"/>
          <w:color w:val="auto"/>
        </w:rPr>
      </w:pPr>
    </w:p>
    <w:p>
      <w:pPr>
        <w:ind w:left="1240" w:right="580" w:hanging="523"/>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54"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60"/>
          </w:cols>
          <w:pgMar w:left="320" w:top="455" w:right="7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99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48,088</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117,254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135,680</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54,151</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6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(6,294)</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17,632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Inventory write-down adjustments associated with strategic merchandising</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initiative (f)</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360" w:type="dxa"/>
            <w:vAlign w:val="bottom"/>
            <w:gridSpan w:val="2"/>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$ 322,814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300,259</w:t>
            </w:r>
          </w:p>
        </w:tc>
        <w:tc>
          <w:tcPr>
            <w:tcW w:w="240" w:type="dxa"/>
            <w:vAlign w:val="bottom"/>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$ 315,420</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8"/>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5"/>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Pr>
          <w:p>
            <w:pPr>
              <w:spacing w:after="0"/>
              <w:rPr>
                <w:sz w:val="15"/>
                <w:szCs w:val="15"/>
                <w:color w:val="auto"/>
              </w:rPr>
            </w:pPr>
          </w:p>
        </w:tc>
        <w:tc>
          <w:tcPr>
            <w:tcW w:w="8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$ 120,043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58,501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10,263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00" w:type="dxa"/>
            <w:vAlign w:val="bottom"/>
            <w:gridSpan w:val="4"/>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(42,265)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(7,831)</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7,111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$ 101,469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72,078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179,106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$ 43,800</w:t>
            </w: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(14,067)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24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1100" w:type="dxa"/>
            <w:vAlign w:val="bottom"/>
            <w:gridSpan w:val="4"/>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  75,927</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53,732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134,844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720" w:right="540" w:hanging="422"/>
        <w:spacing w:after="0" w:line="25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720" w:right="220" w:hanging="422"/>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072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720" w:right="26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720" w:right="112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720" w:right="260" w:hanging="422"/>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7" w:lineRule="exact"/>
        <w:rPr>
          <w:sz w:val="20"/>
          <w:szCs w:val="20"/>
          <w:color w:val="auto"/>
        </w:rPr>
      </w:pPr>
    </w:p>
    <w:p>
      <w:pPr>
        <w:ind w:left="300" w:right="86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2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(In thousands)</w:t>
            </w:r>
          </w:p>
        </w:tc>
        <w:tc>
          <w:tcPr>
            <w:tcW w:w="19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72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80" w:type="dxa"/>
            <w:vAlign w:val="bottom"/>
            <w:vMerge w:val="restart"/>
          </w:tcPr>
          <w:p>
            <w:pPr>
              <w:spacing w:after="0"/>
              <w:rPr>
                <w:sz w:val="4"/>
                <w:szCs w:val="4"/>
                <w:color w:val="auto"/>
              </w:rPr>
            </w:pPr>
          </w:p>
        </w:tc>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$ 263,669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103,961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(115,901)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$ 196,886</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volatility;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jobs and unemployment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housing market, including real estate prices and mortgage rates;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credit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debt levels;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gasoline and fuel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tax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immigration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customs duties/tariffs and policy;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natural or man-made disasters;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unrest, trade disputes, labor shortages, and other disruptions to the supply chain;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raw material and commodity prices;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security and safety concerns;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Increasing volatility in financial markets may cause some of the aforementioned conditions to change with even greater degree of frequency and magnitude. In addition, the recent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40"/>
          </w:cols>
          <w:pgMar w:left="320" w:top="455" w:right="5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62"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85"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behavior away from team sports and outdoor activities in favor of media and electronics-driven leisure activities;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local and federal government budget cuts on facilities and activities, such as school athletic budgets, parks, ball fields, recreational sports leagues, hunting and fishing services, etc.;</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in federal and state hunting and fishing seasons, bag limits and firearm and ammunition restrictions;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escalating costs of sporting and outdoor activities due to adverse changes in economic conditions, including rising fuel prices, rising participation fees and rising sporting license fees;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sporting goods and outdoor recreation retail industries could limit our growth and reduce our profitability.</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1"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general merchants;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format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sporting goods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outdoor retailers;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footwear retailers;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catalogue and internet retailers.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COVID-19 may adversely affect our business and financial results.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9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83"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the recent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92"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began escalating in 2018, with multiple rounds of U.S. tariffs on Chinese goods taking effect. Recently, the Trump administration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Americans with Disabilities Act, or 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67" w:lineRule="exact"/>
        <w:rPr>
          <w:sz w:val="20"/>
          <w:szCs w:val="20"/>
          <w:color w:val="auto"/>
        </w:rPr>
      </w:pPr>
    </w:p>
    <w:p>
      <w:pPr>
        <w:ind w:left="1080" w:right="1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injuries or crimes associated with merchandise we sell, that has been associated with an increased risk of injury, including but not limited to firearms, ammunition, firearm accessories, air pistols, crossbows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and other archery equipment, knives, deer stands and other hunting equipment, trampolines, wheeled goods such as bicycles and ride-on toys, certain merchandise qualifying as hazardous material and other products;</w:t>
      </w:r>
    </w:p>
    <w:p>
      <w:pPr>
        <w:spacing w:after="0" w:line="67" w:lineRule="exact"/>
        <w:rPr>
          <w:sz w:val="20"/>
          <w:szCs w:val="20"/>
          <w:color w:val="auto"/>
        </w:rPr>
      </w:pPr>
    </w:p>
    <w:p>
      <w:pPr>
        <w:ind w:left="1080" w:right="44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purchase, manufacture, import, distribution and sale of our owned brand products;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municipalities or other organizations attempting to recover costs from firearm manufacturers and retailers, relating to the use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 fleet of trucks for distribution purposes, including transportation of hazardous materials by such fleet;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and ownership, leasing or operation of property for retail stores, distribution centers and other corporate needs;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alleged infringement upon intellectual property rights to merchandise we sell or technology or services we use, including information technology, marketing and advertising services;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sourcing, including international, customs and trade issues;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issues, including construction, leasing, zoning and environmental issues;</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disputes, including contractual and business disputes with vendors, landlords, or competitors;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tort, personal injury and property damage claims related to our stores, e-commerce, distribution centers or corporate headquarters; and</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Due to the inherent uncertainties of claims and lawsuits, we cannot accurately predict the ultimate outcome of any such matters. These claims and lawsuits could cause us to incur significant expenses and devote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Harm to our reputation could adversely impact our ability to attract and retain customers, team members, vendors and/or other partners.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51"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information;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operations;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or other operating procedures;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or general computer controls;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maintaining accuracy of historical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and dedication of key business resources to the updating of existing systems;</w:t>
      </w:r>
    </w:p>
    <w:p>
      <w:pPr>
        <w:spacing w:after="0" w:line="130" w:lineRule="exact"/>
        <w:rPr>
          <w:rFonts w:ascii="Times New Roman" w:cs="Times New Roman" w:eastAsia="Times New Roman" w:hAnsi="Times New Roman"/>
          <w:sz w:val="18"/>
          <w:szCs w:val="18"/>
          <w:color w:val="auto"/>
        </w:rPr>
      </w:pPr>
    </w:p>
    <w:p>
      <w:pPr>
        <w:jc w:val="center"/>
        <w:ind w:left="5540" w:right="460" w:hanging="4992"/>
        <w:spacing w:after="0" w:line="454" w:lineRule="auto"/>
        <w:tabs>
          <w:tab w:leader="none" w:pos="10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adequate experienced technical resources and third-party contractors for the updating of existing systems; 34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impact on remaining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training and change management to address critical changes in business processes and job functions;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289" w:lineRule="auto"/>
        <w:rPr>
          <w:sz w:val="20"/>
          <w:szCs w:val="20"/>
          <w:color w:val="auto"/>
        </w:rPr>
      </w:pPr>
      <w:r>
        <w:rPr>
          <w:rFonts w:ascii="Times New Roman" w:cs="Times New Roman" w:eastAsia="Times New Roman" w:hAnsi="Times New Roman"/>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91"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9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outsource certain business services and solutions, and rely on the third-party vendors of these business services and solutions, to support a variety of our business functions, including portions of our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287" w:lineRule="exact"/>
        <w:rPr>
          <w:sz w:val="20"/>
          <w:szCs w:val="20"/>
          <w:color w:val="auto"/>
        </w:rPr>
      </w:pPr>
    </w:p>
    <w:p>
      <w:pPr>
        <w:jc w:val="both"/>
        <w:ind w:left="120"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e-commerce activities expose us to various risks that could have a material adverse impact on our overall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94"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sales across the United States, thereby, subjecting us to the regulatory and other requirements of the 50 states;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keep pace with rapid technological change and maintain investments necessary for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issues related to the online sale of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related to the enforcement of patent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personal data security;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credit card and gift card fraud;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inventory control and shipping issues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including state sales tax collection for e-commerce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retention and training of personnel qualified to conduct our e-commerce operation;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adequate computer hardware and software and technology services and solutions from third-party providers;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84"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67" w:lineRule="exact"/>
        <w:rPr>
          <w:sz w:val="20"/>
          <w:szCs w:val="20"/>
          <w:color w:val="auto"/>
        </w:rPr>
      </w:pPr>
    </w:p>
    <w:p>
      <w:pPr>
        <w:ind w:left="1080" w:right="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profitably conduct sourcing and manufacturing activities internally or with third-party agents, manufacturers and distributors;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mandatory or voluntary product recalls;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lawsuits resulting from injuries associated with the use of our owned brand merchandise;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protect our intellectual property or other proprietary rights (e.g., defending against counterfeit, knock-offs, grey-market, infringing or otherwise unauthorized goods);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navigate and avoid claims related to the intellectual property or other proprietary rights of third parties;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67"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failure to adequately address some or all of these risks could have a material adverse effect on our business, results of operations and financial condition.</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comparable sales may fluctuate due to seasonality and other factors outside of our control.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and comparable sales have historically fluctuated, and may continue to fluctuate, as a result of factors outside our control, including:</w:t>
      </w:r>
    </w:p>
    <w:p>
      <w:pPr>
        <w:spacing w:after="0" w:line="67"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the economy;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unseasonal or extreme weather conditions, natural or man-made disasters (such as snow storms, hurricanes, tornadoes, and floods);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or tragic events (such as tragedies involving firearms or public health pandemics) in or affecting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the products that we offer in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new product introduction;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lockouts or strikes involving professional sports teams;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of sports superstars used in marketing various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scandals, including those involving leagues, associations, teams or athletes with ties to us or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closure of existing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college and professional sports teams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existing or entry of new competitors into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competitors in our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in consumer tastes and fashion trends;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shifts or holiday or seasonal periods;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income tax refunds to customers;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politics or consumer advocacy affecting our business, including sentiment relating to the sale of firearms and ammunition;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tax-free holidays in certain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promotions or other actions taken by us or our existing or possible new competitors;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other tenants or landlords or surrounding geographic circumstances in the shopping centers in which we are located.</w:t>
      </w:r>
    </w:p>
    <w:p>
      <w:pPr>
        <w:spacing w:after="0" w:line="225"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6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to meet our labor needs.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success of our business depends significantly on our ability to hire and retain quality team members, including store managers,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9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stores are located primarily in the southern United States which could subject us to regional risks.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76"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0"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key executives could have a material adverse effect on our business.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284"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strategic acquisitions, which could have an adverse impact on our business, as could assimilation of companies following acquisition.</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and advertising programs.</w:t>
      </w:r>
    </w:p>
    <w:p>
      <w:pPr>
        <w:spacing w:after="0" w:line="121"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August 1, 2020, we had approximately $1.4 billion outstanding under the Term Loan Facility. As of August 1, 2020, we had no borrowings outstanding under the ABL Facility, an available borrowing capacity under the ABL Facility of approximately $694.1 million (which is subject to customary borrowing conditions, including a borrowing base), and outstanding letters of credit of $29.7 million, $19.9 million of which were issued under the ABL Facility.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overall level of indebtedness requires that we dedicate a substantial portion of our cash flows to debt service payments. The Term Loan Facility requires quarterly principal and cash interest payments through June 30, 2022. The ABL Facility matures on May 22, 2023, subject to a springing maturity clause which is triggered 91 days before the July 2, 2022 maturity of the Term Loan Facility should it not be paid off or extended at least 91 days beyond the May 22, 2023 maturity date of the ABL Facility.</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substantial indebtedness reduces the funds that would otherwise be available for operations, future business opportunities and payments of our debt obligations and limits our ability to:</w:t>
      </w:r>
    </w:p>
    <w:p>
      <w:pPr>
        <w:spacing w:after="0" w:line="67"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if necessary, for working capital and operations, or such financing may not be available on favorable terms;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changes or withstand a future downturn in our business, the industry or the economy in general;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store growth, distribution center expansion, e-commerce growth, budget targets and forecasts of future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interest;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competitive pressures or compete with competitors with less debt.</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Facility and the ABL Facility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indebtedness, and additionally we have further borrowing capacity under the ABL Facility. As of August 1, 2020, we had no borrowings outstanding under the ABL Facility, and an available borrowing capacity under the ABL Facility of approximately $694.1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$200.0 million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could foreclose against the assets securing their borrowings and we could be forced into bankruptcy or liquidation.</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credit agreements governing the Term Loan Facility and the ABL Facility contain restrictive covenants that impose significant operating and financial restrictions on us and may limit our ability to engage in acts that may be in our best interest, including restrictions on our ability to:</w:t>
      </w:r>
    </w:p>
    <w:p>
      <w:pPr>
        <w:spacing w:after="0" w:line="67"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in respect of, or repurchase or redeem, capital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other restricted payments;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Additionally, at certain times, the ABL Facility requires maintenance of a certain minimum adjusted fixed charge coverage ratio. Our ability to comply with the covenants and restrictions contained in our credit agreements may be affected by events beyond our control. If market or other economic conditions deteriorate, our ability to comply with these covenants and restrictions may be impaired.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agreements governing our Term Loan Facility and ABL Facility would permit the lenders under our ABL Facility to terminate all commitments to extend further credit under that facility. Furthermore, if we were unable to repay the amounts due and payable under our Term Loan Facility and ABL Facility, those lenders could proceed against the collateral granted to them to secure that indebtedness, and we could be forced into bankruptcy or liquidation.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debt service obligations to increase significantly.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rules of Nasdaq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and the application of net proceeds therefrom, KKR Stockholders will collectively beneficially own approximately 70% of the voting power of common stock (or approximately 68% if the underwriters exercise in full their over-allotment option).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9" w:lineRule="exact"/>
        <w:rPr>
          <w:sz w:val="20"/>
          <w:szCs w:val="20"/>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for our board of directors’ selection by a nominating/governance committee comprised solely of independent directors;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be determined, or recommended to our board of directors for determination, by a compensation committee comprised solely of independent directors.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this offering, we intend to utilize these exemptions. As a result, we may not have a majority of independent directors, our compensation committee and nominating and governance committee may not consist entirely of independent directors. Accordingly, you may not have the same protections afforded to stockholders of companies that are subject to all of the corporate governance requirements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KKR Stockholders control us and their interests may conflict with yours in the future.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Immediately following this offering, KKR Stockholders will collectively beneficially own approximately 70% of the voting power of our common stock (or approximately 68% if the underwriters exercise in full their over-allotment option). KKR Stockholders will be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that we expect to enter into in connection with this offering. See “Certain Relationships and Related Party Transactions—Stockholders Agreement.” The interests of KKR Stockholders may not coincide with the interests of other holders of our common stock.</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business activities, KKR Stockholders and their affiliates may engage in activities where their interests conflict with our interests or those of our stockholders. Our certificate of incorporation will provide that any of KKR Stockholders, any of their affiliates or any director who is not employed by us (including any non-employee director who serves as one of our officers in both his or her director and officer capacities) or his or her affiliates will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KKR Stockholders and their affiliates will be able to determine the outcome of all matters requiring stockholder approval and will be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84"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insurance, and other expenses that we have not incurred as a private company, including costs associated with public company reporting requirements and costs of recruiting and retaining non-executive directors. We also have incurred and will incur costs associated with the Sarbanes-Oxley Act, and the Dodd-Frank Wall Street Reform and Consumer Protection Act, or the Dodd-Frank Act, and related rules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91"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there may not develop or continue an active, liquid trading market for shares of our common stock,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If you purchase shares of our common stock in this offering, you will pay a price that was not established in a competitive market. Instead, the initial public offering price per share of common stock will be determined by agreement among us and the representative(s) of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The lack of an active market may impair your ability to sell your shares at the time you wish to sell them or at a price you consider reasonable. The lack of an active market may also reduce the fair market value of your shares. Furthermore, an inactive market may also impair our ability to raise capital by selling shares of our common stock.</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Even if a trading market develops, the market price of our common stock may be highly volatile and could be subject to wide fluctuations. You may not be able to resell your shares at or above the initial public offering price due to a number of factors such as those listed in “—Risks Related to Our Business” and the following:</w:t>
      </w:r>
    </w:p>
    <w:p>
      <w:pPr>
        <w:spacing w:after="0" w:line="81"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sporting goods and outdoor recreation retail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 and our market share;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way we are perceived in the marketplace, including due to negative publicity or campaigns on social media to boycott certain of our products, our business or our industry;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suffer immediate and substantial dilution.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public offering price per share of common stock will be substantially higher than our pro forma net tangible book value (deficit) per share immediately after this offering. As a result, you will pay a price per share of common stock that substantially exceeds the per share book value of our tangible assets after subtracting our liabilities. In addition, you will pay more for your shares of common stock than the amounts paid by our existing owners. Assuming an initial public offering price of $16.00 per share of common stock, which is the midpoint of the estimated price range set forth on the cover page of this prospectus, you will incur immediate and substantial dilution in an amount of $(19.62) per share of common stock. If the underwriters exercise their over-allotment option, you will experience additional dilution. See “Dilution.”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this offering we will have approximately 211,896,905 shares of common stock authorized but unissued (or 209,553,155 shares if the underwriters exercise in full their over-allotment option). Our amended and restated certificate of incorporation to become effective immediately prior to the consummation of this offering will authorize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292"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15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9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owners in the public market following this offering could cause the market price for our common stock to decline.</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including sales by our existing owners,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owners), may be sold only in compliance with the limitations described in “Shares Eligible for Future Sale.”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remaining outstanding 72,478,095 shares of common stock held by our existing owners after this offering, representing approximately 82% of the total outstanding shares of our common stock following this offering (or approximately 80% if the underwriters exercise in full their over-allotment option),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our executive officers, directors and certain of our existing owners, will sign lock-up agreements with the underwriters that will, subject to certain customary exceptions, restrict the sale of the shares of our common stock and certain other securities held by them for 180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the expiration of the lock-up agreements described above, all of such shares will be eligible for resale in a public market pursuant to Rule 144, subject to our compliance with the public information requirement and, in the case of shares held by our affiliates, to volume, manner of sale and other limitations under Rule 144. We expect that certain of our existing owners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owners have “piggyback” registration rights with respect to future registered offerings of our common stock. Following completion of this offering, the shares covered by registration rights would represent approximately 82% of our total common stock outstanding (or approximately 80% if the underwriters exercise in full their over-allotment option). Registration of any of these outstanding shares of common stock would result in such shares becoming freely tradable without compliance with Rule 144 upon effectiveness of the registration statement. See “Shares Eligible for Future Sale.”</w:t>
      </w:r>
    </w:p>
    <w:p>
      <w:pPr>
        <w:spacing w:after="0" w:line="192"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owners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may spend the proceeds of this offering in ways with which you may disagree or that may not be profitable.</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Although we anticipate using the net proceeds from the offering as described under “Use of Proceeds,” we will have broad discretion as to the application of the net proceeds and could use them for purposes other than those contemplated by this offering. You may not agree with the manner in which our management chooses to allocate and spend the net proceeds. Our management may use the proceeds for corporate purposes that may not increase our profitability or otherwise result in the creation of stockholder value. In addition, pending our use of the proceeds, we may invest the proceeds primarily in instruments that do not produce significant income or that may lose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1080" w:right="3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as a result of which our board of directors will be divided into three classes, with each class serving for staggered three-year terms;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our annual meetings;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may be amended only by the affirmative vote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76"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in additional series without stockholder approval.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2"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right="40" w:hanging="4"/>
        <w:spacing w:after="0" w:line="251"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8"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financial results;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 indemnities coverage may not be sufficient;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technology systems;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owned brand merchandise;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ability to meet our labor needs;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costs and availability;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$225 million (or approximately $260 million, if the underwriters exercise in full their over-allotment option) from the sale of shares of our common stock in this offering, assuming an initial public offering price of $16.00 per share, which is the midpoint of the estimated price range set forth on the cover page of this prospectus, and after deducting the underwriting discounts and commissions and estimated offering expenses payable by us. An increase (decrease) of 1,000,000 shares from the expected number of shares of common stock to be sold by us in this offering, assuming no change in the assumed initial offering price per share, would increase (decrease) our net proceeds from this offering by $14.9 million. A $1.00 increase (decrease) in the assumed initial offering price would increase (decrease) the net proceeds to us from this offering by $14.6 million, assuming the number of shares of common stock offered by us, as set forth on the cover page of this prospectus, remains the same, and after deducting the underwriting discounts and commissions and estimated offering expenses payable by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these proceeds for general corporate purposes, which may include the repayment of certain indebtedness.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cash and cash equivalents and capitalization as of August 1, 2020 of New Academy Holding Company, LLC on an actual basis and of Academy Sports and Outdoors, Inc. on a pro forma basis to reflect:</w:t>
      </w:r>
    </w:p>
    <w:p>
      <w:pPr>
        <w:spacing w:after="0" w:line="67"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$257.0 million one-time special distribution paid on August 28, 2020 to New Academy Holding Company, LLC’s unitholders;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Reorganization Transactions; and</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15,625,000 shares of our common stock offered by us in this offering at an assumed initial public offering price of $16.00 per share, which is the midpoint of the estimated price range set forth on the cover page of this prospectus, after deducting the underwriting discounts and commissions and estimated offering expenses payable by us, and the application of the net proceeds to us therefrom as described under “Use of Proceeds.”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As of August 1, 2020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ind w:right="880"/>
              <w:spacing w:after="0" w:line="118" w:lineRule="exact"/>
              <w:rPr>
                <w:sz w:val="20"/>
                <w:szCs w:val="20"/>
                <w:color w:val="auto"/>
              </w:rPr>
            </w:pPr>
            <w:r>
              <w:rPr>
                <w:rFonts w:ascii="Times New Roman" w:cs="Times New Roman" w:eastAsia="Times New Roman" w:hAnsi="Times New Roman"/>
                <w:sz w:val="13"/>
                <w:szCs w:val="13"/>
                <w:b w:val="1"/>
                <w:bCs w:val="1"/>
                <w:color w:val="auto"/>
              </w:rPr>
              <w:t>New Academy</w:t>
            </w: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Academy Sports and</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Holding Company,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LLC</w:t>
            </w: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Outdoors, Inc.</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884,029</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861,024</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ABL Facility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1,433,965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1,433,965</w:t>
            </w:r>
          </w:p>
        </w:tc>
        <w:tc>
          <w:tcPr>
            <w:tcW w:w="0" w:type="dxa"/>
            <w:vAlign w:val="bottom"/>
          </w:tcPr>
          <w:p>
            <w:pPr>
              <w:spacing w:after="0"/>
              <w:rPr>
                <w:sz w:val="1"/>
                <w:szCs w:val="1"/>
                <w:color w:val="auto"/>
              </w:rPr>
            </w:pPr>
          </w:p>
        </w:tc>
      </w:tr>
      <w:tr>
        <w:trPr>
          <w:trHeight w:val="230"/>
        </w:trPr>
        <w:tc>
          <w:tcPr>
            <w:tcW w:w="49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Partners’/Stockholders’ equity</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Partners’ equity</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321,376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300,000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authorized, 88,103 shares issued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w:t>
            </w:r>
          </w:p>
        </w:tc>
        <w:tc>
          <w:tcPr>
            <w:tcW w:w="10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8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288,495</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and other comprehensive income (loss)</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(8,339)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(8,339)</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836,059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partners’/stockholders’ equity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1,149,096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1,117,096</w:t>
            </w:r>
          </w:p>
        </w:tc>
        <w:tc>
          <w:tcPr>
            <w:tcW w:w="0" w:type="dxa"/>
            <w:vAlign w:val="bottom"/>
          </w:tcPr>
          <w:p>
            <w:pPr>
              <w:spacing w:after="0"/>
              <w:rPr>
                <w:sz w:val="1"/>
                <w:szCs w:val="1"/>
                <w:color w:val="auto"/>
              </w:rPr>
            </w:pPr>
          </w:p>
        </w:tc>
      </w:tr>
      <w:tr>
        <w:trPr>
          <w:trHeight w:val="223"/>
        </w:trPr>
        <w:tc>
          <w:tcPr>
            <w:tcW w:w="49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2,583,061</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8"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increase (decrease) in the assumed initial public offering price of $16.00 per share, which is the midpoint of the estimated price range set forth on the cover page of this prospectus, would increase (decrease) the net proceeds that we receive in this offering and each of additional paid-in capital, total stockholders’ equity and total capitalization by approximately $14.6 million, assuming the number of shares offered by us remains the same as set forth on the cover page of this prospectus and after deducting the underwriting discounts and commissions and estimated offering expenses payable by us. An increase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(decrease) of 1,000,000 shares in the expected number of shares to be sold by us in this offering, assuming no change in the assumed initial public offering price, would increase (decrease) our net proceeds from this offering and each of additional paid-in capital, total stockholders’ equity and total capitalization by approximately $14.9 million . The pro forma column reflects the issuance of 72,478,095 shares of common stock of Academy Sports and Outdoors, Inc. in connection with the contribution of New Academy Holding Company, LLC by its unitholders and related reorganization transactions and related cancellation of all outstanding partners’ equity at New Academy Holding Company, LLC in connection with the offering.</w:t>
      </w:r>
    </w:p>
    <w:p>
      <w:pPr>
        <w:spacing w:after="0" w:line="5" w:lineRule="exact"/>
        <w:rPr>
          <w:sz w:val="20"/>
          <w:szCs w:val="20"/>
          <w:color w:val="auto"/>
        </w:rPr>
      </w:pPr>
    </w:p>
    <w:p>
      <w:pPr>
        <w:ind w:left="540" w:right="2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August 1, 2020, there were $29.7 million letters of credit outstanding, $19.9 million of which were issued under the ABL Facility. For a further description of our ABL Facility, see “Description of Certain Indebtedness.”</w:t>
      </w:r>
    </w:p>
    <w:p>
      <w:pPr>
        <w:ind w:left="540" w:right="180" w:hanging="424"/>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cash and cash equivalents reflects (i) a decrease of $248.0 million in cash, which amount was used to fund the special distribution on August 28, 2020, and (ii) an increase of $225 million from the application of the net proceeds from this offering as cash and cash equivalents pending application as set forth in “Use of Proceeds.”</w:t>
      </w:r>
    </w:p>
    <w:p>
      <w:pPr>
        <w:spacing w:after="0" w:line="1"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additional paid-in capital reflects (i) a decrease of $257 million in partners’ equity at New Academy Holding Company, LLC due to the special distribution to its unitholders and (ii) an increase of $224 million from the sale of shares in this offering at an assumed initial public offering price of $16.00 per share, which is the midpoint of the estimated price range set forth on the cover page of this prospectus, net of $881,000 allocated to pro forma common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in us will be diluted to the extent of the difference between the initial public offering price per share of our common stock and the pro forma net tangible book (deficit) per share of our common stock after giving effect to this offering. Dilution results from the fact that the per share offering price of the common stock is substantially in excess of the pro forma net tangible book value per share attributable to our existing owners.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pro forma net tangible book (deficit) as of August 1, 2020 was approximately $(544) million, or $(7.50) per share of our common stock. We calculate pro forma net tangible book (deficit) per share by taking the amount of our total tangible assets (including our right-of-use assets related to our leases), reduced by the amount of our total liabilities, in each case, after giving effect to the $257.0 million one-time special distribution paid on August 28, 2020 to our existing owners, or the Distribution, and then dividing that amount by the total number of shares of common stock outstanding on a pro forma basis giving effect to the Reorganization Transactions.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(i) our sale of 15,625,000 shares of common stock in this offering at an assumed initial public offering price of $16.00 per share, which is the midpoint of the estimated price range set forth on the cover page of this prospectus, and (ii) the use of proceeds therefrom, after deducting the underwriting discounts and commissions and estimated offering expenses payable by us, our pro forma net tangible book (deficit) as of August 1, 2020 would have been $(319) million, or $(3.62) per share of our common stock. This amount represents an immediate decrease in pro forma net tangible book (deficit) of $3.88 per share of common stock to our existing owners and an immediate and substantial dilution in pro forma net tangible book value of $(19.62) per share of common stock to new investors purchasing shares in this offering.</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of common stock basis assuming the underwriters do not exercise their option to purchase additional shares of common stock:</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as of August 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after giving effect to the Distribution and the Reorganization Transactions</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net tangible book value per share of common stock</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investors in this offering</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(deficit) per share of common stock after giving effect to</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2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of common stock to investors in this offering</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pro forma net tangible book (deficit) per share of common stock after the offering from the initial public offering price per share of common stock.</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per share of common stock would increase or decrease, as applicable, the pro forma net tangible book value by $0.16 per share and the dilution to new investors in the offering by $(0.84) per share, assuming that the number of shares offered in this offering, as set forth on the cover page of this prospectus, remains the same. The pro forma information discussed above is for illustrative purposes only. Our net tangible book (deficit) following the completion of the offering is subject to adjustment based on the actual offering price of our common stock and other terms of this offering determined at pricing.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on the same pro forma basis as of August 1, 2020, the total number of shares of common stock purchased from us, the total cash consideration paid to us and the average price per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common stock paid by our existing owners and by new investors purchasing shares of common stock in this offering.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34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23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42"/>
        </w:trPr>
        <w:tc>
          <w:tcPr>
            <w:tcW w:w="5240" w:type="dxa"/>
            <w:vAlign w:val="bottom"/>
          </w:tcPr>
          <w:p>
            <w:pPr>
              <w:spacing w:after="0"/>
              <w:rPr>
                <w:sz w:val="12"/>
                <w:szCs w:val="12"/>
                <w:color w:val="auto"/>
              </w:rPr>
            </w:pPr>
          </w:p>
        </w:tc>
        <w:tc>
          <w:tcPr>
            <w:tcW w:w="1280" w:type="dxa"/>
            <w:vAlign w:val="bottom"/>
            <w:tcBorders>
              <w:top w:val="single" w:sz="8" w:color="auto"/>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(in thousands)</w:t>
            </w:r>
          </w:p>
        </w:tc>
        <w:tc>
          <w:tcPr>
            <w:tcW w:w="4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owners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72,478,095</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992,000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15,625,000</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250,000</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r>
      <w:tr>
        <w:trPr>
          <w:trHeight w:val="27"/>
        </w:trPr>
        <w:tc>
          <w:tcPr>
            <w:tcW w:w="5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88,103,095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1,242,000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w:t>
            </w:r>
          </w:p>
        </w:tc>
      </w:tr>
    </w:tbl>
    <w:p>
      <w:pPr>
        <w:spacing w:after="0" w:line="19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exercise in full their option to purchase 2,343,750 additional shares of our common stock from us, the percentage of shares of our common stock held by existing owners as of August 1, 2020 would be 80% and the percentage of shares of our common stock held by new investors in this offering would be 20%.</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HISTORICAL CONSOLIDATED FINANCIAL DATA</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twenty-six weeks ended August 1, 2020 and August 3, 2019 has been derived from our unaudited condensed consolidated financial statements included elsewhere in this prospectus. The results of operations for any period are not necessarily indicative of the results to be expected for any future period.</w:t>
      </w:r>
    </w:p>
    <w:p>
      <w:pPr>
        <w:spacing w:after="0" w:line="18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selected historical consolidated financial data of Academy Sports and Outdoors, Inc. has not been presented, as Academy Sports and Outdoors, Inc. is a newly incorporated entity, has had no business transactions or activities to date other than in connection with its formation and this offering and had no assets or liabilities during the periods presented in this section.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Pro forma balance sheet data as of August 1, 2020 presented below gives effect to the $257.0 million one-time special distribution to our unitholders paid on August 28, 2020, $248.0 million of which was paid with cash on hand and the remainder of which was distributed through an offset of outstanding loans receivable from certain unitholders as well as state income tax withholdings made on behalf of our unitholders. Pro forma net income data presented below gives effect to the anticipated conversion of New Academy Holding Company, LLC to a C Corporation. Pro forma net income per share data for 2019 and the twenty-six weeks ended August 1, 2020 presented below gives effect to the Reorganization Transactions and also assumes that 8,559,813 and 3,315,875 additional shares of common stock were outstanding for 2019 and the twenty-six weeks ended August 1, 2020, respectively, and were used to fund the amount of the special distribution in excess of our net income for such period.</w:t>
      </w:r>
    </w:p>
    <w:p>
      <w:pPr>
        <w:spacing w:after="0" w:line="18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53 weeks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52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rPr>
              <w:t>26 weeks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26 weeks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4,829,897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4,783,893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4,835,582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4,738,474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4,646,686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2,742,721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2,314,202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3,398,743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3,415,941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3,436,618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3,419,784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3,299,972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1,616,022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1,431,154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1,318,690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1,251,733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1,241,643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1,171,411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252,214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101,307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retirement of debt, net</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(7,831)</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5"/>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20" w:type="dxa"/>
            <w:vAlign w:val="bottom"/>
          </w:tcPr>
          <w:p>
            <w:pPr>
              <w:spacing w:after="0"/>
              <w:rPr>
                <w:sz w:val="10"/>
                <w:szCs w:val="10"/>
                <w:color w:val="auto"/>
              </w:rPr>
            </w:pPr>
          </w:p>
        </w:tc>
        <w:tc>
          <w:tcPr>
            <w:tcW w:w="800" w:type="dxa"/>
            <w:vAlign w:val="bottom"/>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20" w:type="dxa"/>
            <w:vAlign w:val="bottom"/>
          </w:tcPr>
          <w:p>
            <w:pPr>
              <w:spacing w:after="0"/>
              <w:rPr>
                <w:sz w:val="10"/>
                <w:szCs w:val="10"/>
                <w:color w:val="auto"/>
              </w:rPr>
            </w:pPr>
          </w:p>
        </w:tc>
        <w:tc>
          <w:tcPr>
            <w:tcW w:w="11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100" w:type="dxa"/>
            <w:vAlign w:val="bottom"/>
            <w:gridSpan w:val="6"/>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28,</w:t>
            </w:r>
          </w:p>
        </w:tc>
        <w:tc>
          <w:tcPr>
            <w:tcW w:w="20" w:type="dxa"/>
            <w:vAlign w:val="bottom"/>
          </w:tcPr>
          <w:p>
            <w:pPr>
              <w:spacing w:after="0"/>
              <w:rPr>
                <w:sz w:val="10"/>
                <w:szCs w:val="10"/>
                <w:color w:val="auto"/>
              </w:rPr>
            </w:pPr>
          </w:p>
        </w:tc>
        <w:tc>
          <w:tcPr>
            <w:tcW w:w="7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30,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6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5"/>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5"/>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53 weeks</w:t>
            </w:r>
          </w:p>
        </w:tc>
        <w:tc>
          <w:tcPr>
            <w:tcW w:w="4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3"/>
          </w:tcPr>
          <w:p>
            <w:pPr>
              <w:jc w:val="right"/>
              <w:spacing w:after="0" w:line="174" w:lineRule="exact"/>
              <w:rPr>
                <w:sz w:val="20"/>
                <w:szCs w:val="20"/>
                <w:color w:val="auto"/>
              </w:rPr>
            </w:pPr>
            <w:r>
              <w:rPr>
                <w:rFonts w:ascii="Times New Roman" w:cs="Times New Roman" w:eastAsia="Times New Roman" w:hAnsi="Times New Roman"/>
                <w:sz w:val="16"/>
                <w:szCs w:val="16"/>
                <w:color w:val="auto"/>
                <w:w w:val="96"/>
              </w:rPr>
              <w:t>52 weeks</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52 weeks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20"/>
              <w:spacing w:after="0" w:line="174" w:lineRule="exact"/>
              <w:rPr>
                <w:sz w:val="20"/>
                <w:szCs w:val="20"/>
                <w:color w:val="auto"/>
              </w:rPr>
            </w:pPr>
            <w:r>
              <w:rPr>
                <w:rFonts w:ascii="Times New Roman" w:cs="Times New Roman" w:eastAsia="Times New Roman" w:hAnsi="Times New Roman"/>
                <w:sz w:val="16"/>
                <w:szCs w:val="16"/>
                <w:color w:val="auto"/>
              </w:rPr>
              <w:t>26 weeks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gridSpan w:val="3"/>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26 weeks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 thousands, except share and per share</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amounts and store data)</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Per Share Data (unaudited):</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2480" w:type="dxa"/>
            <w:vAlign w:val="bottom"/>
          </w:tcPr>
          <w:p>
            <w:pPr>
              <w:spacing w:after="0" w:line="6" w:lineRule="exact"/>
              <w:rPr>
                <w:sz w:val="20"/>
                <w:szCs w:val="20"/>
                <w:color w:val="auto"/>
              </w:rPr>
            </w:pPr>
            <w:r>
              <w:rPr>
                <w:rFonts w:ascii="Times New Roman" w:cs="Times New Roman" w:eastAsia="Times New Roman" w:hAnsi="Times New Roman"/>
                <w:sz w:val="1"/>
                <w:szCs w:val="1"/>
                <w:color w:val="auto"/>
              </w:rPr>
              <w:t>Pro forma net income</w:t>
            </w:r>
          </w:p>
        </w:tc>
        <w:tc>
          <w:tcPr>
            <w:tcW w:w="460" w:type="dxa"/>
            <w:vAlign w:val="bottom"/>
          </w:tcPr>
          <w:p>
            <w:pPr>
              <w:spacing w:after="0" w:line="20" w:lineRule="exact"/>
              <w:rPr>
                <w:sz w:val="1"/>
                <w:szCs w:val="1"/>
                <w:color w:val="auto"/>
              </w:rPr>
            </w:pPr>
          </w:p>
        </w:tc>
        <w:tc>
          <w:tcPr>
            <w:tcW w:w="1220" w:type="dxa"/>
            <w:vAlign w:val="bottom"/>
            <w:gridSpan w:val="7"/>
          </w:tcPr>
          <w:p>
            <w:pPr>
              <w:jc w:val="right"/>
              <w:ind w:right="80"/>
              <w:spacing w:after="0" w:line="6" w:lineRule="exact"/>
              <w:rPr>
                <w:sz w:val="20"/>
                <w:szCs w:val="20"/>
                <w:color w:val="auto"/>
              </w:rPr>
            </w:pPr>
            <w:r>
              <w:rPr>
                <w:rFonts w:ascii="Times New Roman" w:cs="Times New Roman" w:eastAsia="Times New Roman" w:hAnsi="Times New Roman"/>
                <w:sz w:val="1"/>
                <w:szCs w:val="1"/>
                <w:color w:val="auto"/>
              </w:rPr>
              <w:t>89,942</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jc w:val="right"/>
              <w:ind w:right="160"/>
              <w:spacing w:after="0" w:line="6" w:lineRule="exact"/>
              <w:rPr>
                <w:sz w:val="20"/>
                <w:szCs w:val="20"/>
                <w:color w:val="auto"/>
              </w:rPr>
            </w:pPr>
            <w:r>
              <w:rPr>
                <w:rFonts w:ascii="Times New Roman" w:cs="Times New Roman" w:eastAsia="Times New Roman" w:hAnsi="Times New Roman"/>
                <w:sz w:val="1"/>
                <w:szCs w:val="1"/>
                <w:color w:val="auto"/>
              </w:rPr>
              <w:t>118,658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1480"/>
              <w:spacing w:after="0"/>
              <w:rPr>
                <w:sz w:val="20"/>
                <w:szCs w:val="20"/>
                <w:color w:val="auto"/>
              </w:rPr>
            </w:pPr>
            <w:r>
              <w:rPr>
                <w:rFonts w:ascii="Times New Roman" w:cs="Times New Roman" w:eastAsia="Times New Roman" w:hAnsi="Times New Roman"/>
                <w:sz w:val="15"/>
                <w:szCs w:val="15"/>
                <w:color w:val="auto"/>
              </w:rPr>
              <w:t>(3)</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
        </w:trPr>
        <w:tc>
          <w:tcPr>
            <w:tcW w:w="2480" w:type="dxa"/>
            <w:vAlign w:val="bottom"/>
            <w:shd w:val="clear" w:color="auto" w:fill="CCEEFF"/>
          </w:tcPr>
          <w:p>
            <w:pPr>
              <w:spacing w:after="0" w:line="10" w:lineRule="exact"/>
              <w:rPr>
                <w:sz w:val="20"/>
                <w:szCs w:val="20"/>
                <w:color w:val="auto"/>
              </w:rPr>
            </w:pPr>
            <w:r>
              <w:rPr>
                <w:rFonts w:ascii="Times New Roman" w:cs="Times New Roman" w:eastAsia="Times New Roman" w:hAnsi="Times New Roman"/>
                <w:sz w:val="1"/>
                <w:szCs w:val="1"/>
                <w:color w:val="auto"/>
              </w:rPr>
              <w:t>Pro forma net income per share</w:t>
            </w:r>
          </w:p>
        </w:tc>
        <w:tc>
          <w:tcPr>
            <w:tcW w:w="460" w:type="dxa"/>
            <w:vAlign w:val="bottom"/>
            <w:shd w:val="clear" w:color="auto" w:fill="CCEEFF"/>
          </w:tcPr>
          <w:p>
            <w:pPr>
              <w:jc w:val="right"/>
              <w:ind w:right="395"/>
              <w:spacing w:after="0" w:line="10"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5"/>
                <w:szCs w:val="15"/>
                <w:color w:val="auto"/>
                <w:w w:val="91"/>
              </w:rPr>
              <w:t>(3)(4)</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tcPr>
          <w:p>
            <w:pPr>
              <w:spacing w:after="0"/>
              <w:rPr>
                <w:sz w:val="17"/>
                <w:szCs w:val="17"/>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9"/>
              </w:rPr>
              <w:t>Weighted average shares of common stock</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480" w:type="dxa"/>
            <w:vAlign w:val="bottom"/>
          </w:tcPr>
          <w:p>
            <w:pPr>
              <w:ind w:left="160"/>
              <w:spacing w:after="0" w:line="28" w:lineRule="exact"/>
              <w:rPr>
                <w:sz w:val="20"/>
                <w:szCs w:val="20"/>
                <w:color w:val="auto"/>
              </w:rPr>
            </w:pPr>
            <w:r>
              <w:rPr>
                <w:rFonts w:ascii="Times New Roman" w:cs="Times New Roman" w:eastAsia="Times New Roman" w:hAnsi="Times New Roman"/>
                <w:sz w:val="3"/>
                <w:szCs w:val="3"/>
                <w:color w:val="auto"/>
              </w:rPr>
              <w:t>outstanding  :</w:t>
            </w: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81,037,194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75,792,106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460" w:type="dxa"/>
            <w:vAlign w:val="bottom"/>
          </w:tcPr>
          <w:p>
            <w:pPr>
              <w:spacing w:after="0"/>
              <w:rPr>
                <w:sz w:val="19"/>
                <w:szCs w:val="19"/>
                <w:color w:val="auto"/>
              </w:rPr>
            </w:pP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83,356,358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77,803,352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7"/>
                <w:szCs w:val="17"/>
                <w:color w:val="auto"/>
              </w:rPr>
              <w:t>$   263,669</w:t>
            </w:r>
          </w:p>
        </w:tc>
        <w:tc>
          <w:tcPr>
            <w:tcW w:w="112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$ 198,481</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83,355</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164,555</w:t>
            </w:r>
          </w:p>
        </w:tc>
        <w:tc>
          <w:tcPr>
            <w:tcW w:w="4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249,376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773,621</w:t>
            </w:r>
          </w:p>
        </w:tc>
        <w:tc>
          <w:tcPr>
            <w:tcW w:w="80" w:type="dxa"/>
            <w:vAlign w:val="bottom"/>
          </w:tcPr>
          <w:p>
            <w:pPr>
              <w:spacing w:after="0"/>
              <w:rPr>
                <w:sz w:val="17"/>
                <w:szCs w:val="17"/>
                <w:color w:val="auto"/>
              </w:rPr>
            </w:pPr>
          </w:p>
        </w:tc>
        <w:tc>
          <w:tcPr>
            <w:tcW w:w="940" w:type="dxa"/>
            <w:vAlign w:val="bottom"/>
            <w:gridSpan w:val="5"/>
          </w:tcPr>
          <w:p>
            <w:pPr>
              <w:jc w:val="right"/>
              <w:ind w:right="200"/>
              <w:spacing w:after="0"/>
              <w:rPr>
                <w:sz w:val="20"/>
                <w:szCs w:val="20"/>
                <w:color w:val="auto"/>
              </w:rPr>
            </w:pPr>
            <w:r>
              <w:rPr>
                <w:rFonts w:ascii="Times New Roman" w:cs="Times New Roman" w:eastAsia="Times New Roman" w:hAnsi="Times New Roman"/>
                <w:sz w:val="17"/>
                <w:szCs w:val="17"/>
                <w:color w:val="auto"/>
              </w:rPr>
              <w:t>$103,961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(66,783)</w:t>
            </w:r>
          </w:p>
        </w:tc>
        <w:tc>
          <w:tcPr>
            <w:tcW w:w="11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(99,027)</w:t>
            </w:r>
          </w:p>
        </w:tc>
        <w:tc>
          <w:tcPr>
            <w:tcW w:w="144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(115,901)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9"/>
              </w:rPr>
              <w:t>(153,215)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9"/>
              </w:rPr>
              <w:t>(118,096)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(13,580)</w:t>
            </w: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(31,767)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Net cash provided by (used in) financing</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460" w:type="dxa"/>
            <w:vAlign w:val="bottom"/>
          </w:tcPr>
          <w:p>
            <w:pPr>
              <w:spacing w:after="0"/>
              <w:rPr>
                <w:sz w:val="19"/>
                <w:szCs w:val="19"/>
                <w:color w:val="auto"/>
              </w:rPr>
            </w:pPr>
          </w:p>
        </w:tc>
        <w:tc>
          <w:tcPr>
            <w:tcW w:w="1220" w:type="dxa"/>
            <w:vAlign w:val="bottom"/>
            <w:gridSpan w:val="7"/>
          </w:tcPr>
          <w:p>
            <w:pPr>
              <w:jc w:val="right"/>
              <w:ind w:right="20"/>
              <w:spacing w:after="0"/>
              <w:rPr>
                <w:sz w:val="20"/>
                <w:szCs w:val="20"/>
                <w:color w:val="auto"/>
              </w:rPr>
            </w:pPr>
            <w:r>
              <w:rPr>
                <w:rFonts w:ascii="Times New Roman" w:cs="Times New Roman" w:eastAsia="Times New Roman" w:hAnsi="Times New Roman"/>
                <w:sz w:val="17"/>
                <w:szCs w:val="17"/>
                <w:color w:val="auto"/>
              </w:rPr>
              <w:t>(123,192)</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(54,808)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8,514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(8,392)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w w:val="99"/>
              </w:rPr>
              <w:t>(287,052)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(25,127)</w:t>
            </w:r>
          </w:p>
        </w:tc>
        <w:tc>
          <w:tcPr>
            <w:tcW w:w="80" w:type="dxa"/>
            <w:vAlign w:val="bottom"/>
          </w:tcPr>
          <w:p>
            <w:pPr>
              <w:spacing w:after="0"/>
              <w:rPr>
                <w:sz w:val="19"/>
                <w:szCs w:val="19"/>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7"/>
                <w:szCs w:val="17"/>
                <w:color w:val="auto"/>
              </w:rPr>
              <w:t>(95,795)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460" w:type="dxa"/>
            <w:vAlign w:val="bottom"/>
            <w:shd w:val="clear" w:color="auto" w:fill="CCEEFF"/>
          </w:tcPr>
          <w:p>
            <w:pPr>
              <w:spacing w:after="0"/>
              <w:rPr>
                <w:sz w:val="17"/>
                <w:szCs w:val="17"/>
                <w:color w:val="auto"/>
              </w:rPr>
            </w:pPr>
          </w:p>
        </w:tc>
        <w:tc>
          <w:tcPr>
            <w:tcW w:w="122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62,818</w:t>
            </w:r>
          </w:p>
        </w:tc>
        <w:tc>
          <w:tcPr>
            <w:tcW w:w="112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107,905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97"/>
              </w:rPr>
              <w:t>132,126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177,628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197,710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13,850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27,802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Store Data (Unaudited):</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sales increase (decrease)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Number of stores at end of period</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244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w w:val="98"/>
              </w:rPr>
              <w:t>Total square feet at end of period (in</w:t>
            </w: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millions)</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Net sales per square foot</w:t>
            </w:r>
            <w:r>
              <w:rPr>
                <w:rFonts w:ascii="Times New Roman" w:cs="Times New Roman" w:eastAsia="Times New Roman" w:hAnsi="Times New Roman"/>
                <w:sz w:val="14"/>
                <w:szCs w:val="14"/>
                <w:color w:val="auto"/>
              </w:rPr>
              <w:t>(5)</w:t>
            </w:r>
          </w:p>
        </w:tc>
        <w:tc>
          <w:tcPr>
            <w:tcW w:w="460" w:type="dxa"/>
            <w:vAlign w:val="bottom"/>
          </w:tcPr>
          <w:p>
            <w:pPr>
              <w:spacing w:after="0"/>
              <w:rPr>
                <w:sz w:val="19"/>
                <w:szCs w:val="19"/>
                <w:color w:val="auto"/>
              </w:rPr>
            </w:pPr>
          </w:p>
        </w:tc>
        <w:tc>
          <w:tcPr>
            <w:tcW w:w="800" w:type="dxa"/>
            <w:vAlign w:val="bottom"/>
            <w:gridSpan w:val="3"/>
          </w:tcPr>
          <w:p>
            <w:pPr>
              <w:jc w:val="right"/>
              <w:ind w:right="366"/>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264</w:t>
            </w:r>
          </w:p>
        </w:tc>
        <w:tc>
          <w:tcPr>
            <w:tcW w:w="580" w:type="dxa"/>
            <w:vAlign w:val="bottom"/>
            <w:gridSpan w:val="2"/>
          </w:tcPr>
          <w:p>
            <w:pPr>
              <w:jc w:val="right"/>
              <w:ind w:right="10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267</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291</w:t>
            </w:r>
          </w:p>
        </w:tc>
        <w:tc>
          <w:tcPr>
            <w:tcW w:w="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0"/>
                <w:szCs w:val="10"/>
                <w:color w:val="auto"/>
              </w:rPr>
            </w:pPr>
          </w:p>
        </w:tc>
        <w:tc>
          <w:tcPr>
            <w:tcW w:w="8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160" w:type="dxa"/>
            <w:vAlign w:val="bottom"/>
          </w:tcPr>
          <w:p>
            <w:pPr>
              <w:spacing w:after="0"/>
              <w:rPr>
                <w:sz w:val="10"/>
                <w:szCs w:val="10"/>
                <w:color w:val="auto"/>
              </w:rPr>
            </w:pPr>
          </w:p>
        </w:tc>
        <w:tc>
          <w:tcPr>
            <w:tcW w:w="7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0"/>
                <w:szCs w:val="10"/>
                <w:color w:val="auto"/>
              </w:rPr>
            </w:pPr>
          </w:p>
        </w:tc>
        <w:tc>
          <w:tcPr>
            <w:tcW w:w="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180" w:type="dxa"/>
            <w:vAlign w:val="bottom"/>
          </w:tcPr>
          <w:p>
            <w:pPr>
              <w:spacing w:after="0"/>
              <w:rPr>
                <w:sz w:val="10"/>
                <w:szCs w:val="10"/>
                <w:color w:val="auto"/>
              </w:rPr>
            </w:pPr>
          </w:p>
        </w:tc>
        <w:tc>
          <w:tcPr>
            <w:tcW w:w="8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5"/>
                <w:szCs w:val="15"/>
                <w:color w:val="auto"/>
              </w:rPr>
            </w:pPr>
          </w:p>
        </w:tc>
        <w:tc>
          <w:tcPr>
            <w:tcW w:w="800" w:type="dxa"/>
            <w:vAlign w:val="bottom"/>
            <w:gridSpan w:val="3"/>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2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2"/>
                <w:szCs w:val="12"/>
                <w:b w:val="1"/>
                <w:bCs w:val="1"/>
                <w:color w:val="auto"/>
              </w:rPr>
              <w:t>(6)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6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  149,385</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   75,691</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31,045</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55,077</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52,129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  884,029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636,024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52,090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1,099,749</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1,134,156</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1,223,486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1,090,899</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1,028,032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899,086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899,086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1,203,806</w:t>
            </w:r>
          </w:p>
        </w:tc>
        <w:tc>
          <w:tcPr>
            <w:tcW w:w="0" w:type="dxa"/>
            <w:vAlign w:val="bottom"/>
          </w:tcPr>
          <w:p>
            <w:pPr>
              <w:spacing w:after="0"/>
              <w:rPr>
                <w:sz w:val="1"/>
                <w:szCs w:val="1"/>
                <w:color w:val="auto"/>
              </w:rPr>
            </w:pPr>
          </w:p>
        </w:tc>
      </w:tr>
      <w:tr>
        <w:trPr>
          <w:trHeight w:val="135"/>
        </w:trPr>
        <w:tc>
          <w:tcPr>
            <w:tcW w:w="2480" w:type="dxa"/>
            <w:vAlign w:val="bottom"/>
          </w:tcPr>
          <w:p>
            <w:pPr>
              <w:ind w:left="1080"/>
              <w:spacing w:after="0" w:line="135" w:lineRule="exact"/>
              <w:rPr>
                <w:sz w:val="20"/>
                <w:szCs w:val="20"/>
                <w:color w:val="auto"/>
              </w:rPr>
            </w:pPr>
            <w:r>
              <w:rPr>
                <w:rFonts w:ascii="Times New Roman" w:cs="Times New Roman" w:eastAsia="Times New Roman" w:hAnsi="Times New Roman"/>
                <w:sz w:val="15"/>
                <w:szCs w:val="15"/>
                <w:color w:val="auto"/>
              </w:rPr>
              <w:t>(7)</w:t>
            </w:r>
          </w:p>
        </w:tc>
        <w:tc>
          <w:tcPr>
            <w:tcW w:w="460" w:type="dxa"/>
            <w:vAlign w:val="bottom"/>
          </w:tcPr>
          <w:p>
            <w:pPr>
              <w:spacing w:after="0"/>
              <w:rPr>
                <w:sz w:val="11"/>
                <w:szCs w:val="11"/>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538,795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582,789</w:t>
            </w: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605,083</w:t>
            </w: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auto"/>
              </w:rPr>
              <w:t>491,126</w:t>
            </w:r>
          </w:p>
        </w:tc>
        <w:tc>
          <w:tcPr>
            <w:tcW w:w="10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344,511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758,081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749,086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495,572</w:t>
            </w:r>
          </w:p>
        </w:tc>
        <w:tc>
          <w:tcPr>
            <w:tcW w:w="0" w:type="dxa"/>
            <w:vAlign w:val="bottom"/>
          </w:tcPr>
          <w:p>
            <w:pPr>
              <w:spacing w:after="0"/>
              <w:rPr>
                <w:sz w:val="1"/>
                <w:szCs w:val="1"/>
                <w:color w:val="auto"/>
              </w:rPr>
            </w:pPr>
          </w:p>
        </w:tc>
      </w:tr>
      <w:tr>
        <w:trPr>
          <w:trHeight w:val="81"/>
        </w:trPr>
        <w:tc>
          <w:tcPr>
            <w:tcW w:w="248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Working capital</w:t>
            </w:r>
          </w:p>
        </w:tc>
        <w:tc>
          <w:tcPr>
            <w:tcW w:w="46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940" w:type="dxa"/>
            <w:vAlign w:val="bottom"/>
            <w:gridSpan w:val="5"/>
            <w:vMerge w:val="continue"/>
          </w:tcPr>
          <w:p>
            <w:pPr>
              <w:spacing w:after="0"/>
              <w:rPr>
                <w:sz w:val="7"/>
                <w:szCs w:val="7"/>
                <w:color w:val="auto"/>
              </w:rPr>
            </w:pPr>
          </w:p>
        </w:tc>
        <w:tc>
          <w:tcPr>
            <w:tcW w:w="1060" w:type="dxa"/>
            <w:vAlign w:val="bottom"/>
            <w:gridSpan w:val="5"/>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r>
              <w:rPr>
                <w:rFonts w:ascii="Times New Roman" w:cs="Times New Roman" w:eastAsia="Times New Roman" w:hAnsi="Times New Roman"/>
                <w:sz w:val="14"/>
                <w:szCs w:val="14"/>
                <w:color w:val="auto"/>
              </w:rPr>
              <w:t>(7)</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4,331,321</w:t>
            </w:r>
          </w:p>
        </w:tc>
        <w:tc>
          <w:tcPr>
            <w:tcW w:w="10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3,238,957</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3,323,046</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3,258,354</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3,257,275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4,842,848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4,585,848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4,366,629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 net of deferred loan costs</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1,462,658</w:t>
            </w:r>
          </w:p>
        </w:tc>
        <w:tc>
          <w:tcPr>
            <w:tcW w:w="1060" w:type="dxa"/>
            <w:vAlign w:val="bottom"/>
            <w:gridSpan w:val="6"/>
          </w:tcPr>
          <w:p>
            <w:pPr>
              <w:jc w:val="right"/>
              <w:ind w:right="80"/>
              <w:spacing w:after="0"/>
              <w:rPr>
                <w:sz w:val="20"/>
                <w:szCs w:val="20"/>
                <w:color w:val="auto"/>
              </w:rPr>
            </w:pPr>
            <w:r>
              <w:rPr>
                <w:rFonts w:ascii="Times New Roman" w:cs="Times New Roman" w:eastAsia="Times New Roman" w:hAnsi="Times New Roman"/>
                <w:sz w:val="17"/>
                <w:szCs w:val="17"/>
                <w:color w:val="auto"/>
              </w:rPr>
              <w:t>1,625,060</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1,675,356</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1,681,264</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1,699,360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1,431,050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1,431,050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9"/>
              </w:rPr>
              <w:t>1,488,358</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equity</w:t>
            </w:r>
          </w:p>
        </w:tc>
        <w:tc>
          <w:tcPr>
            <w:tcW w:w="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988,219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857,039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832,687</w:t>
            </w: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756,262</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689,106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1,149,096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892,096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925,302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53rd week to 2017 net sales was $60.6 million.</w:t>
      </w:r>
    </w:p>
    <w:p>
      <w:pPr>
        <w:spacing w:after="0" w:line="27" w:lineRule="exact"/>
        <w:rPr>
          <w:rFonts w:ascii="Times New Roman" w:cs="Times New Roman" w:eastAsia="Times New Roman" w:hAnsi="Times New Roman"/>
          <w:sz w:val="18"/>
          <w:szCs w:val="18"/>
          <w:color w:val="auto"/>
        </w:rPr>
      </w:pPr>
    </w:p>
    <w:p>
      <w:pPr>
        <w:ind w:left="540" w:right="20" w:hanging="424"/>
        <w:spacing w:after="0" w:line="25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first half 2020, 2019 and 2017, we repurchased principal on our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80"/>
        <w:spacing w:after="0" w:line="257" w:lineRule="auto"/>
        <w:rPr>
          <w:sz w:val="20"/>
          <w:szCs w:val="20"/>
          <w:color w:val="auto"/>
        </w:rPr>
      </w:pPr>
      <w:r>
        <w:rPr>
          <w:rFonts w:ascii="Times New Roman" w:cs="Times New Roman" w:eastAsia="Times New Roman" w:hAnsi="Times New Roman"/>
          <w:sz w:val="18"/>
          <w:szCs w:val="18"/>
          <w:color w:val="auto"/>
        </w:rPr>
        <w:t>of $6.3 million. In 2015, we entered into the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1" w:lineRule="exact"/>
        <w:rPr>
          <w:sz w:val="20"/>
          <w:szCs w:val="20"/>
          <w:color w:val="auto"/>
        </w:rPr>
      </w:pPr>
    </w:p>
    <w:p>
      <w:pPr>
        <w:ind w:left="540" w:hanging="424"/>
        <w:spacing w:after="0" w:line="250"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income data gives effect to the anticipated conversion of New Academy Holding Company, LLC to a C corporation. We are currently treated as a flow through entity for U.S. federal income tax purposes, and thus no federal income tax expense has been recorded in our consolidated statements of income (loss). After consummation of this offering, we will become subject to U.S. federal income taxes and additional state income taxes and be taxed at the prevailing corporate rates. The pro forma tax expense assumed in the pro forma net income data is estimated to be 24.5% plus certain state taxes we currently include in income tax expense as a flow through entity. Our actual income tax rate, and our actual income tax liability, after this offering may be different from our assumed rate, and such difference may be material.</w:t>
      </w:r>
    </w:p>
    <w:p>
      <w:pPr>
        <w:spacing w:after="0" w:line="2" w:lineRule="exact"/>
        <w:rPr>
          <w:rFonts w:ascii="Times New Roman" w:cs="Times New Roman" w:eastAsia="Times New Roman" w:hAnsi="Times New Roman"/>
          <w:sz w:val="18"/>
          <w:szCs w:val="18"/>
          <w:color w:val="auto"/>
        </w:rPr>
      </w:pPr>
    </w:p>
    <w:p>
      <w:pPr>
        <w:ind w:left="540" w:right="40" w:hanging="424"/>
        <w:spacing w:after="0" w:line="251" w:lineRule="auto"/>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pro forma net income per share data for 2019 and for the twenty-six weeks ended August 1, 2020 also assumes that $137.0 million and $53.1 million, respectively, of the proceeds of the proposed offering were used to fund the one-time special distribution to our unitholders paid on August 28, 2020. The number of shares of common stock that we would have been required to issue to fund the distribution was calculated by dividing the $137.0 million and $53.1 million, respectively, (representing the amount by which the $257.0 million gross amount of the special distribution exceeds historical net income during 2019 or the previous twelve months ended August 1, 2020, as applicable) by an assumed initial public offering price of $16.00 per share, which is the midpoint of the estimated price range set forth on the cover page of this prospectus. The number of shares used for purposes of pro forma per share data represents the total number of shares that would have been outstanding for 2019 or for the twenty-six weeks ended August 1, 2020, as applicable, after giving effect to such number of shares of common stock, the proceeds of which is assumed to be used to fund the distribution, but not the other shares to be issued and sold in the offering. As such, the number of shares being added to the denominator for purposes of pro forma per share data will not exceed the total number of shares to be issued in the offering.</w:t>
      </w:r>
    </w:p>
    <w:p>
      <w:pPr>
        <w:spacing w:after="0" w:line="84"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the computation of our unaudited basic and diluted pro forma net income per share for 2019 and the twenty-six weeks ended August 1, 2020:</w:t>
      </w:r>
    </w:p>
    <w:p>
      <w:pPr>
        <w:spacing w:after="0" w:line="4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80" w:type="dxa"/>
            <w:vAlign w:val="bottom"/>
          </w:tcPr>
          <w:p>
            <w:pPr>
              <w:spacing w:after="0"/>
              <w:rPr>
                <w:sz w:val="13"/>
                <w:szCs w:val="13"/>
                <w:color w:val="auto"/>
              </w:rPr>
            </w:pPr>
          </w:p>
        </w:tc>
        <w:tc>
          <w:tcPr>
            <w:tcW w:w="22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share and per share data)</w:t>
            </w:r>
          </w:p>
        </w:tc>
        <w:tc>
          <w:tcPr>
            <w:tcW w:w="80" w:type="dxa"/>
            <w:vAlign w:val="bottom"/>
          </w:tcPr>
          <w:p>
            <w:pPr>
              <w:spacing w:after="0"/>
              <w:rPr>
                <w:sz w:val="15"/>
                <w:szCs w:val="15"/>
                <w:color w:val="auto"/>
              </w:rPr>
            </w:pPr>
          </w:p>
        </w:tc>
        <w:tc>
          <w:tcPr>
            <w:tcW w:w="290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80" w:type="dxa"/>
            <w:vAlign w:val="bottom"/>
          </w:tcPr>
          <w:p>
            <w:pPr>
              <w:spacing w:after="0"/>
              <w:rPr>
                <w:sz w:val="15"/>
                <w:szCs w:val="15"/>
                <w:color w:val="auto"/>
              </w:rPr>
            </w:pPr>
          </w:p>
        </w:tc>
        <w:tc>
          <w:tcPr>
            <w:tcW w:w="22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89,942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118,658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118,658</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after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giving effect to the Reorganization Transactions</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72,477,381</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74,796,545</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72,476,231</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74,487,477</w:t>
            </w: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to weighted average shares of common stock</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 related to the distribution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8,559,813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8,559,813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3,315,875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3,315,875</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Pro forma weighted average shares of common stock</w:t>
            </w: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9"/>
              </w:rPr>
              <w:t>81,037,194</w:t>
            </w:r>
          </w:p>
        </w:tc>
        <w:tc>
          <w:tcPr>
            <w:tcW w:w="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9"/>
              </w:rPr>
              <w:t>83,356,358</w:t>
            </w:r>
          </w:p>
        </w:tc>
        <w:tc>
          <w:tcPr>
            <w:tcW w:w="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w w:val="97"/>
              </w:rPr>
              <w:t>75,792,106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7"/>
              </w:rPr>
              <w:t>77,803,352</w:t>
            </w: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net income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6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6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balance sheet data as of August 1, 2020 gives effect to the use of $248.0 million of cash on hand to fund the special distribution and the related $257.0 million decrease to the partners’ equity.</w:t>
      </w:r>
    </w:p>
    <w:p>
      <w:pPr>
        <w:ind w:left="540" w:right="20" w:hanging="424"/>
        <w:spacing w:after="0" w:line="253"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analyzes the financial condition and results of operations of New Academy Holding Company, LLC and its subsidiaries and should be read in conjunction with our consolidated financial statements and related notes included elsewhere in this prospectus. The historical consolidated financial data of Academy Sports and Outdoors, Inc. is not discussed below, as Academy Sports and Outdoors, Inc. is a newly incorporated entity, has had no business transactions or activities to date other than in connection with its formation and this offering and had no assets or liabilities during the periods presented in this section. Prior to the consummation of this offering, New Academy Holding Company, LLC, the current holding company for the business described in this prospectus, will be contributed to Academy Sports and Outdoors, Inc., by its unitholders and become a wholly owned subsidiary of Academy Sports and Outdoors, Inc. and Academy Sports and Outdoors, Inc. will be the holding company of the business described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96"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Fiscal</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Ended</w:t>
            </w: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Weeks</w:t>
            </w:r>
          </w:p>
        </w:tc>
        <w:tc>
          <w:tcPr>
            <w:tcW w:w="0" w:type="dxa"/>
            <w:vAlign w:val="bottom"/>
          </w:tcPr>
          <w:p>
            <w:pPr>
              <w:spacing w:after="0"/>
              <w:rPr>
                <w:sz w:val="1"/>
                <w:szCs w:val="1"/>
                <w:color w:val="auto"/>
              </w:rPr>
            </w:pPr>
          </w:p>
        </w:tc>
      </w:tr>
      <w:tr>
        <w:trPr>
          <w:trHeight w:val="189"/>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5"/>
              </w:rPr>
              <w:t>Year</w:t>
            </w:r>
          </w:p>
        </w:tc>
        <w:tc>
          <w:tcPr>
            <w:tcW w:w="3620" w:type="dxa"/>
            <w:vAlign w:val="bottom"/>
            <w:gridSpan w:val="2"/>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2019</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February 1, 2020</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2018</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2, 2019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52</w:t>
            </w:r>
          </w:p>
        </w:tc>
        <w:tc>
          <w:tcPr>
            <w:tcW w:w="0" w:type="dxa"/>
            <w:vAlign w:val="bottom"/>
          </w:tcPr>
          <w:p>
            <w:pPr>
              <w:spacing w:after="0"/>
              <w:rPr>
                <w:sz w:val="1"/>
                <w:szCs w:val="1"/>
                <w:color w:val="auto"/>
              </w:rPr>
            </w:pPr>
          </w:p>
        </w:tc>
      </w:tr>
      <w:tr>
        <w:trPr>
          <w:trHeight w:val="236"/>
        </w:trPr>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2017</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February 3, 2018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53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Any reference in this discussion and analysis to the “first half 2020” or similar reference refers to the twenty-six week period ended August 1, 2020, any reference to “first half 2019” or similar reference refers to the twenty-six week period ended August 3, 2019, and any reference to “first quarter 2020” or similar reference refers to the thirteen week period ended May 2, 2020, and any reference to “first quarter 2019” or similar reference refers to the thirteen week period ended May 4,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of August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Trends and Other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Overall Economic Trends</w:t>
      </w:r>
      <w:r>
        <w:rPr>
          <w:rFonts w:ascii="Times New Roman" w:cs="Times New Roman" w:eastAsia="Times New Roman" w:hAnsi="Times New Roman"/>
          <w:sz w:val="18"/>
          <w:szCs w:val="18"/>
          <w:color w:val="auto"/>
        </w:rPr>
        <w:t>. All of our sales are generated within the United States, making our results of operations highly dependent on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Consumer Preferences and Demands. </w:t>
      </w:r>
      <w:r>
        <w:rPr>
          <w:rFonts w:ascii="Times New Roman" w:cs="Times New Roman" w:eastAsia="Times New Roman" w:hAnsi="Times New Roman"/>
          <w:sz w:val="18"/>
          <w:szCs w:val="18"/>
          <w:color w:val="auto"/>
        </w:rPr>
        <w:t>The level of success we achieve is dependent on, among other factors, how accurately and timely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8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Strategic Inventory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must maintain sufficient inventory levels of merchandise that our customers desire to successfully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A shortage of popular merchandise could reduce our net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Much of our margin expansion from 2017 through 2019 can be attributed to our improvements in inventory management. We have deployed several new tools over recent years to improve inventory handling and vendor management, including third party programs to analyze our inventory stock and execute a disciplined markdown strategy throughout the year at every location. This implementation has allowed us to improve our inventory management in stores, increasing our average inventory turns from 2.68x in 2017 to 2.84x in 2019 and 3.36x for the twelve months ended August 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first half 2020, we experienced significant inventory reductions from high sell-through during the period. We expect to use cash to replenish such inventory throughout the rest of the current fiscal year, which we expect will impact our net cash provided by operating activities for the second half 2020.</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Value Strategy</w:t>
      </w:r>
      <w:r>
        <w:rPr>
          <w:rFonts w:ascii="Times New Roman" w:cs="Times New Roman" w:eastAsia="Times New Roman" w:hAnsi="Times New Roman"/>
          <w:sz w:val="18"/>
          <w:szCs w:val="18"/>
          <w:color w:val="auto"/>
        </w:rPr>
        <w:t>. We offer a broad assortment of products at competitive prices that offer extraordinary value. Our in-store experience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BOPIS. </w:t>
      </w:r>
      <w:r>
        <w:rPr>
          <w:rFonts w:ascii="Times New Roman" w:cs="Times New Roman" w:eastAsia="Times New Roman" w:hAnsi="Times New Roman"/>
          <w:sz w:val="18"/>
          <w:szCs w:val="18"/>
          <w:color w:val="auto"/>
        </w:rPr>
        <w:t>We expect that the expansion and enhancement of our omnichannel capabilities will be a key driver of growth in our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gross margin. We continue to invest in initiatives that will increase traffic to our e-commerce website, which reached over 217 million visits in 2019, and drive increased online sales conversion. Our improved website also supports our stores with digital marketing and our BOPIS program. Since we launched our BOPIS program in 2019, we have seen significant penetration in e-commerce that generates high average order value and incremental in-store purchases. In 2019 and the twenty-six weeks ended August 1, 2020, BOPIS accounted for 24% and 50%, respectively, of our e-commerce sales and 1% and 5.4%, respectively, of total net sales for such periods. Our website also has allowed us to reach customers outside of our current store footprint and is also introducing new customers to the Academy brand, with approximately 25% of our first half 2020 e-commerce sales coming from new households.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first half 2020. It is, however, difficult to ascertain with precision what portion of our increased e-commerce sales during the first half 2020 is attributable to the COVID-19 pandemic as compared to such recent enhancements. Since 2011, we have made a $225 million investment in our omnichannel and information technology capabilities. We expect that expanding and enhancing these capabilities, including BOPIS, will continue to require significant investments by us.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Competition</w:t>
      </w:r>
      <w:r>
        <w:rPr>
          <w:rFonts w:ascii="Times New Roman" w:cs="Times New Roman" w:eastAsia="Times New Roman" w:hAnsi="Times New Roman"/>
          <w:sz w:val="18"/>
          <w:szCs w:val="18"/>
          <w:color w:val="auto"/>
        </w:rPr>
        <w:t>. The U.S. sporting goods and outdoor recreation retail industries are highly competitive and fragmented. We compete with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Sourcing and Supply Chain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to be successful, our suppliers must provide us with quality products in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We depend on approximately 1,300 suppliers to supply us in a timely and efficient manner with the merchandise we purchase for resale.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New Store Openings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expect that new stores will be a key driver of growth in our net sales and gross margin in the future. Our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have significant whitespace in both our core markets and green field markets. We believe our real estate strategy has positioned us well for further expansion. However, our planned store expansion will place increased demands on our operational, managerial, administrative and other resources. New stores in new markets, where we are less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79"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Interim Results and Seasonality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business is subject to seasonal fluctuations. A significant portion of our net sales and profits is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53rd Week</w:t>
      </w:r>
      <w:r>
        <w:rPr>
          <w:rFonts w:ascii="Times New Roman" w:cs="Times New Roman" w:eastAsia="Times New Roman" w:hAnsi="Times New Roman"/>
          <w:sz w:val="18"/>
          <w:szCs w:val="18"/>
          <w:color w:val="auto"/>
        </w:rPr>
        <w:t>. We operate on the retail industry’s 4-5-4 calendar. The 4-5-4 calendar is a guide for retailers that ensures sales comparability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outbreak of COVID-19, which has been declared a global pandemic by the World Health Organization, has affected our business, as well as our customers, team members and suppliers, and resulted in federal, state and local governmental authority safety recommendations and requirements aimed at mitigating the spread of the virus, such as stay-at-home orders, prohibitions of large group gatherings, travel restrictions and closures of certain businesses.</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and have worked with our business partners to modify vendor and landlord payments and terms. Our temporary furlough period ended by June 8, 2020 for all of our store, distribution center and corporate team members, and on June 25, 2020, we completed repaying the $500 million draw on the ABL Facility. All three of our distribution centers remained open during the thirteen weeks ended May 2, 2020 and as of May 2, 2020, 257 of our 259 stores were fully operational.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5"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impact of the pandemic and actions taken in response to it had varying effects on our results of operations and our business was extremely unpredictable during the thirteen weeks ended May 2, 2020. However, as an essential retailer, we have been able to serve our customers as their needs evolved during the pandemic. In early March 2020, we saw the acceleration of sales in specific categories, such as outdoor cooking,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we experienced decreased sales of certain of our offerings, primarily for apparel and footwear, and have had to cancel certain of our purchase orders for these products.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have also seen a significant increase in customers purchasing our products through omnichannel platforms, specifically as customers increasingly take advantage of our curbside pickup service, which we launched during the thirteen weeks ended May 2, 2020.</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actions by government authorities to contain the outbreak or treat its impact, and changes in consumer behavior resulting from the outbreak and such government actions. See “Risk Factors—Risks Related to Our Business—The impact of COVID-19 may adversely affect our business and financial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Comparable Sales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after thirteen full fiscal months, as well as for all e-commerce sales.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Various factors affect comparable sales and adjusted comparable sales, including consumer preferences, buying trends and overall economic trends; our ability to identify and respond effectively to customer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9"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Adjusted EBITDA, Adjusted Net Income (Loss), Pro Forma Adjusted Net Income (Loss) and Adjusted Free Cash Flow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 See “—Non-GAAP Measures” below.</w:t>
      </w:r>
    </w:p>
    <w:p>
      <w:pPr>
        <w:spacing w:after="0" w:line="17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E-commerce Penetration. </w:t>
      </w:r>
      <w:r>
        <w:rPr>
          <w:rFonts w:ascii="Times New Roman" w:cs="Times New Roman" w:eastAsia="Times New Roman" w:hAnsi="Times New Roman"/>
          <w:sz w:val="18"/>
          <w:szCs w:val="18"/>
          <w:color w:val="auto"/>
        </w:rPr>
        <w:t>E-commerce penetration is defined as total e-commerce merchandise sales (which includes BOPIS) divided by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merchandise sales.</w:t>
      </w:r>
    </w:p>
    <w:p>
      <w:pPr>
        <w:spacing w:after="0" w:line="15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key financial and operating metrics (with nearest GAAP measures where applicable) for the periods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8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$ 120,043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21,442</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58,501</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$157,656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322,814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300,259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315,420</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282,902</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156,837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101,469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72,078</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179,106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Adjusted Net Income</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75,927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41,338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53,732</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134,844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263,669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198,481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83,355</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773,621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$ 196,886</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99,454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(32,546)</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7"/>
              </w:rPr>
              <w:t>$759,771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E-commerce penetration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profitability is primarily influenced by fluctuations in net sales, gross margin and our ability to leverage selling, general and administrative expenses.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72"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17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Selling, General and Administrative Expenses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Selling, general and administrative, or SG&amp;A, expenses include store and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this offering, we expect to incur approximately $15.0 million of stock compensation expense associated with the vesting of certain of the outstanding restricted stock units as a result of the liquidity condition being achieved due to this offering. We expect that our SG&amp;A expenses will increase in future periods due to our continuing growth and in part to additional legal, accounting, insurance and other expenses we expect to incur as a result of being a public company.</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Income Tax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Academy Holding Company, LLC is currently treated as a flow through entity for U.S. federal income tax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thus no federal income tax expense has been recorded in our consolidated statements of income. Our tax rate is almost entirely the result of state income taxes. After consummation of this offering, Academy Sports and Outdoors, Inc. will become subject to U.S. federal income taxes and we will be taxed at the prevailing corporate tax rates. We will be treated as a U.S. corporation for U.S. federal, state, and local income tax purposes after this offering and accordingly, a provision for income taxes will be recorded for the anticipated tax consequences of our reported results of operations for federal, state and local income taxes.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1, 2020 Compared to Twenty-Six Weeks Ended August 3, 2019</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2,742,721</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2,314,202</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428,519</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1,948,275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1,616,002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69.8 %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332,273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698,200</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614,172</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84,028</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113,782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48,088</w:t>
            </w:r>
          </w:p>
        </w:tc>
        <w:tc>
          <w:tcPr>
            <w:tcW w:w="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52,586</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(7,831)</w:t>
            </w:r>
          </w:p>
        </w:tc>
        <w:tc>
          <w:tcPr>
            <w:tcW w:w="9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(42,265)</w:t>
            </w:r>
          </w:p>
        </w:tc>
        <w:tc>
          <w:tcPr>
            <w:tcW w:w="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34,434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(1,454)</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75,161</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111.8 %</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73,753</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83,903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148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259</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Closed</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Relocated stores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14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increased $428.5 million, or 18.5%, for the first half 2020 compared to the first half 2019 as a result of additional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by new locations, as well as increased comparable sales of 15.9%. As of the end of first half 2020, we operated a net five additional stores as compared to the end of first half 2019 and we had a full benefit of three stores opened during the prior year-to-date. Collectively, these five additional stores accounted for a net $53.2 million increase in net sales for the first half 2020.</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15.9% increase in comparable sales resulted from a 47.3% increase in the outdoors merchandise division and a 22.6% increase in the sports and recreation merchandise divisions, partially offset by declines of 6.5% and 3.3% in the footwear and apparel divisions, respectively. The effects of the COVID-19 pandemic during this period have caused significant increases in popularity of isolated recreation, outdoor and leisure activities that we believe have driven the increases in our outdoors and sports and recreation merchandise divisions. Likewise, we believe that the decreases in our apparel and footwear merchandise divisions were predominately driven by a temporary but significant shift in customer behavior at the substantial beginning of the COVID-19 pandemic, which saw customers focus on purchasing primarily isolated recreation, outdoor and leisure activity products in addition to “essential items.” The outdoors division increase was driven primarily by strong sales in firearms, ammunition and fishing products. The sports and recreation division sales increased as a result of various products such as fitness equipment and accessories, bikes, patio and watersports, barbecues and grills, trampolines, outdoor games and play sets. These increases were partially offset by declining sales in the team sports category. The footwear division sales decreased due to declines in the team sports category and the work, casual and youth category. The apparel division decreased as a result of declines in the outdoor and seasonal apparel and licensed apparel products, partially offset by increases in the athletic apparel products. We believe that the substantial increase in e-commerce sales described below and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19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E-commerce net sales increased $220.6 million, or 283.5%, for the first half 2020 compared to the first half 2019 and represented 10.9% of merchandise sales for the first half 2020 compared to 3.4% in the first half 2019. This increase was driven by a change in consumer shopping preferences and sales restrictions resulting from the COVID-19 pandemic. Additionally, enhancements to our website and omnichannel capabilities, such as the introduction of BOPIS at the end of the second quarter 2019 and rapid development of curbside fulfillment to further support BOPIS in the first half 2020, have positioned us well to benefit from such changing consumer preferences and contributed to the increase in e-commerce sales.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$96.2 million, or 13.8%, to $794.4 million for the first half 2020 from $698.2 million for the first 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As a percentage of net sales, gross margin decreased 1.2% from 30.2% for the first half 2019 to 29.0% in the first half 2020. The decrease of 120 basis points in gross margin is primarily attributable to:</w:t>
      </w:r>
    </w:p>
    <w:p>
      <w:pPr>
        <w:spacing w:after="0" w:line="80"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basis points of unfavorability related to import freight as a result of increased duties on products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basis points of unfavorability as a result of decreased vendor allowances including new store allowances;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increased inventory shrinkage;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basis points of unfavorability in merchandise margins from higher first half 2020 sales of lower margin goods.</w:t>
      </w:r>
    </w:p>
    <w:p>
      <w:pPr>
        <w:spacing w:after="0" w:line="221"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$17.5 million, or 2.9%, to $596.6 million in the first half 2020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$614.2 million in the first half 2019. As a percentage of net sales, SG&amp;A expenses were down 4.7% to 21.8% in the first half 2020 compared to 26.5% in the first half 2019. The decrease of 470 basis points in SG&amp;A is primarily attributable to:</w:t>
      </w:r>
    </w:p>
    <w:p>
      <w:pPr>
        <w:spacing w:after="0" w:line="80" w:lineRule="exact"/>
        <w:rPr>
          <w:sz w:val="20"/>
          <w:szCs w:val="20"/>
          <w:color w:val="auto"/>
        </w:rPr>
      </w:pPr>
    </w:p>
    <w:p>
      <w:pPr>
        <w:ind w:left="1080" w:right="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basis point decrease in employee costs as a result of leverage and a reduction of costs that are primarily wage related from temporary salary cuts, reduction of hours and furloughs and permanent headcount reductions, partially offset by increased incentive compensation during the first half 2020;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basis point decrease in advertising due to leverage and reduced marketing and promotional activities;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declines as a result of leveraging SG&amp;A costs on increased sales.</w:t>
      </w:r>
    </w:p>
    <w:p>
      <w:pPr>
        <w:spacing w:after="0" w:line="22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w:t>
      </w:r>
      <w:r>
        <w:rPr>
          <w:rFonts w:ascii="Times New Roman" w:cs="Times New Roman" w:eastAsia="Times New Roman" w:hAnsi="Times New Roman"/>
          <w:sz w:val="17"/>
          <w:szCs w:val="17"/>
          <w:color w:val="auto"/>
        </w:rPr>
        <w:t>Interest expense decreased $4.5 million, or 8.6%, in the first half 2020 when compared to the first half 2019, primarily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53"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early retirement of debt, net. </w:t>
      </w:r>
      <w:r>
        <w:rPr>
          <w:rFonts w:ascii="Times New Roman" w:cs="Times New Roman" w:eastAsia="Times New Roman" w:hAnsi="Times New Roman"/>
          <w:sz w:val="18"/>
          <w:szCs w:val="18"/>
          <w:color w:val="auto"/>
        </w:rPr>
        <w:t>Gain on early retirement of debt, net decreased $34.4 million, or 81.5%, to $7.8 million from $42.3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first half 2019. During the first half 2020, we repurchased $23.9 million in principal on the 2015 Term Loan Facility, which was trading at a discount, in open market transactions for $16.0 million and recognized a net gain of $7.8 million. During the first half 2019, we repurchased $147.7 million in principal on the 2015 Term Loan Facility, which was trading at a discount, in open market transactions for $104.6 million and recognized a net gain of $42.3 million.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55" w:right="5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(52 weeks) Compared to 2018 (52 weeks)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gridSpan w:val="4"/>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4,829,897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4,783,893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$ 46,004</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3,398,743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3,415,941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(17,198)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1,431,154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1,367,952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1,251,733</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1,239,002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128,950</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101,307</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(42,265)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23,393</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120,043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$ 98,601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Borders>
              <w:top w:val="single" w:sz="8" w:color="auto"/>
            </w:tcBorders>
            <w:gridSpan w:val="6"/>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9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increased $46.0 million, or 1.0%, in 2019 over the prior year. The 1.0% increase was driven primarily by additional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comparable sales increase of 4.7% in apparel and 1.0% in footwear. The apparel merchandise division increased 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72"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2019 increased $63.2 million, or 4.6%, when compared to 2018.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29.6% in 2019 compared to 28.6% in 2018, an increase of 100 basis points. This increase is primarily due to:</w:t>
      </w:r>
    </w:p>
    <w:p>
      <w:pPr>
        <w:spacing w:after="0" w:line="64"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basis points of favorability on merchandise margins from favorability in inventory valuation adjustments relative to the prior year;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increased $12.7 million, or 1.0%, to $1,251.7 million in 2019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$1,239.0 million in 2018. As a percentage of net sales, SG&amp;A remained flat at 25.9% in 2019 compared to 2018. The notable changes within SG&amp;A were as follows:</w:t>
      </w:r>
    </w:p>
    <w:p>
      <w:pPr>
        <w:spacing w:after="0" w:line="80" w:lineRule="exact"/>
        <w:rPr>
          <w:sz w:val="20"/>
          <w:szCs w:val="20"/>
          <w:color w:val="auto"/>
        </w:rPr>
      </w:pPr>
    </w:p>
    <w:p>
      <w:pPr>
        <w:ind w:left="1080" w:right="2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expense decreased $7.3 million, or 6.8%, to $101.3 million in 2019 from $108.7 million in 2018, resulting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lower outstanding balance on our Term Loan Facility due to the principal repurchases of $147.7 million during 2019.</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(52 weeks) Compared to 2017 (53 weeks)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Period</w:t>
            </w:r>
          </w:p>
        </w:tc>
        <w:tc>
          <w:tcPr>
            <w:tcW w:w="1160" w:type="dxa"/>
            <w:vAlign w:val="bottom"/>
          </w:tcPr>
          <w:p>
            <w:pPr>
              <w:spacing w:after="0"/>
              <w:rPr>
                <w:sz w:val="13"/>
                <w:szCs w:val="13"/>
                <w:color w:val="auto"/>
              </w:rPr>
            </w:pPr>
          </w:p>
        </w:tc>
        <w:tc>
          <w:tcPr>
            <w:tcW w:w="2080" w:type="dxa"/>
            <w:vAlign w:val="bottom"/>
            <w:gridSpan w:val="2"/>
            <w:vMerge w:val="restart"/>
          </w:tcPr>
          <w:p>
            <w:pPr>
              <w:jc w:val="center"/>
              <w:ind w:right="980"/>
              <w:spacing w:after="0"/>
              <w:rPr>
                <w:sz w:val="20"/>
                <w:szCs w:val="20"/>
                <w:color w:val="auto"/>
              </w:rPr>
            </w:pPr>
            <w:r>
              <w:rPr>
                <w:rFonts w:ascii="Times New Roman" w:cs="Times New Roman" w:eastAsia="Times New Roman" w:hAnsi="Times New Roman"/>
                <w:sz w:val="14"/>
                <w:szCs w:val="14"/>
                <w:color w:val="auto"/>
                <w:w w:val="98"/>
              </w:rPr>
              <w:t>Basis</w:t>
            </w:r>
          </w:p>
        </w:tc>
        <w:tc>
          <w:tcPr>
            <w:tcW w:w="30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color w:val="auto"/>
              </w:rPr>
              <w:t>Current Year</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color w:val="auto"/>
              </w:rPr>
              <w:t>Prior Year Comparable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Comparable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306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Comparable Period</w:t>
            </w:r>
          </w:p>
        </w:tc>
        <w:tc>
          <w:tcPr>
            <w:tcW w:w="3040" w:type="dxa"/>
            <w:vAlign w:val="bottom"/>
            <w:gridSpan w:val="2"/>
          </w:tcPr>
          <w:p>
            <w:pPr>
              <w:jc w:val="center"/>
              <w:ind w:right="980"/>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185"/>
        </w:trPr>
        <w:tc>
          <w:tcPr>
            <w:tcW w:w="7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2018</w:t>
            </w:r>
          </w:p>
        </w:tc>
        <w:tc>
          <w:tcPr>
            <w:tcW w:w="1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Comparable</w:t>
            </w:r>
          </w:p>
        </w:tc>
        <w:tc>
          <w:tcPr>
            <w:tcW w:w="98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rPr>
              <w:t>Fifty-two weeks ended</w:t>
            </w:r>
          </w:p>
        </w:tc>
        <w:tc>
          <w:tcPr>
            <w:tcW w:w="9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rPr>
              <w:t>February 2, 2019</w:t>
            </w:r>
          </w:p>
        </w:tc>
        <w:tc>
          <w:tcPr>
            <w:tcW w:w="304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color w:val="auto"/>
                <w:w w:val="98"/>
              </w:rPr>
              <w:t>February 3, 2018</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198"/>
        </w:trPr>
        <w:tc>
          <w:tcPr>
            <w:tcW w:w="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2017</w:t>
            </w:r>
          </w:p>
        </w:tc>
        <w:tc>
          <w:tcPr>
            <w:tcW w:w="1160" w:type="dxa"/>
            <w:vAlign w:val="bottom"/>
          </w:tcPr>
          <w:p>
            <w:pPr>
              <w:spacing w:after="0"/>
              <w:rPr>
                <w:sz w:val="17"/>
                <w:szCs w:val="17"/>
                <w:color w:val="auto"/>
              </w:rPr>
            </w:pPr>
          </w:p>
        </w:tc>
        <w:tc>
          <w:tcPr>
            <w:tcW w:w="2080" w:type="dxa"/>
            <w:vAlign w:val="bottom"/>
            <w:gridSpan w:val="2"/>
          </w:tcPr>
          <w:p>
            <w:pPr>
              <w:jc w:val="center"/>
              <w:ind w:right="1000"/>
              <w:spacing w:after="0" w:line="198" w:lineRule="exact"/>
              <w:rPr>
                <w:sz w:val="20"/>
                <w:szCs w:val="20"/>
                <w:color w:val="auto"/>
              </w:rPr>
            </w:pPr>
            <w:r>
              <w:rPr>
                <w:rFonts w:ascii="Times New Roman" w:cs="Times New Roman" w:eastAsia="Times New Roman" w:hAnsi="Times New Roman"/>
                <w:sz w:val="18"/>
                <w:szCs w:val="18"/>
                <w:color w:val="auto"/>
                <w:w w:val="99"/>
              </w:rPr>
              <w:t>Comparable</w:t>
            </w:r>
          </w:p>
        </w:tc>
        <w:tc>
          <w:tcPr>
            <w:tcW w:w="306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w w:val="99"/>
              </w:rPr>
              <w:t>Fifty-two weeks ended</w:t>
            </w:r>
          </w:p>
        </w:tc>
        <w:tc>
          <w:tcPr>
            <w:tcW w:w="3040" w:type="dxa"/>
            <w:vAlign w:val="bottom"/>
            <w:gridSpan w:val="2"/>
          </w:tcPr>
          <w:p>
            <w:pPr>
              <w:jc w:val="center"/>
              <w:ind w:right="980"/>
              <w:spacing w:after="0" w:line="198" w:lineRule="exact"/>
              <w:rPr>
                <w:sz w:val="20"/>
                <w:szCs w:val="20"/>
                <w:color w:val="auto"/>
              </w:rPr>
            </w:pPr>
            <w:r>
              <w:rPr>
                <w:rFonts w:ascii="Times New Roman" w:cs="Times New Roman" w:eastAsia="Times New Roman" w:hAnsi="Times New Roman"/>
                <w:sz w:val="18"/>
                <w:szCs w:val="18"/>
                <w:color w:val="auto"/>
              </w:rPr>
              <w:t>Fifty-two weeks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8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sales</w:t>
            </w:r>
          </w:p>
        </w:tc>
        <w:tc>
          <w:tcPr>
            <w:tcW w:w="30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January 27, 2018</w:t>
            </w:r>
          </w:p>
        </w:tc>
        <w:tc>
          <w:tcPr>
            <w:tcW w:w="304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8"/>
              </w:rPr>
              <w:t>January 28, 2017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consolidated statements of income for the periods indicated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4,783,893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4,835,582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$(51,689)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3,436,618</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1,398,964</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1,241,643</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157,321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108,652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104,857</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61,282</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2,781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58,501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(37,059)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Percentages in table may not sum properly due to rounding.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NM - Not meaningful</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4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80" w:type="dxa"/>
            <w:vAlign w:val="bottom"/>
            <w:tcBorders>
              <w:top w:val="single" w:sz="8" w:color="auto"/>
            </w:tcBorders>
            <w:gridSpan w:val="6"/>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stores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Q1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Q2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Q3 new stores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new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4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Relocated stores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47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Renovated stores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decreased $51.7 million, or 1.1%, in 2018 over the prior year. The 1.1% decrease was driven primarily by a decline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disclosure has been updated to reflect the new merchandise division category and product reclassification completed in 2019. See “Business.”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decline in the sports and recreation merchandise division in 2018 was caused by declines in both the team sports/fitness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72"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Gross Margin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for 2018 decreased $31.0 million, or 2.2%, when compared to 2017. Our gross margin, as a percentage of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28.6% in 2018 compared to 28.9% in 2017, a decrease of 30 basis points. This decrease is primarily due to:</w:t>
      </w:r>
    </w:p>
    <w:p>
      <w:pPr>
        <w:spacing w:after="0" w:line="64" w:lineRule="exact"/>
        <w:rPr>
          <w:sz w:val="20"/>
          <w:szCs w:val="20"/>
          <w:color w:val="auto"/>
        </w:rPr>
      </w:pPr>
    </w:p>
    <w:p>
      <w:pPr>
        <w:ind w:left="1080" w:right="2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basis points of unfavorability on freight due to increased domestic and international freight pricing and duties;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basis points of unfavorability on merchandise margins due to increased clearance and promotional activities, coupled with the growth of e-commerce sales;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basis points of favorability due to decreased inventory shrinkage.</w:t>
      </w:r>
    </w:p>
    <w:p>
      <w:pPr>
        <w:spacing w:after="0" w:line="221" w:lineRule="exact"/>
        <w:rPr>
          <w:sz w:val="20"/>
          <w:szCs w:val="20"/>
          <w:color w:val="auto"/>
        </w:rPr>
      </w:pPr>
    </w:p>
    <w:p>
      <w:pPr>
        <w:ind w:left="120"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SG&amp;A expenses decreased $2.6 million, or 0.2%, to $1,239.0 million in 2018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$1,241.6 million in 2017. As a percentage of net sales, SG&amp;A was 25.9% in 2018 compared to 25.7% in 2017. SG&amp;A as a percentage of net sales increased 20 basis points primarily driven by:</w:t>
      </w:r>
    </w:p>
    <w:p>
      <w:pPr>
        <w:spacing w:after="0" w:line="80" w:lineRule="exact"/>
        <w:rPr>
          <w:sz w:val="20"/>
          <w:szCs w:val="20"/>
          <w:color w:val="auto"/>
        </w:rPr>
      </w:pPr>
    </w:p>
    <w:p>
      <w:pPr>
        <w:ind w:left="1080" w:right="1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basis point decrease in professional fees related to our 2017 profitability and growth initiatives.</w:t>
      </w:r>
    </w:p>
    <w:p>
      <w:pPr>
        <w:spacing w:after="0" w:line="221"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Interest expense increased $3.8 million, or 3.6%, to $108.7 million in 2018 from $104.9 million in 2017, resulting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rising interest rates on our Term Loan Facility, which was partially offset by more favorable positions on our interest rate swaps relative to 2017.</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comparable sales</w:t>
      </w:r>
    </w:p>
    <w:p>
      <w:pPr>
        <w:spacing w:after="0" w:line="11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76"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our comparable sales to our adjusted comparable sales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Twenty-Six</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Weeks Ended</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3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7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7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sales associated with Houston Astros</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Series appearances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sales of a product driven by free shipping</w:t>
            </w: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promotion</w:t>
            </w: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Sales from the exited product categories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comparable sales</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 Adjusted Net Income (Loss), Pro Forma Adjusted Net Income (Loss) and Adjusted Free Cash Flow</w:t>
      </w:r>
    </w:p>
    <w:p>
      <w:pPr>
        <w:spacing w:after="0" w:line="11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plus the estimated federal tax liability based on our proposed C-Corporation structure after this offering. We describe these adjustments reconciling net income (loss) to Adjusted Net Income (Loss) and Pro Forma Adjusted Net Income (Loss)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8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Adjusted EBITDA, Adjusted Net Income (Loss), Pro Forma Adjusted Net Income (Loss) and Adjusted Free Cash Flow have been presented in this prospectus as supplemental measures of financial performance that are not required by, or presented in accordance with, GAAP. We believe Adjusted EBITDA, Adjusted Net Income (Loss) and Pro Forma Adjusted Net Income (Loss) assist investors and analysts in comparing our operating performance across reporting periods on a consistent basis by excluding items that we do not believe are indicative of our core operating performance. Management believes Adjusted EBITDA, Adjusted Net Income (Loss) and Pro Forma Adjusted Net Income (Loss)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and Adjusted Free Cash Flow to supplement GAAP measures of performance in the evaluation of the effectiveness of our business strategies, to make budgeting decisions, to establish and award discretionary annual incentive compensation, to report our compliance with certain covenants in our debt agreements, and to compare our performance against that of other peer companies using similar measures.</w:t>
      </w:r>
    </w:p>
    <w:p>
      <w:pPr>
        <w:spacing w:after="0" w:line="18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Adjusted Net Income (Loss), Pro Forma Adjusted Net Income (Loss)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and Pro Forma Adjusted Net Income (Loss) should not be construed to imply that our future results will be unaffected by unusual or non-recurring items. In evaluating Adjusted EBITDA, Adjusted Net Income (Loss), Pro Forma Adjusted Net Income (Loss) and Adjusted Free Cash Flow, you should be aware that in the future we may incur expenses that are the same as or similar to some of the adjustments in this presentation. Our presentation of Adjusted EBITDA, Adjusted Net Income (Loss), Pro Forma Adjusted Net Income (Loss)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and Adjusted Free Cash Flow supplementally.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Adjusted EBITDA, Adjusted Net Income (Loss), Pro Forma Adjusted Net Income (Loss) and Adjusted Free Cash Flow measures have limitations as analytical tools, and you should not consider them in isolation, or as a substitute for analysis of our results as reported under GAAP. Some of these limitations are:</w:t>
      </w:r>
    </w:p>
    <w:p>
      <w:pPr>
        <w:spacing w:after="0" w:line="81" w:lineRule="exact"/>
        <w:rPr>
          <w:sz w:val="20"/>
          <w:szCs w:val="20"/>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costs or cash outlays for capital expenditures or contractual commitments;</w:t>
      </w:r>
    </w:p>
    <w:p>
      <w:pPr>
        <w:spacing w:after="0" w:line="67" w:lineRule="exact"/>
        <w:rPr>
          <w:rFonts w:ascii="Times New Roman" w:cs="Times New Roman" w:eastAsia="Times New Roman" w:hAnsi="Times New Roman"/>
          <w:sz w:val="18"/>
          <w:szCs w:val="18"/>
          <w:color w:val="auto"/>
        </w:rPr>
      </w:pPr>
    </w:p>
    <w:p>
      <w:pPr>
        <w:ind w:left="1080" w:right="90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changes in, or cash requirements for, our working capital needs;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period to period changes in taxes, income tax expense or the cash necessary to pay income taxes;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Net Income (Loss) and Pro Forma Adjusted Net Income (Loss) do not reflect the impact of earnings or charges resulting from matters we consider not to be indicative of our ongoing operations;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Net Income (Loss), Pro Forma Adjusted Net Income (Loss) and Adjusted Free Cash Flow should not be considered as measures of discretionary cash available to invest in business growth or to reduce indebtedness.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gridSpan w:val="4"/>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11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auto"/>
            </w:tcBorders>
            <w:gridSpan w:val="3"/>
          </w:tcPr>
          <w:p>
            <w:pPr>
              <w:jc w:val="right"/>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0"/>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gridSpan w:val="2"/>
          </w:tcPr>
          <w:p>
            <w:pPr>
              <w:ind w:left="60"/>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$ 120,043</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58,501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$157,656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101,307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104,857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48,088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2,817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2,781</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240" w:type="dxa"/>
            <w:vAlign w:val="bottom"/>
            <w:gridSpan w:val="5"/>
          </w:tcPr>
          <w:p>
            <w:pPr>
              <w:jc w:val="right"/>
              <w:ind w:right="13"/>
              <w:spacing w:after="0"/>
              <w:rPr>
                <w:sz w:val="20"/>
                <w:szCs w:val="20"/>
                <w:color w:val="auto"/>
              </w:rPr>
            </w:pPr>
            <w:r>
              <w:rPr>
                <w:rFonts w:ascii="Times New Roman" w:cs="Times New Roman" w:eastAsia="Times New Roman" w:hAnsi="Times New Roman"/>
                <w:sz w:val="18"/>
                <w:szCs w:val="18"/>
                <w:color w:val="auto"/>
              </w:rPr>
              <w:t>117,254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134,190</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135,680</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54,151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3,601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10,263</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3,636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3,387</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7,881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c>
          <w:tcPr>
            <w:tcW w:w="10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8"/>
              </w:rPr>
              <w:t>1,429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7,409</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17,632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 merchandising</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initiative (f)</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98"/>
              </w:rPr>
              <w:t>7,111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(10,144)</w:t>
            </w:r>
          </w:p>
        </w:tc>
        <w:tc>
          <w:tcPr>
            <w:tcW w:w="10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gridSpan w:val="5"/>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$ 322,814</w:t>
            </w:r>
          </w:p>
        </w:tc>
        <w:tc>
          <w:tcPr>
            <w:tcW w:w="34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300,259</w:t>
            </w: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$ 315,420</w:t>
            </w:r>
          </w:p>
        </w:tc>
        <w:tc>
          <w:tcPr>
            <w:tcW w:w="106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282,902</w:t>
            </w:r>
          </w:p>
        </w:tc>
        <w:tc>
          <w:tcPr>
            <w:tcW w:w="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$ 156,837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740" w:type="dxa"/>
            <w:vAlign w:val="bottom"/>
            <w:tcBorders>
              <w:top w:val="single" w:sz="8" w:color="auto"/>
            </w:tcBorders>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7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640" w:type="dxa"/>
            <w:vAlign w:val="bottom"/>
            <w:gridSpan w:val="2"/>
            <w:vMerge w:val="continue"/>
          </w:tcPr>
          <w:p>
            <w:pPr>
              <w:spacing w:after="0"/>
              <w:rPr>
                <w:sz w:val="10"/>
                <w:szCs w:val="10"/>
                <w:color w:val="auto"/>
              </w:rPr>
            </w:pPr>
          </w:p>
        </w:tc>
        <w:tc>
          <w:tcPr>
            <w:tcW w:w="720" w:type="dxa"/>
            <w:vAlign w:val="bottom"/>
            <w:tcBorders>
              <w:top w:val="single" w:sz="8" w:color="auto"/>
            </w:tcBorders>
            <w:gridSpan w:val="2"/>
          </w:tcPr>
          <w:p>
            <w:pPr>
              <w:jc w:val="right"/>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12"/>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420" w:type="dxa"/>
            <w:vAlign w:val="bottom"/>
            <w:gridSpan w:val="2"/>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2"/>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2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26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$ 120,043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21,442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58,501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$ 157,656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(a)</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10,263</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Adviser monitoring fee (b)</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3,636</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3,387</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1,840</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 (c)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extinguishment of debt, net</w:t>
            </w:r>
          </w:p>
        </w:tc>
        <w:tc>
          <w:tcPr>
            <w:tcW w:w="1160" w:type="dxa"/>
            <w:vAlign w:val="bottom"/>
            <w:tcBorders>
              <w:right w:val="single" w:sz="8" w:color="CCEEFF"/>
            </w:tcBorders>
            <w:gridSpan w:val="4"/>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(42,265)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(7,831)</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executive transition costs (d)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7,409</w:t>
            </w: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COVID-19 pandemic (e)</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Inventory write-down adjustments associated with strategic</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merchandising initiative (f)</w:t>
            </w:r>
          </w:p>
        </w:tc>
        <w:tc>
          <w:tcPr>
            <w:tcW w:w="4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18,225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these adjustments (h)</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$ 101,469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55,405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72,078</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$ 179,106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43,800</w:t>
            </w: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tax effect of change to C-Corporation status (i)</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44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Adjusted Net Income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75,927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41,338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53,732</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$ 134,844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outside consulting fees associated with our strategic cost savings and business optimization initiatives.</w:t>
      </w:r>
    </w:p>
    <w:p>
      <w:pPr>
        <w:spacing w:after="0" w:line="27" w:lineRule="exact"/>
        <w:rPr>
          <w:rFonts w:ascii="Times New Roman" w:cs="Times New Roman" w:eastAsia="Times New Roman" w:hAnsi="Times New Roman"/>
          <w:sz w:val="18"/>
          <w:szCs w:val="18"/>
          <w:color w:val="auto"/>
        </w:rPr>
      </w:pPr>
    </w:p>
    <w:p>
      <w:pPr>
        <w:ind w:left="540" w:right="9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contractual payments under our Monitoring Agreement with the Adviser. See “Certain Relationships and Related Party Transactions—Monitoring Agreement.”</w:t>
      </w:r>
    </w:p>
    <w:p>
      <w:pPr>
        <w:ind w:left="540" w:right="280" w:hanging="424"/>
        <w:spacing w:after="0" w:line="26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charges related to the 2011 Equity Plan, which vary from period to period depending on certain factors such as timing and valuation of awards, achievement of performance targets and equity award forfeitures.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associated with executive leadership changes and enterprise-wide organizational changes.</w:t>
      </w:r>
    </w:p>
    <w:p>
      <w:pPr>
        <w:spacing w:after="0" w:line="27"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store exit costs and other costs associated with strategic cost savings and business optimization initiatives.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the total adjustments made to arrive at Adjusted Net Income (Loss) at our historical tax rate.</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Net Income (Loss) at our estimated effective tax rate of 24.5%. We are currently treated as a flow through entity for U.S. federal and state income tax purposes, and thus no federal income tax expense has been recorded in our consolidated statements of income. After consummation of this offering, we will become subject to U.S. federal and state income taxes and be taxed at the prevailing corporate rates. Our actual federal tax rate, and our actual income tax liability, after this offering may be different from our assumed rate, and such difference may be material.</w:t>
      </w:r>
    </w:p>
    <w:p>
      <w:pPr>
        <w:spacing w:after="0" w:line="18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Twenty-Six Weeks</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2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6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320" w:type="dxa"/>
            <w:vAlign w:val="bottom"/>
          </w:tcPr>
          <w:p>
            <w:pPr>
              <w:spacing w:after="0"/>
              <w:rPr>
                <w:sz w:val="10"/>
                <w:szCs w:val="10"/>
                <w:color w:val="auto"/>
              </w:rPr>
            </w:pPr>
          </w:p>
        </w:tc>
        <w:tc>
          <w:tcPr>
            <w:tcW w:w="88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4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 length</w:t>
            </w:r>
          </w:p>
        </w:tc>
        <w:tc>
          <w:tcPr>
            <w:tcW w:w="2140" w:type="dxa"/>
            <w:vAlign w:val="bottom"/>
            <w:gridSpan w:val="2"/>
          </w:tcPr>
          <w:p>
            <w:pPr>
              <w:jc w:val="center"/>
              <w:ind w:left="13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2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52 weeks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8"/>
              <w:spacing w:after="0" w:line="119" w:lineRule="exact"/>
              <w:rPr>
                <w:sz w:val="20"/>
                <w:szCs w:val="20"/>
                <w:color w:val="auto"/>
              </w:rPr>
            </w:pPr>
            <w:r>
              <w:rPr>
                <w:rFonts w:ascii="Times New Roman" w:cs="Times New Roman" w:eastAsia="Times New Roman" w:hAnsi="Times New Roman"/>
                <w:sz w:val="13"/>
                <w:szCs w:val="13"/>
                <w:b w:val="1"/>
                <w:bCs w:val="1"/>
                <w:color w:val="auto"/>
              </w:rPr>
              <w:t>53 weeks</w:t>
            </w:r>
          </w:p>
        </w:tc>
        <w:tc>
          <w:tcPr>
            <w:tcW w:w="3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13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$ 263,669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198,481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103,961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(115,901)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2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$ 196,886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99,454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(32,546)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759,771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72,194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2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thousands)</w:t>
      </w:r>
    </w:p>
    <w:p>
      <w:pPr>
        <w:spacing w:after="0" w:line="14" w:lineRule="exact"/>
        <w:rPr>
          <w:sz w:val="20"/>
          <w:szCs w:val="20"/>
          <w:color w:val="auto"/>
        </w:rPr>
      </w:pPr>
    </w:p>
    <w:p>
      <w:pPr>
        <w:ind w:left="120" w:right="500"/>
        <w:spacing w:after="0" w:line="257" w:lineRule="auto"/>
        <w:rPr>
          <w:sz w:val="20"/>
          <w:szCs w:val="20"/>
          <w:color w:val="auto"/>
        </w:rPr>
      </w:pPr>
      <w:r>
        <w:rPr>
          <w:rFonts w:ascii="Times New Roman" w:cs="Times New Roman" w:eastAsia="Times New Roman" w:hAnsi="Times New Roman"/>
          <w:sz w:val="16"/>
          <w:szCs w:val="16"/>
          <w:color w:val="auto"/>
        </w:rPr>
        <w:t>Net sales Gross margin</w:t>
      </w:r>
    </w:p>
    <w:p>
      <w:pPr>
        <w:spacing w:after="0" w:line="1" w:lineRule="exact"/>
        <w:rPr>
          <w:sz w:val="20"/>
          <w:szCs w:val="20"/>
          <w:color w:val="auto"/>
        </w:rPr>
      </w:pPr>
    </w:p>
    <w:p>
      <w:pPr>
        <w:ind w:left="280" w:right="100" w:hanging="161"/>
        <w:spacing w:after="0" w:line="264" w:lineRule="auto"/>
        <w:rPr>
          <w:sz w:val="20"/>
          <w:szCs w:val="20"/>
          <w:color w:val="auto"/>
        </w:rPr>
      </w:pPr>
      <w:r>
        <w:rPr>
          <w:rFonts w:ascii="Times New Roman" w:cs="Times New Roman" w:eastAsia="Times New Roman" w:hAnsi="Times New Roman"/>
          <w:sz w:val="16"/>
          <w:szCs w:val="16"/>
          <w:color w:val="auto"/>
        </w:rPr>
        <w:t>Selling, general and administrative expenses</w:t>
      </w:r>
    </w:p>
    <w:p>
      <w:pPr>
        <w:ind w:left="120" w:right="60"/>
        <w:spacing w:after="0" w:line="264" w:lineRule="auto"/>
        <w:rPr>
          <w:sz w:val="20"/>
          <w:szCs w:val="20"/>
          <w:color w:val="auto"/>
        </w:rPr>
      </w:pPr>
      <w:r>
        <w:rPr>
          <w:rFonts w:ascii="Times New Roman" w:cs="Times New Roman" w:eastAsia="Times New Roman" w:hAnsi="Times New Roman"/>
          <w:sz w:val="16"/>
          <w:szCs w:val="16"/>
          <w:color w:val="auto"/>
        </w:rPr>
        <w:t>Operating income Interest expense, net</w:t>
      </w:r>
    </w:p>
    <w:p>
      <w:pPr>
        <w:ind w:left="280" w:right="20" w:hanging="161"/>
        <w:spacing w:after="0" w:line="264" w:lineRule="auto"/>
        <w:rPr>
          <w:sz w:val="20"/>
          <w:szCs w:val="20"/>
          <w:color w:val="auto"/>
        </w:rPr>
      </w:pPr>
      <w:r>
        <w:rPr>
          <w:rFonts w:ascii="Times New Roman" w:cs="Times New Roman" w:eastAsia="Times New Roman" w:hAnsi="Times New Roman"/>
          <w:sz w:val="16"/>
          <w:szCs w:val="16"/>
          <w:color w:val="auto"/>
        </w:rPr>
        <w:t>Gain on early retirement of debt, net</w:t>
      </w:r>
    </w:p>
    <w:p>
      <w:pPr>
        <w:ind w:left="1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Comparable sales</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comparable sales</w:t>
      </w:r>
    </w:p>
    <w:p>
      <w:pPr>
        <w:ind w:left="120"/>
        <w:spacing w:after="0"/>
        <w:rPr>
          <w:sz w:val="20"/>
          <w:szCs w:val="20"/>
          <w:color w:val="auto"/>
        </w:rPr>
      </w:pPr>
      <w:r>
        <w:rPr>
          <w:rFonts w:ascii="Times New Roman" w:cs="Times New Roman" w:eastAsia="Times New Roman" w:hAnsi="Times New Roman"/>
          <w:sz w:val="16"/>
          <w:szCs w:val="16"/>
          <w:color w:val="auto"/>
        </w:rPr>
        <w:t>Adjusted EBITDA</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Adjusted Net Income (Loss)</w:t>
      </w:r>
    </w:p>
    <w:p>
      <w:pPr>
        <w:ind w:left="120"/>
        <w:spacing w:after="0"/>
        <w:rPr>
          <w:sz w:val="20"/>
          <w:szCs w:val="20"/>
          <w:color w:val="auto"/>
        </w:rPr>
      </w:pPr>
      <w:r>
        <w:rPr>
          <w:rFonts w:ascii="Times New Roman" w:cs="Times New Roman" w:eastAsia="Times New Roman" w:hAnsi="Times New Roman"/>
          <w:sz w:val="16"/>
          <w:szCs w:val="16"/>
          <w:color w:val="auto"/>
        </w:rPr>
        <w:t>Pro Forma Adjusted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Income (Loss)</w:t>
      </w:r>
    </w:p>
    <w:p>
      <w:pPr>
        <w:spacing w:after="0" w:line="19" w:lineRule="exact"/>
        <w:rPr>
          <w:sz w:val="20"/>
          <w:szCs w:val="20"/>
          <w:color w:val="auto"/>
        </w:rPr>
      </w:pPr>
    </w:p>
    <w:p>
      <w:pPr>
        <w:ind w:left="280" w:right="100" w:hanging="161"/>
        <w:spacing w:after="0" w:line="288" w:lineRule="auto"/>
        <w:rPr>
          <w:sz w:val="20"/>
          <w:szCs w:val="20"/>
          <w:color w:val="auto"/>
        </w:rPr>
      </w:pPr>
      <w:r>
        <w:rPr>
          <w:rFonts w:ascii="Times New Roman" w:cs="Times New Roman" w:eastAsia="Times New Roman" w:hAnsi="Times New Roman"/>
          <w:sz w:val="16"/>
          <w:szCs w:val="16"/>
          <w:color w:val="auto"/>
        </w:rPr>
        <w:t>Adjusted Free Cash Flow</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60" w:type="dxa"/>
            <w:vAlign w:val="bottom"/>
            <w:tcBorders>
              <w:top w:val="single" w:sz="8" w:color="auto"/>
            </w:tcBorders>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60" w:type="dxa"/>
            <w:vAlign w:val="bottom"/>
          </w:tcPr>
          <w:p>
            <w:pPr>
              <w:spacing w:after="0"/>
              <w:rPr>
                <w:sz w:val="10"/>
                <w:szCs w:val="10"/>
                <w:color w:val="auto"/>
              </w:rPr>
            </w:pPr>
          </w:p>
        </w:tc>
      </w:tr>
      <w:tr>
        <w:trPr>
          <w:trHeight w:val="173"/>
        </w:trPr>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r>
      <w:tr>
        <w:trPr>
          <w:trHeight w:val="200"/>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1,606,420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1,136,301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1,370,492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1,145,203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9"/>
              </w:rPr>
              <w:t>1,237,410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9"/>
              </w:rPr>
              <w:t>1,076,792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1,342,018</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1,060,188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1,262,207</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1,119,480</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496,501</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297,945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370,532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362,422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385,204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312,996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332,133</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328,833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387,130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320,356</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312,713</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283,923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328,315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309,246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312,570</w:t>
            </w: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301,602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326,365</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300,195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317,164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295,278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183,788</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42,217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72,634</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5,768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28,138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69,966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25,078</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23,566</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24,522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24,136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24,585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25,549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27,037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27,608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27,076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27,173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26,795</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(41,138)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167,676</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17,738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48,347</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(21,458)</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42,103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3"/>
        </w:trPr>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229,645</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53,257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77,218</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88,759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107,249</w:t>
            </w:r>
          </w:p>
        </w:tc>
        <w:tc>
          <w:tcPr>
            <w:tcW w:w="8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49,588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62,172</w:t>
            </w: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64,567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109,087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64,433</w:t>
            </w:r>
          </w:p>
        </w:tc>
      </w:tr>
      <w:tr>
        <w:trPr>
          <w:trHeight w:val="405"/>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178,351</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23,607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34,062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51,503</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(724)</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4,845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46,472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4,812</w:t>
            </w:r>
          </w:p>
        </w:tc>
      </w:tr>
      <w:tr>
        <w:trPr>
          <w:trHeight w:val="608"/>
        </w:trPr>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134,404</w:t>
            </w:r>
          </w:p>
        </w:tc>
        <w:tc>
          <w:tcPr>
            <w:tcW w:w="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17,599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(721)</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34,760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3,635</w:t>
            </w:r>
          </w:p>
        </w:tc>
      </w:tr>
      <w:tr>
        <w:trPr>
          <w:trHeight w:val="405"/>
        </w:trPr>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678,941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80,830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154,709</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122,680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(50,486)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139,551</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(108,232)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45,878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-2839085</wp:posOffset>
            </wp:positionV>
            <wp:extent cx="699516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-2581910</wp:posOffset>
            </wp:positionV>
            <wp:extent cx="6995160" cy="3860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386080"/>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-2067560</wp:posOffset>
            </wp:positionV>
            <wp:extent cx="699516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-1553210</wp:posOffset>
            </wp:positionV>
            <wp:extent cx="699516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-1296035</wp:posOffset>
            </wp:positionV>
            <wp:extent cx="6995160"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-910590</wp:posOffset>
            </wp:positionV>
            <wp:extent cx="6995160" cy="2571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-267335</wp:posOffset>
            </wp:positionV>
            <wp:extent cx="6995160"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500" w:space="180"/>
            <w:col w:w="940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following table provides reconciliation of comparable sales to adjusted comparable sales for the periods presented: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1820" w:type="dxa"/>
            <w:vAlign w:val="bottom"/>
          </w:tcPr>
          <w:p>
            <w:pPr>
              <w:spacing w:after="0"/>
              <w:rPr>
                <w:sz w:val="10"/>
                <w:szCs w:val="10"/>
                <w:color w:val="auto"/>
              </w:rPr>
            </w:pPr>
          </w:p>
        </w:tc>
        <w:tc>
          <w:tcPr>
            <w:tcW w:w="88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10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9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7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1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9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240" w:type="dxa"/>
            <w:vAlign w:val="bottom"/>
          </w:tcPr>
          <w:p>
            <w:pPr>
              <w:spacing w:after="0"/>
              <w:rPr>
                <w:sz w:val="10"/>
                <w:szCs w:val="10"/>
                <w:color w:val="auto"/>
              </w:rPr>
            </w:pPr>
          </w:p>
        </w:tc>
      </w:tr>
      <w:tr>
        <w:trPr>
          <w:trHeight w:val="173"/>
        </w:trPr>
        <w:tc>
          <w:tcPr>
            <w:tcW w:w="1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r>
      <w:tr>
        <w:trPr>
          <w:trHeight w:val="183"/>
        </w:trPr>
        <w:tc>
          <w:tcPr>
            <w:tcW w:w="1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Comparable 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Additional sales</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associated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Houston Astros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World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Series appearances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sales of a</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driven by free shipping</w:t>
            </w: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promotion</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Sales from the exited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3"/>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categories</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comparable</w:t>
            </w: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6"/>
        </w:trPr>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27.0%</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(0.6)%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r>
      <w:tr>
        <w:trPr>
          <w:trHeight w:val="20"/>
        </w:trPr>
        <w:tc>
          <w:tcPr>
            <w:tcW w:w="1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 of net income (loss) to Adjusted EBITDA, Adjusted Net Income (Loss) and Pro Forma Adjusted Net Income (Loss) for the periods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84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80" w:type="dxa"/>
            <w:vAlign w:val="bottom"/>
          </w:tcPr>
          <w:p>
            <w:pPr>
              <w:spacing w:after="0"/>
              <w:rPr>
                <w:sz w:val="10"/>
                <w:szCs w:val="10"/>
                <w:color w:val="auto"/>
              </w:rPr>
            </w:pPr>
          </w:p>
        </w:tc>
        <w:tc>
          <w:tcPr>
            <w:tcW w:w="900" w:type="dxa"/>
            <w:vAlign w:val="bottom"/>
            <w:gridSpan w:val="3"/>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60" w:type="dxa"/>
            <w:vAlign w:val="bottom"/>
          </w:tcPr>
          <w:p>
            <w:pPr>
              <w:spacing w:after="0"/>
              <w:rPr>
                <w:sz w:val="10"/>
                <w:szCs w:val="10"/>
                <w:color w:val="auto"/>
              </w:rPr>
            </w:pP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80" w:type="dxa"/>
            <w:vAlign w:val="bottom"/>
          </w:tcPr>
          <w:p>
            <w:pPr>
              <w:spacing w:after="0"/>
              <w:rPr>
                <w:sz w:val="10"/>
                <w:szCs w:val="10"/>
                <w:color w:val="auto"/>
              </w:rPr>
            </w:pPr>
          </w:p>
        </w:tc>
        <w:tc>
          <w:tcPr>
            <w:tcW w:w="4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6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6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$ 25,406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23,566</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24,522</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24,136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24,585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25,549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27,076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26,795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amortization and impairment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26,704</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27,447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28,561</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29,596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29,313</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29,784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34,576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32,835</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early extinguishment of debt, net</w:t>
            </w: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(7,831)</w:t>
            </w: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(41,138)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Severance and executive transition costs</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3,909</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related to the COVID-19 pandemic</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10,987</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6,645</w:t>
            </w: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 associated with</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18,225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strategic merchandising initiative</w:t>
            </w: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$ 229,645</w:t>
            </w:r>
          </w:p>
        </w:tc>
        <w:tc>
          <w:tcPr>
            <w:tcW w:w="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$ 53,257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77,218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88,759</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107,249</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$ 49,588</w:t>
            </w:r>
          </w:p>
        </w:tc>
        <w:tc>
          <w:tcPr>
            <w:tcW w:w="220" w:type="dxa"/>
            <w:vAlign w:val="bottom"/>
            <w:gridSpan w:val="2"/>
            <w:shd w:val="clear" w:color="auto" w:fill="CCEEFF"/>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62,172</w:t>
            </w:r>
          </w:p>
        </w:tc>
        <w:tc>
          <w:tcPr>
            <w:tcW w:w="240" w:type="dxa"/>
            <w:vAlign w:val="bottom"/>
            <w:gridSpan w:val="2"/>
            <w:shd w:val="clear" w:color="auto" w:fill="CCEEFF"/>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64,567</w:t>
            </w:r>
          </w:p>
        </w:tc>
        <w:tc>
          <w:tcPr>
            <w:tcW w:w="1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109,087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98"/>
              </w:rPr>
              <w:t>64,433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0"/>
                <w:szCs w:val="10"/>
                <w:color w:val="auto"/>
              </w:rPr>
            </w:pP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80" w:type="dxa"/>
            <w:vAlign w:val="bottom"/>
          </w:tcPr>
          <w:p>
            <w:pPr>
              <w:spacing w:after="0"/>
              <w:rPr>
                <w:sz w:val="10"/>
                <w:szCs w:val="10"/>
                <w:color w:val="auto"/>
              </w:rPr>
            </w:pPr>
          </w:p>
        </w:tc>
        <w:tc>
          <w:tcPr>
            <w:tcW w:w="78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6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8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100" w:type="dxa"/>
            <w:vAlign w:val="bottom"/>
          </w:tcPr>
          <w:p>
            <w:pPr>
              <w:spacing w:after="0"/>
              <w:rPr>
                <w:sz w:val="10"/>
                <w:szCs w:val="10"/>
                <w:color w:val="auto"/>
              </w:rPr>
            </w:pPr>
          </w:p>
        </w:tc>
        <w:tc>
          <w:tcPr>
            <w:tcW w:w="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300" w:type="dxa"/>
            <w:vAlign w:val="bottom"/>
            <w:vMerge w:val="continue"/>
          </w:tcPr>
          <w:p>
            <w:pPr>
              <w:spacing w:after="0"/>
              <w:rPr>
                <w:sz w:val="15"/>
                <w:szCs w:val="15"/>
                <w:color w:val="auto"/>
              </w:rPr>
            </w:pPr>
          </w:p>
        </w:tc>
        <w:tc>
          <w:tcPr>
            <w:tcW w:w="7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$ 167,676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(10,020)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17,738</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48,347</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42,103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fees</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Adviser monitoring fee</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early extinguishment of debt,</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(7,831)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(41,138)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Severance and executive transition</w:t>
            </w: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3,909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3,239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Costs related to the COVID-19</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10,987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6,645</w:t>
            </w:r>
          </w:p>
        </w:tc>
        <w:tc>
          <w:tcPr>
            <w:tcW w:w="1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pandemic</w:t>
            </w:r>
          </w:p>
        </w:tc>
        <w:tc>
          <w:tcPr>
            <w:tcW w:w="8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Inventory write-down adjustments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associated with strategic</w:t>
            </w:r>
          </w:p>
        </w:tc>
        <w:tc>
          <w:tcPr>
            <w:tcW w:w="12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18,225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merchandising initiative</w:t>
            </w: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effects of these adjustments</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Net Income (Loss)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23,607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34,062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51,503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46,472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26"/>
        </w:trPr>
        <w:tc>
          <w:tcPr>
            <w:tcW w:w="2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Estimated tax effect of change to</w:t>
            </w:r>
          </w:p>
        </w:tc>
        <w:tc>
          <w:tcPr>
            <w:tcW w:w="120" w:type="dxa"/>
            <w:vAlign w:val="bottom"/>
            <w:vMerge w:val="restart"/>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(43,947)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(316)</w:t>
            </w:r>
          </w:p>
        </w:tc>
        <w:tc>
          <w:tcPr>
            <w:tcW w:w="14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(6,008)</w:t>
            </w:r>
          </w:p>
        </w:tc>
        <w:tc>
          <w:tcPr>
            <w:tcW w:w="16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(8,472)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(12,835)</w:t>
            </w: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1,772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(11,712)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7"/>
              </w:rPr>
              <w:t>(1,177)</w:t>
            </w:r>
          </w:p>
        </w:tc>
        <w:tc>
          <w:tcPr>
            <w:tcW w:w="0" w:type="dxa"/>
            <w:vAlign w:val="bottom"/>
          </w:tcPr>
          <w:p>
            <w:pPr>
              <w:spacing w:after="0"/>
              <w:rPr>
                <w:sz w:val="1"/>
                <w:szCs w:val="1"/>
                <w:color w:val="auto"/>
              </w:rPr>
            </w:pPr>
          </w:p>
        </w:tc>
      </w:tr>
      <w:tr>
        <w:trPr>
          <w:trHeight w:val="171"/>
        </w:trPr>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C-Corporation status</w:t>
            </w: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 Forma Adjusted Net Income</w:t>
            </w: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$ 134,404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17,599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25,590</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38,668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(5,931)</w:t>
            </w:r>
          </w:p>
        </w:tc>
        <w:tc>
          <w:tcPr>
            <w:tcW w:w="2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(721)</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3,663</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34,760</w:t>
            </w:r>
          </w:p>
        </w:tc>
        <w:tc>
          <w:tcPr>
            <w:tcW w:w="1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3,635</w:t>
            </w:r>
          </w:p>
        </w:tc>
        <w:tc>
          <w:tcPr>
            <w:tcW w:w="0" w:type="dxa"/>
            <w:vAlign w:val="bottom"/>
          </w:tcPr>
          <w:p>
            <w:pPr>
              <w:spacing w:after="0"/>
              <w:rPr>
                <w:sz w:val="1"/>
                <w:szCs w:val="1"/>
                <w:color w:val="auto"/>
              </w:rPr>
            </w:pPr>
          </w:p>
        </w:tc>
      </w:tr>
      <w:tr>
        <w:trPr>
          <w:trHeight w:val="171"/>
        </w:trPr>
        <w:tc>
          <w:tcPr>
            <w:tcW w:w="2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860" w:type="dxa"/>
            <w:vAlign w:val="bottom"/>
            <w:gridSpan w:val="3"/>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May 2,</w:t>
            </w:r>
          </w:p>
        </w:tc>
        <w:tc>
          <w:tcPr>
            <w:tcW w:w="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80" w:type="dxa"/>
            <w:vAlign w:val="bottom"/>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80" w:type="dxa"/>
            <w:vAlign w:val="bottom"/>
          </w:tcPr>
          <w:p>
            <w:pPr>
              <w:spacing w:after="0"/>
              <w:rPr>
                <w:sz w:val="10"/>
                <w:szCs w:val="10"/>
                <w:color w:val="auto"/>
              </w:rPr>
            </w:pPr>
          </w:p>
        </w:tc>
        <w:tc>
          <w:tcPr>
            <w:tcW w:w="7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August 4,</w:t>
            </w:r>
          </w:p>
        </w:tc>
        <w:tc>
          <w:tcPr>
            <w:tcW w:w="58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May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40" w:type="dxa"/>
            <w:vAlign w:val="bottom"/>
            <w:vMerge w:val="continue"/>
          </w:tcPr>
          <w:p>
            <w:pPr>
              <w:spacing w:after="0"/>
              <w:rPr>
                <w:sz w:val="15"/>
                <w:szCs w:val="15"/>
                <w:color w:val="auto"/>
              </w:rPr>
            </w:pPr>
          </w:p>
        </w:tc>
        <w:tc>
          <w:tcPr>
            <w:tcW w:w="740" w:type="dxa"/>
            <w:vAlign w:val="bottom"/>
            <w:gridSpan w:val="2"/>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6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6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6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68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cash provided by (used in)</w:t>
            </w: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$682,865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$90,756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(9,205)</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$138,564</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$(34,603)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(83,563)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$ 41,329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(3,924)</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(9,926)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(14,204)</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(20,812)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(15,884)</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(28,037)</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(24,669)</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(27,249)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(19,072)</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678,941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80,830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(30,017)</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122,680</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(50,486)</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(108,232)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Historically, our principal sources of cash have included cash generated from operating activities and borrowings under our Term Loan Facility and ABL Facility. Our historical uses of cash have been primarily to fund operating activities, such as the purchase and growth of inventory, expansion of our sales and marketing activities and other working capital needs; for capital improvements and support of expansion plans, as well as various investments in store renovations, store fixtures and on-going infrastructure improvements; to pay our debt obligations and related interest expense; and associated with fluctuations in working capital due to timing differences of cash receipts and cash disbursements.</w:t>
      </w:r>
    </w:p>
    <w:p>
      <w:pPr>
        <w:spacing w:after="0" w:line="183"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We are focused on navigating the challenges presented by COVID-19 through the preservation of our liquidity and management of cash flow through preemptive actions to enhance our ability to meet our short-term liquidity needs. We have taken various cost cutting measures to maximize operational cash flows. Such actions include, but are not limited to, reduction of discretionary spending, deferring or cancelling our planned expenses, revisiting and reprioritizing our strategic investments, and reducing our payroll costs, including temporary team member furloughs and pay cuts.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August 1, 2020, our cash and cash equivalents totaled $884.0 million. On August 28, 2020, we paid a $257.0 million one-time special distribution to our unitholders of record as of August 25, 2020, $248.0 million of which was paid with cash on hand and the remainder of which was distributed through an offset of outstanding loans receivable from certain unitholders as well as state income tax withholdings made on behalf of our unitholders. We expect to use existing cash balances, internally generated cash flows and available borrowings under our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letters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first quarter 2020 was ample to support our operations and service our requirements.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Liquidity information related to our ABL Facility is as follows as of and for the periods shown (in thousands, except days):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6440" w:type="dxa"/>
            <w:vAlign w:val="bottom"/>
          </w:tcPr>
          <w:p>
            <w:pPr>
              <w:spacing w:after="0"/>
              <w:rPr>
                <w:sz w:val="15"/>
                <w:szCs w:val="15"/>
                <w:color w:val="auto"/>
              </w:rPr>
            </w:pPr>
          </w:p>
        </w:tc>
        <w:tc>
          <w:tcPr>
            <w:tcW w:w="68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$253,297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$500,000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147,100</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161,089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796,550</w:t>
            </w: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40" w:type="dxa"/>
            <w:vAlign w:val="bottom"/>
            <w:gridSpan w:val="3"/>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52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Issued letters of credit</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694,110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923,956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expect capital expenditures for 2020 to be approximately $50.0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1, 2020 and August 3,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unaudited statements of cash flows for the periods shown are summarized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r>
      <w:tr>
        <w:trPr>
          <w:trHeight w:val="173"/>
        </w:trPr>
        <w:tc>
          <w:tcPr>
            <w:tcW w:w="636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$773,621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$103,961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(13,850)</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(31,767)</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(25,127)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734,644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(23,601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consists primarily of net income adjusted for non-cash items,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and amortization, non-cash lease expense, stock based compensation, amortization of deferred loan and other costs, non-cash gain on early retirement of debt, net, and changes in assets and liabilities.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in the first half 2020 increased $669.7 million, compared to the first half 2019. This increase in cash is attributable to a $544.3 million net increase in cash flows provided by operating assets and liabilities, $83.9 million increase in net income and a $41.5 million increase in non-cash charges. The increase in cash flows from operating assets and liabilities for the first half 2020 compared to the first half 2019 was primarily attributable to a $270.3 million decrease in merchandise inventories, net, due to inventory reductions from high sell-through in the first half 2020, coupled with an increase in inventory during the first half 2019, $259.6 million increase in accounts payable related to an increased inventory receipts during the first half 2020 and extensions of vendor payment terms and a $12.3 million increase in other long-term liabilities related to deferred payroll tax accruals. The increase from non-cash charges was primarily caused by a $34.4 million decrease in non-cash gains on the early retirement of debt, net resulting from lower first half 2020 principal repurchases of portions of our Term Loan Facility and a $12.6 million increase in non-cash lease expense due to timing of August rent payments and 40 lease extensions executed during the first half 2020.</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Twenty-Six Weeks</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Ended</w:t>
      </w:r>
    </w:p>
    <w:tbl>
      <w:tblPr>
        <w:tblLayout w:type="fixed"/>
        <w:tblInd w:w="1440" w:type="dxa"/>
        <w:tblCellMar>
          <w:top w:w="0" w:type="dxa"/>
          <w:left w:w="0" w:type="dxa"/>
          <w:bottom w:w="0" w:type="dxa"/>
          <w:right w:w="0" w:type="dxa"/>
        </w:tblCellMar>
      </w:tblPr>
      <w:tr>
        <w:trPr>
          <w:trHeight w:val="117"/>
        </w:trPr>
        <w:tc>
          <w:tcPr>
            <w:tcW w:w="40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60" w:type="dxa"/>
            <w:vAlign w:val="bottom"/>
          </w:tcPr>
          <w:p>
            <w:pPr>
              <w:spacing w:after="0"/>
              <w:rPr>
                <w:sz w:val="10"/>
                <w:szCs w:val="10"/>
                <w:color w:val="auto"/>
              </w:rPr>
            </w:pPr>
          </w:p>
        </w:tc>
      </w:tr>
      <w:tr>
        <w:trPr>
          <w:trHeight w:val="173"/>
        </w:trPr>
        <w:tc>
          <w:tcPr>
            <w:tcW w:w="4040" w:type="dxa"/>
            <w:vAlign w:val="bottom"/>
          </w:tcPr>
          <w:p>
            <w:pPr>
              <w:spacing w:after="0"/>
              <w:rPr>
                <w:sz w:val="15"/>
                <w:szCs w:val="15"/>
                <w:color w:val="auto"/>
              </w:rPr>
            </w:pPr>
          </w:p>
        </w:tc>
        <w:tc>
          <w:tcPr>
            <w:tcW w:w="3160" w:type="dxa"/>
            <w:vAlign w:val="bottom"/>
            <w:gridSpan w:val="2"/>
          </w:tcPr>
          <w:p>
            <w:pPr>
              <w:jc w:val="center"/>
              <w:ind w:left="248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860" w:type="dxa"/>
            <w:vAlign w:val="bottom"/>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13,850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$ 27,802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$17.9 million in the first half 2020 compared to the first half 2019. The decrease in cash used in investing activities is primarily due to an issuance of a $4.0 million note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receivable to a member in the first half 2019 and $14.0 million less capital expenditures due to a planned overall reduction in the first half 2020 led by a reduction in new stores and store remodeling.</w:t>
      </w:r>
    </w:p>
    <w:p>
      <w:pPr>
        <w:spacing w:after="0" w:line="158"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$70.7 million in the first half 2020, compared to the first half 2019.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drivers of the decrease were a $88.6 million decrease in cash outflows related to lower current first half 2020 principal repurchases of portions of our Term Loan Facility and $17.9 million decreased net proceeds from our ABL Facility.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2019, 2018 and 2017:</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consolidated statements of cash flows for the periods shown are summarized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40" w:type="dxa"/>
            <w:vAlign w:val="bottom"/>
            <w:gridSpan w:val="4"/>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 w:type="dxa"/>
            <w:vAlign w:val="bottom"/>
          </w:tcPr>
          <w:p>
            <w:pPr>
              <w:spacing w:after="0"/>
              <w:rPr>
                <w:sz w:val="10"/>
                <w:szCs w:val="10"/>
                <w:color w:val="auto"/>
              </w:rPr>
            </w:pPr>
          </w:p>
        </w:tc>
      </w:tr>
      <w:tr>
        <w:trPr>
          <w:trHeight w:val="173"/>
        </w:trPr>
        <w:tc>
          <w:tcPr>
            <w:tcW w:w="58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(115,901)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Operating Activities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by operating activities for 2019 increased $65.2 million compared to 2018. This increase is attributable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Term Loan Facility in 2019.</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The following table shows the amounts of capital expenditures for each period indicated (in thousands):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36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700" w:type="dxa"/>
            <w:vAlign w:val="bottom"/>
            <w:gridSpan w:val="3"/>
          </w:tcPr>
          <w:p>
            <w:pPr>
              <w:jc w:val="center"/>
              <w:ind w:left="11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40" w:type="dxa"/>
            <w:vAlign w:val="bottom"/>
            <w:gridSpan w:val="2"/>
          </w:tcPr>
          <w:p>
            <w:pPr>
              <w:jc w:val="center"/>
              <w:ind w:left="131"/>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3660" w:type="dxa"/>
            <w:vAlign w:val="bottom"/>
          </w:tcPr>
          <w:p>
            <w:pPr>
              <w:spacing w:after="0"/>
              <w:rPr>
                <w:sz w:val="15"/>
                <w:szCs w:val="15"/>
                <w:color w:val="auto"/>
              </w:rPr>
            </w:pPr>
          </w:p>
        </w:tc>
        <w:tc>
          <w:tcPr>
            <w:tcW w:w="29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Pr>
          <w:p>
            <w:pPr>
              <w:spacing w:after="0"/>
              <w:rPr>
                <w:sz w:val="15"/>
                <w:szCs w:val="15"/>
                <w:color w:val="auto"/>
              </w:rPr>
            </w:pPr>
          </w:p>
        </w:tc>
        <w:tc>
          <w:tcPr>
            <w:tcW w:w="940" w:type="dxa"/>
            <w:vAlign w:val="bottom"/>
            <w:gridSpan w:val="2"/>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62,818</w:t>
            </w:r>
          </w:p>
        </w:tc>
        <w:tc>
          <w:tcPr>
            <w:tcW w:w="5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$ 107,905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$ 132,126</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used in financing activities increased $68.4 million in 2019 compared to 2018 primarily due to a $104.6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cash outflow related to the early retirement of a portion of the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Term Loan Facility of $19.7 million in 2017.</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our audited consolidated financial statements included elsewhere in this 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860" w:firstLine="440"/>
        <w:spacing w:after="0" w:line="282"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$1.4 million and $2.5 million, respectively, of long-lived store assets. These charges are included in SG&amp;A expenses on the consolidated statements of income. See Note 6</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to our audited consolidated financial statements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elected the practical expedient available to us under ASU 2018-11, “</w:t>
      </w:r>
      <w:r>
        <w:rPr>
          <w:rFonts w:ascii="Times New Roman" w:cs="Times New Roman" w:eastAsia="Times New Roman" w:hAnsi="Times New Roman"/>
          <w:sz w:val="18"/>
          <w:szCs w:val="18"/>
          <w:i w:val="1"/>
          <w:iCs w:val="1"/>
          <w:color w:val="auto"/>
        </w:rPr>
        <w:t>Leases: Targeted Improvements”</w:t>
      </w:r>
      <w:r>
        <w:rPr>
          <w:rFonts w:ascii="Times New Roman" w:cs="Times New Roman" w:eastAsia="Times New Roman" w:hAnsi="Times New Roman"/>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left="120" w:right="78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enter into letters of credit in the ordinary course of operating and financing activities. As of August 1, 2020, we had outstanding letters of credit of $29.7 million, of which $19.9 million were issued under our ABL Facility, primarily for insurance and foreign product purchases.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our letters of credit commitments as of August 1, 2020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10"/>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Commitment Expiration</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Period</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7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1 - 3</w:t>
            </w:r>
          </w:p>
        </w:tc>
        <w:tc>
          <w:tcPr>
            <w:tcW w:w="2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3 - 5</w:t>
            </w:r>
          </w:p>
        </w:tc>
        <w:tc>
          <w:tcPr>
            <w:tcW w:w="2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2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Commercial Commitments:</w:t>
            </w:r>
          </w:p>
        </w:tc>
        <w:tc>
          <w:tcPr>
            <w:tcW w:w="3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420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$ 29,683</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$24,886</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$4,797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3700" w:type="dxa"/>
            <w:vAlign w:val="bottom"/>
          </w:tcPr>
          <w:p>
            <w:pPr>
              <w:spacing w:after="0"/>
              <w:rPr>
                <w:sz w:val="24"/>
                <w:szCs w:val="24"/>
                <w:color w:val="auto"/>
              </w:rPr>
            </w:pPr>
          </w:p>
        </w:tc>
        <w:tc>
          <w:tcPr>
            <w:tcW w:w="3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and commercial commitments as of February 1, 2020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16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Facility interest</w:t>
            </w:r>
            <w:r>
              <w:rPr>
                <w:rFonts w:ascii="Times New Roman" w:cs="Times New Roman" w:eastAsia="Times New Roman" w:hAnsi="Times New Roman"/>
                <w:sz w:val="15"/>
                <w:szCs w:val="15"/>
                <w:color w:val="auto"/>
              </w:rPr>
              <w:t>(2)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78,855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ABL Facility</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196,088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related commitments and other</w:t>
            </w:r>
            <w:r>
              <w:rPr>
                <w:rFonts w:ascii="Times New Roman" w:cs="Times New Roman" w:eastAsia="Times New Roman" w:hAnsi="Times New Roman"/>
                <w:sz w:val="15"/>
                <w:szCs w:val="15"/>
                <w:color w:val="auto"/>
              </w:rPr>
              <w:t>(4)</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20,593</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Monitoring agreement</w:t>
            </w:r>
            <w:r>
              <w:rPr>
                <w:rFonts w:ascii="Times New Roman" w:cs="Times New Roman" w:eastAsia="Times New Roman" w:hAnsi="Times New Roman"/>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$ 3,650,779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344,053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$ 1,951,135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356,277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excluding discount and debt issuance costs.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shown are approximated based on projected interest rates and do not give effect to interest rate swaps.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technology related contractual commitments and other commitments such as construction commitments. The amounts included in the table are for executed contracts less amounts paid.</w:t>
      </w:r>
    </w:p>
    <w:p>
      <w:pPr>
        <w:ind w:left="540" w:right="32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our contractual payments under our Monitoring Agreement with the Adviser. See “Certain Relationships and Related Party Transactions—Monitoring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Value-based assortment that enables our customers to participate and have fun, no matter their budget.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assortment that extends beyond sporting goods and apparel to outdoor recreation.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rapidly growing and profitable omnichannel strategy that leverages our strong BOPIS and shipping fulfillment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customer loyalty, with opportunities to increase penetration in existing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focus in the southern United States with a strong and growing presence in six of the top 10 fastest-growing MSAs.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customers comprising active families that we support with one-stop shop convenience.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whitespace opportunity for both in-fill and adjacent geographies and new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94"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0" w:firstLine="360"/>
        <w:spacing w:after="0" w:line="253" w:lineRule="auto"/>
        <w:rPr>
          <w:sz w:val="20"/>
          <w:szCs w:val="20"/>
          <w:color w:val="auto"/>
        </w:rPr>
      </w:pPr>
      <w:r>
        <w:rPr>
          <w:rFonts w:ascii="Times New Roman" w:cs="Times New Roman" w:eastAsia="Times New Roman" w:hAnsi="Times New Roman"/>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-1373505</wp:posOffset>
            </wp:positionV>
            <wp:extent cx="1937385" cy="25203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201" w:lineRule="exact"/>
        <w:rPr>
          <w:sz w:val="20"/>
          <w:szCs w:val="20"/>
          <w:color w:val="auto"/>
        </w:rPr>
      </w:pPr>
    </w:p>
    <w:p>
      <w:pPr>
        <w:ind w:left="120" w:right="4560" w:firstLine="360"/>
        <w:spacing w:after="0" w:line="258"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emerging, profitable e-commerce platform that leverages our strong BOPIS and shipping fulfillment capabilities has achieved year-over-year sales growth of 8% and 284% during 2019 and the first half 2020, respectively. Our e-commerce sales represented 5% and 11% of our merchandise sales in 2019 and the first half 2020, respectively. We are deepening our customer relationships, further integrating our e-commerce platform with our stores and driving operating efficiencies by developing our omnichannel capabilities. Our BOPIS program, launched in 2019, accounted for approximately</w:t>
      </w:r>
    </w:p>
    <w:p>
      <w:pPr>
        <w:spacing w:after="0" w:line="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24% and 50% of our e-commerce sales during 2019 and the first half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our communities by supporting events, programs and organizations that help make a positive impact, including the sponsorship of over</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finished the twelve months ended August 1, 2020 with approximately $5.3 billion in sales, $204 million of net income and $449 million in Adjusted EBITDA. Although comparable sales have been negative for the past three fiscal years, we have seen four consecutive quarters of positive comparable sales as of second quarter 2020. In addition, second quarter 2020 reflected our fourth consecutive quarter of Adjusted EBITDA growth and our fifth consecutive quarter of Adjusted Free Cash Flow growth. We earned net income of $21 million, $120 million and $204 million and Pro Forma Adjusted Net Income of $41 million, $76 million and $178 million in 2018, 2019 and the twelve months ended August 1, 2020, respectively, which included $158 million of net income and $135 million of Pro Forma Adjusted Net Income for first half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11" w:lineRule="exact"/>
        <w:rPr>
          <w:sz w:val="20"/>
          <w:szCs w:val="20"/>
          <w:color w:val="auto"/>
        </w:rPr>
      </w:pPr>
    </w:p>
    <w:p>
      <w:pPr>
        <w:ind w:left="1240"/>
        <w:spacing w:after="0"/>
        <w:tabs>
          <w:tab w:leader="none" w:pos="5100" w:val="left"/>
          <w:tab w:leader="none" w:pos="8620" w:val="left"/>
        </w:tabs>
        <w:rPr>
          <w:sz w:val="20"/>
          <w:szCs w:val="20"/>
          <w:color w:val="auto"/>
        </w:rPr>
      </w:pPr>
      <w:r>
        <w:rPr>
          <w:rFonts w:ascii="Times New Roman" w:cs="Times New Roman" w:eastAsia="Times New Roman" w:hAnsi="Times New Roman"/>
          <w:sz w:val="14"/>
          <w:szCs w:val="14"/>
          <w:color w:val="auto"/>
        </w:rPr>
        <w:t>Net Sales ($ in millions)</w:t>
      </w:r>
      <w:r>
        <w:rPr>
          <w:sz w:val="20"/>
          <w:szCs w:val="20"/>
          <w:color w:val="auto"/>
        </w:rPr>
        <w:tab/>
      </w:r>
      <w:r>
        <w:rPr>
          <w:rFonts w:ascii="Times New Roman" w:cs="Times New Roman" w:eastAsia="Times New Roman" w:hAnsi="Times New Roman"/>
          <w:sz w:val="14"/>
          <w:szCs w:val="14"/>
          <w:color w:val="auto"/>
        </w:rPr>
        <w:t>Adj. EBITDA ($ in millions)</w:t>
      </w:r>
      <w:r>
        <w:rPr>
          <w:sz w:val="20"/>
          <w:szCs w:val="20"/>
          <w:color w:val="auto"/>
        </w:rPr>
        <w:tab/>
      </w:r>
      <w:r>
        <w:rPr>
          <w:rFonts w:ascii="Times New Roman" w:cs="Times New Roman" w:eastAsia="Times New Roman" w:hAnsi="Times New Roman"/>
          <w:sz w:val="14"/>
          <w:szCs w:val="14"/>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74930</wp:posOffset>
            </wp:positionV>
            <wp:extent cx="6326505" cy="8229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265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Performance Improvement Initiatives</w:t>
      </w:r>
    </w:p>
    <w:p>
      <w:pPr>
        <w:spacing w:after="0" w:line="121"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on several key performance improvement initiatives that drove positive comparable sales and Adjusted EBITDA growth in the last four consecutive quarters ended August 1, 2020, and created a foundation for our future growth. These key initiatives include:</w:t>
      </w:r>
    </w:p>
    <w:p>
      <w:pPr>
        <w:spacing w:after="0" w:line="79" w:lineRule="exact"/>
        <w:rPr>
          <w:sz w:val="20"/>
          <w:szCs w:val="20"/>
          <w:color w:val="auto"/>
        </w:rPr>
      </w:pPr>
    </w:p>
    <w:p>
      <w:pPr>
        <w:ind w:left="1080" w:right="80" w:hanging="424"/>
        <w:spacing w:after="0" w:line="25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Strengthened leadership team </w:t>
      </w:r>
      <w:r>
        <w:rPr>
          <w:rFonts w:ascii="Times New Roman" w:cs="Times New Roman" w:eastAsia="Times New Roman" w:hAnsi="Times New Roman"/>
          <w:sz w:val="18"/>
          <w:szCs w:val="18"/>
          <w:color w:val="auto"/>
        </w:rPr>
        <w:t>– Our leadership team comprises nine highly experienced and proven individuals, six of whom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8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Build omnichannel </w:t>
      </w:r>
      <w:r>
        <w:rPr>
          <w:rFonts w:ascii="Times New Roman" w:cs="Times New Roman" w:eastAsia="Times New Roman" w:hAnsi="Times New Roman"/>
          <w:sz w:val="18"/>
          <w:szCs w:val="18"/>
          <w:color w:val="auto"/>
        </w:rPr>
        <w:t>– After investing approximately $50 million over the last three years in our omnichannel capabilities,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85" w:lineRule="exact"/>
        <w:rPr>
          <w:rFonts w:ascii="Times New Roman" w:cs="Times New Roman" w:eastAsia="Times New Roman" w:hAnsi="Times New Roman"/>
          <w:sz w:val="18"/>
          <w:szCs w:val="18"/>
          <w:color w:val="auto"/>
        </w:rPr>
      </w:pPr>
    </w:p>
    <w:p>
      <w:pPr>
        <w:ind w:left="1080" w:right="60" w:hanging="424"/>
        <w:spacing w:after="0" w:line="267"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Localized merchandising </w:t>
      </w:r>
      <w:r>
        <w:rPr>
          <w:rFonts w:ascii="Times New Roman" w:cs="Times New Roman" w:eastAsia="Times New Roman" w:hAnsi="Times New Roman"/>
          <w:sz w:val="18"/>
          <w:szCs w:val="18"/>
          <w:color w:val="auto"/>
        </w:rPr>
        <w:t>– Since 2018, we improved the localization of our assortment across selected inventory offerings.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80" w:right="34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Category focus </w:t>
      </w:r>
      <w:r>
        <w:rPr>
          <w:rFonts w:ascii="Times New Roman" w:cs="Times New Roman" w:eastAsia="Times New Roman" w:hAnsi="Times New Roman"/>
          <w:sz w:val="18"/>
          <w:szCs w:val="18"/>
          <w:color w:val="auto"/>
        </w:rPr>
        <w:t>– In 2019, we improved and focused our assortments in priority product categories, such as team sports, fishing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78"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store optimization </w:t>
      </w:r>
      <w:r>
        <w:rPr>
          <w:rFonts w:ascii="Times New Roman" w:cs="Times New Roman" w:eastAsia="Times New Roman" w:hAnsi="Times New Roman"/>
          <w:sz w:val="18"/>
          <w:szCs w:val="18"/>
          <w:color w:val="auto"/>
        </w:rPr>
        <w:t>– We leverage technology to enable our store team members to better manage, prioritize and reduce tasks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 them more time to engage in customer service, thereby increasing our productivity and sales conversion.</w:t>
      </w:r>
    </w:p>
    <w:p>
      <w:pPr>
        <w:spacing w:after="0" w:line="63" w:lineRule="exact"/>
        <w:rPr>
          <w:rFonts w:ascii="Times New Roman" w:cs="Times New Roman" w:eastAsia="Times New Roman" w:hAnsi="Times New Roman"/>
          <w:sz w:val="18"/>
          <w:szCs w:val="18"/>
          <w:color w:val="auto"/>
        </w:rPr>
      </w:pPr>
    </w:p>
    <w:p>
      <w:pPr>
        <w:ind w:left="1080" w:right="24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marketing program </w:t>
      </w:r>
      <w:r>
        <w:rPr>
          <w:rFonts w:ascii="Times New Roman" w:cs="Times New Roman" w:eastAsia="Times New Roman" w:hAnsi="Times New Roman"/>
          <w:sz w:val="18"/>
          <w:szCs w:val="18"/>
          <w:color w:val="auto"/>
        </w:rPr>
        <w:t>– During the last two years, we shifted our primary marketing focus from print to digital marketing.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website also supports our stores with digital marketing and our BOPIS program. Each of these initiatives has given us a closer connection with our customers.</w:t>
      </w:r>
    </w:p>
    <w:p>
      <w:pPr>
        <w:spacing w:after="0" w:line="78" w:lineRule="exact"/>
        <w:rPr>
          <w:rFonts w:ascii="Times New Roman" w:cs="Times New Roman" w:eastAsia="Times New Roman" w:hAnsi="Times New Roman"/>
          <w:sz w:val="18"/>
          <w:szCs w:val="18"/>
          <w:color w:val="auto"/>
        </w:rPr>
      </w:pPr>
    </w:p>
    <w:p>
      <w:pPr>
        <w:ind w:left="1080" w:right="200" w:hanging="424"/>
        <w:spacing w:after="0" w:line="267"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 loyalty program </w:t>
      </w:r>
      <w:r>
        <w:rPr>
          <w:rFonts w:ascii="Times New Roman" w:cs="Times New Roman" w:eastAsia="Times New Roman" w:hAnsi="Times New Roman"/>
          <w:sz w:val="18"/>
          <w:szCs w:val="18"/>
          <w:color w:val="auto"/>
        </w:rPr>
        <w:t>– We launched the Academy Credit Card program in May 2019, which constituted approximately 4%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7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Programmatic inventory management </w:t>
      </w:r>
      <w:r>
        <w:rPr>
          <w:rFonts w:ascii="Times New Roman" w:cs="Times New Roman" w:eastAsia="Times New Roman" w:hAnsi="Times New Roman"/>
          <w:sz w:val="18"/>
          <w:szCs w:val="18"/>
          <w:color w:val="auto"/>
        </w:rPr>
        <w:t>– We implemented a new disciplined price markdown strategy that has improved our margins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3.36x for the twelve months ended August 1, 2020.</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small box format </w:t>
      </w:r>
      <w:r>
        <w:rPr>
          <w:rFonts w:ascii="Times New Roman" w:cs="Times New Roman" w:eastAsia="Times New Roman" w:hAnsi="Times New Roman"/>
          <w:sz w:val="18"/>
          <w:szCs w:val="18"/>
          <w:color w:val="auto"/>
        </w:rPr>
        <w:t>– We opened our first small format store (approximately 40,000 square feet) in Dallas, Texas in 2019.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retail business is highly competitive based on many variables including price, product assortment, customer service, omnichannel experience and store locations.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retail sporting goods and outdoor recreation retail industry comprises six principal categories of retailers:</w:t>
      </w:r>
    </w:p>
    <w:p>
      <w:pPr>
        <w:spacing w:after="0" w:line="129" w:lineRule="exact"/>
        <w:rPr>
          <w:sz w:val="20"/>
          <w:szCs w:val="20"/>
          <w:color w:val="auto"/>
        </w:rPr>
      </w:pPr>
    </w:p>
    <w:p>
      <w:pPr>
        <w:ind w:left="1080" w:right="6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general merchants </w:t>
      </w:r>
      <w:r>
        <w:rPr>
          <w:rFonts w:ascii="Times New Roman" w:cs="Times New Roman" w:eastAsia="Times New Roman" w:hAnsi="Times New Roman"/>
          <w:sz w:val="18"/>
          <w:szCs w:val="18"/>
          <w:color w:val="auto"/>
        </w:rPr>
        <w:t>(examples: Walmart, Kohl’s and Target) generally range in size from 50,000 to over 200,000 square feet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7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Large format sporting goods stores </w:t>
      </w:r>
      <w:r>
        <w:rPr>
          <w:rFonts w:ascii="Times New Roman" w:cs="Times New Roman" w:eastAsia="Times New Roman" w:hAnsi="Times New Roman"/>
          <w:sz w:val="18"/>
          <w:szCs w:val="18"/>
          <w:color w:val="auto"/>
        </w:rPr>
        <w:t>(examples: Dick’s Sporting Goods and Scheels) generally range in size from 20,000 to over 100,000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offer a broad selection of sporting goods and outdoor recreation merchandise.</w:t>
      </w:r>
    </w:p>
    <w:p>
      <w:pPr>
        <w:spacing w:after="0" w:line="63"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Traditional sporting goods stores </w:t>
      </w:r>
      <w:r>
        <w:rPr>
          <w:rFonts w:ascii="Times New Roman" w:cs="Times New Roman" w:eastAsia="Times New Roman" w:hAnsi="Times New Roman"/>
          <w:sz w:val="18"/>
          <w:szCs w:val="18"/>
          <w:color w:val="auto"/>
        </w:rPr>
        <w:t>(examples: Hibbett Sports and Big 5 Sporting Goods) generally range in size from 5,000 to 20,000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feet and are frequently located in regional malls and shopping centers and typically carry a varied assortment of primarily sporting goods merchandise.</w:t>
      </w:r>
    </w:p>
    <w:p>
      <w:pPr>
        <w:spacing w:after="0" w:line="78"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outdoor retailers </w:t>
      </w:r>
      <w:r>
        <w:rPr>
          <w:rFonts w:ascii="Times New Roman" w:cs="Times New Roman" w:eastAsia="Times New Roman" w:hAnsi="Times New Roman"/>
          <w:sz w:val="18"/>
          <w:szCs w:val="18"/>
          <w:color w:val="auto"/>
        </w:rPr>
        <w:t>(examples: Bass Pro Shop/Cabela’s and Sportsman’s Warehouse) generally range in size from 7,500 to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 square feet and typically focus on specific categories such as outdoor recreation.</w:t>
      </w:r>
    </w:p>
    <w:p>
      <w:pPr>
        <w:spacing w:after="0" w:line="63"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Specialty footwear retailers </w:t>
      </w:r>
      <w:r>
        <w:rPr>
          <w:rFonts w:ascii="Times New Roman" w:cs="Times New Roman" w:eastAsia="Times New Roman" w:hAnsi="Times New Roman"/>
          <w:sz w:val="18"/>
          <w:szCs w:val="18"/>
          <w:color w:val="auto"/>
        </w:rPr>
        <w:t>(examples: Foot Locker, Boot Barn and The Finish Line) generally range in size from 2,000 to 20,000 square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feet and typically focus on specific categories such as athletic footwear.</w:t>
      </w:r>
    </w:p>
    <w:p>
      <w:pPr>
        <w:spacing w:after="0" w:line="63" w:lineRule="exact"/>
        <w:rPr>
          <w:rFonts w:ascii="Times New Roman" w:cs="Times New Roman" w:eastAsia="Times New Roman" w:hAnsi="Times New Roman"/>
          <w:sz w:val="18"/>
          <w:szCs w:val="18"/>
          <w:color w:val="auto"/>
        </w:rPr>
      </w:pPr>
    </w:p>
    <w:p>
      <w:pPr>
        <w:ind w:left="1080" w:right="420" w:hanging="424"/>
        <w:spacing w:after="0" w:line="267"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Catalogue &amp; Internet retailers </w:t>
      </w:r>
      <w:r>
        <w:rPr>
          <w:rFonts w:ascii="Times New Roman" w:cs="Times New Roman" w:eastAsia="Times New Roman" w:hAnsi="Times New Roman"/>
          <w:sz w:val="18"/>
          <w:szCs w:val="18"/>
          <w:color w:val="auto"/>
        </w:rPr>
        <w:t>(examples: Amazon and eBay) do not typically operate brick and mortar stores and primarily rely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goods. Sporting goods merchandise and apparel and outdoor recreation products may represent a small portion of the total merchandise on their websites.</w:t>
      </w:r>
    </w:p>
    <w:p>
      <w:pPr>
        <w:spacing w:after="0" w:line="17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6" w:lineRule="auto"/>
        <w:rPr>
          <w:sz w:val="20"/>
          <w:szCs w:val="20"/>
          <w:color w:val="auto"/>
        </w:rPr>
      </w:pPr>
      <w:r>
        <w:rPr>
          <w:rFonts w:ascii="Times New Roman" w:cs="Times New Roman" w:eastAsia="Times New Roman" w:hAnsi="Times New Roman"/>
          <w:sz w:val="18"/>
          <w:szCs w:val="18"/>
          <w:color w:val="auto"/>
        </w:rPr>
        <w:t>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attribute our success to the following competitive strengths: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Regional leader in growing industry</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Broad assortment and compelling value proposition across the spectrum</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mix of industry-leading national brands and owned brands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in-store experience</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considerable expertise in identifying, stocking and selling a relevant assortment to meet the local needs and demands.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Times New Roman" w:cs="Times New Roman" w:eastAsia="Times New Roman" w:hAnsi="Times New Roman"/>
          <w:sz w:val="18"/>
          <w:szCs w:val="18"/>
          <w:i w:val="1"/>
          <w:iCs w:val="1"/>
          <w:color w:val="auto"/>
        </w:rPr>
        <w:t xml:space="preserve">Enthusiasts </w:t>
      </w:r>
      <w:r>
        <w:rPr>
          <w:rFonts w:ascii="Times New Roman" w:cs="Times New Roman" w:eastAsia="Times New Roman" w:hAnsi="Times New Roman"/>
          <w:sz w:val="18"/>
          <w:szCs w:val="18"/>
          <w:color w:val="auto"/>
        </w:rPr>
        <w:t>–passionate local experts who are specially recruited and trained for category-specific positions. Our</w:t>
      </w:r>
      <w:r>
        <w:rPr>
          <w:rFonts w:ascii="Times New Roman" w:cs="Times New Roman" w:eastAsia="Times New Roman" w:hAnsi="Times New Roman"/>
          <w:sz w:val="18"/>
          <w:szCs w:val="18"/>
          <w:i w:val="1"/>
          <w:iCs w:val="1"/>
          <w:color w:val="auto"/>
        </w:rPr>
        <w:t xml:space="preserve"> Enthusiasts </w:t>
      </w:r>
      <w:r>
        <w:rPr>
          <w:rFonts w:ascii="Times New Roman" w:cs="Times New Roman" w:eastAsia="Times New Roman" w:hAnsi="Times New Roman"/>
          <w:sz w:val="18"/>
          <w:szCs w:val="18"/>
          <w:color w:val="auto"/>
        </w:rPr>
        <w:t>use the products they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Times New Roman" w:cs="Times New Roman" w:eastAsia="Times New Roman" w:hAnsi="Times New Roman"/>
          <w:sz w:val="18"/>
          <w:szCs w:val="18"/>
          <w:i w:val="1"/>
          <w:iCs w:val="1"/>
          <w:color w:val="auto"/>
        </w:rPr>
        <w:t>Enthusiasts</w:t>
      </w:r>
      <w:r>
        <w:rPr>
          <w:rFonts w:ascii="Times New Roman" w:cs="Times New Roman" w:eastAsia="Times New Roman" w:hAnsi="Times New Roman"/>
          <w:sz w:val="18"/>
          <w:szCs w:val="18"/>
          <w:color w:val="auto"/>
        </w:rPr>
        <w:t xml:space="preserve"> to share experiences and obtain further advice and assistance.</w:t>
      </w:r>
    </w:p>
    <w:p>
      <w:pPr>
        <w:spacing w:after="0" w:line="2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173990</wp:posOffset>
            </wp:positionV>
            <wp:extent cx="1337310" cy="8915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731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loyal customer base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and passionate senior management team with a proven track record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four consecutive quarters of positive comparable sales as of second quarter 2020, Adjusted EBITDA growth to $323 million in 2019, or 8%, compared to 2018, and Adjusted Free Cash Flow growth of $99 million in 2018 to $197 million in 2019.</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and adaptive financial performance through economic cycles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consistently demonstrated steady revenue growth, expanded profit margins and disciplined capital expenditures. We generated</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1.2x as of end of second quarter 2020 compared to 5.2x as of end of both 2017 and 2018 and 4.1x as of end of 2019.</w:t>
      </w:r>
    </w:p>
    <w:p>
      <w:pPr>
        <w:spacing w:after="0" w:line="18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 proven store model that has generated strong Adjusted Free Cash Flow, store-level profitability and return on invested capital. All of our 211 mature stores (stores opened longer than four years) were profitable on a four-wall basis for the twelve months ended August 1, 2020 and our new stores have average payback periods of four to five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focused on the following four growth drivers: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technology and content to drive our omnichannel strategy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e-commerce sales represented 5% and 11% of our merchandise sales for 2019 and for the first half 2020, respectively. E-commerce sales increased 406% from the prior quarter in first quarter 2020 and 210% from the prior quarter in second quarter 2020.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first half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expect to launch our ship-to-store capabilities in third quarter 2020, which will continue to give our customers more options on how to shop Academy.</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customer engagement and increase retention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we possess a significant amount of high quality customer data, which we can leverage to enhance customer engagement and retention and drive purchase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Enhance operational excellence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 party programs to analyze our inventory stock throughout the year at every location. This implementation has allowed us to improve our inventory management in stores, increasing the average inventory turns from 2.68x in 2017 to 3.36x for the twelve months ended August 1, 2020, and has helped us to identify and exit certain product categories, such as luggage and toys.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Capitalize on substantial whitespace and in-fill opportunities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the end of first half 2020, we had 211 mature stores, and all were profitable on a four-wall basis for the twelve months ended August 1, 2020. We expect to open eight to 10 new stores per year starting in 2022, which is similar to our growth rates from 2018 to 2019.</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In-fill market opportunity</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Adjacent market opportunity</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Greenfield opportunity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3351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1480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5" w:right="5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Merchandising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3"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carry a wide variety of national brand products such as Nike, Carhartt, adidas, Columbia Sportswear, North Face, Winchester, Brooks, Rawlings, Remington, Skechers, Under Armour and many more.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we generally organized our merchandise in four divisions made up of eleven categories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08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1"/>
              </w:rPr>
              <w:t>Outdoors</w:t>
            </w:r>
          </w:p>
        </w:tc>
        <w:tc>
          <w:tcPr>
            <w:tcW w:w="2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Camping and cooking</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Outdoor cooking, coolers and drinkware, camping accessories,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camping equipment, sunglasses, backpacks and sports bags</w:t>
            </w:r>
          </w:p>
        </w:tc>
      </w:tr>
      <w:tr>
        <w:trPr>
          <w:trHeight w:val="283"/>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Fishing</w:t>
            </w:r>
          </w:p>
        </w:tc>
        <w:tc>
          <w:tcPr>
            <w:tcW w:w="50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Marine equipment and fishing rods, reels, baits and equipment</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Shooting sports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Firearms, ammunition, archery and archery equipment, shooting</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accessories, optics, airguns and hunting equipment</w:t>
            </w:r>
          </w:p>
        </w:tc>
      </w:tr>
      <w:tr>
        <w:trPr>
          <w:trHeight w:val="265"/>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Sports and Recreation</w:t>
            </w: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Team sports/fitness</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Baseball, football, basketball, soccer, golf, racket sports, volleyball,</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fitness equipment, fitness accessories and nutrition</w:t>
            </w:r>
          </w:p>
        </w:tc>
      </w:tr>
      <w:tr>
        <w:trPr>
          <w:trHeight w:val="265"/>
        </w:trPr>
        <w:tc>
          <w:tcPr>
            <w:tcW w:w="5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Recreation</w:t>
            </w:r>
          </w:p>
        </w:tc>
        <w:tc>
          <w:tcPr>
            <w:tcW w:w="500" w:type="dxa"/>
            <w:vAlign w:val="bottom"/>
          </w:tcPr>
          <w:p>
            <w:pPr>
              <w:spacing w:after="0"/>
              <w:rPr>
                <w:sz w:val="23"/>
                <w:szCs w:val="23"/>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Patio equipment, wheeled goods (bicycles, skateboards and other</w:t>
            </w:r>
          </w:p>
        </w:tc>
      </w:tr>
      <w:tr>
        <w:trPr>
          <w:trHeight w:val="216"/>
        </w:trPr>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ride-on toys), watersports, pet equipment, electronics and watches,</w:t>
            </w:r>
          </w:p>
        </w:tc>
      </w:tr>
      <w:tr>
        <w:trPr>
          <w:trHeight w:val="234"/>
        </w:trPr>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front-end (consumables, batteries, etc.)</w:t>
            </w:r>
          </w:p>
        </w:tc>
      </w:tr>
      <w:tr>
        <w:trPr>
          <w:trHeight w:val="364"/>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Category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5"/>
                <w:szCs w:val="15"/>
                <w:color w:val="auto"/>
              </w:rPr>
            </w:pPr>
          </w:p>
        </w:tc>
        <w:tc>
          <w:tcPr>
            <w:tcW w:w="49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 xml:space="preserve">Primary product types </w:t>
            </w:r>
            <w:r>
              <w:rPr>
                <w:rFonts w:ascii="Times New Roman" w:cs="Times New Roman" w:eastAsia="Times New Roman" w:hAnsi="Times New Roman"/>
                <w:sz w:val="12"/>
                <w:szCs w:val="12"/>
                <w:b w:val="1"/>
                <w:bCs w:val="1"/>
                <w:color w:val="auto"/>
              </w:rPr>
              <w:t>(1)</w:t>
            </w:r>
          </w:p>
        </w:tc>
      </w:tr>
      <w:tr>
        <w:trPr>
          <w:trHeight w:val="25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Apparel</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Outdoor</w:t>
            </w:r>
          </w:p>
        </w:tc>
        <w:tc>
          <w:tcPr>
            <w:tcW w:w="78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seasonal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Outdoor apparel, seasonal apparel, denim, work apparel, camouflage</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apparel, waders, graphic t-shirts and 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Boys and girls outdoor and athletic apparel</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Sporting apparel, apparel for fitness and exercise and other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accessories</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Licensed</w:t>
            </w:r>
          </w:p>
        </w:tc>
        <w:tc>
          <w:tcPr>
            <w:tcW w:w="78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apparel</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Professional and collegiate team licensed apparel and accessories</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Footwear</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Work,</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casual and</w:t>
            </w:r>
          </w:p>
        </w:tc>
        <w:tc>
          <w:tcPr>
            <w:tcW w:w="7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youth</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Casual shoes and slippers, work and western boots, youth footwear,</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socks and hunting footwear</w:t>
            </w:r>
          </w:p>
        </w:tc>
      </w:tr>
      <w:tr>
        <w:trPr>
          <w:trHeight w:val="265"/>
        </w:trPr>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Athletic</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Running shoes, athletic shoes, sport specific shoes and training</w:t>
            </w:r>
          </w:p>
        </w:tc>
      </w:tr>
      <w:tr>
        <w:trPr>
          <w:trHeight w:val="234"/>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footwear</w:t>
            </w:r>
          </w:p>
        </w:tc>
        <w:tc>
          <w:tcPr>
            <w:tcW w:w="5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40" w:hanging="424"/>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40" w:type="dxa"/>
            <w:vAlign w:val="bottom"/>
            <w:gridSpan w:val="4"/>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Merchandise division sales</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1,522,985</w:t>
            </w: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merchandise sales</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right="300" w:hanging="424"/>
        <w:spacing w:after="0" w:line="257"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the number of stores that we operated by state was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02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Texas</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Tennessee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Oklahoma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5" w:right="49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utilize data obtained from our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August 1, 2020, we employed approximately 21,000 team members.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Use</w:t>
            </w:r>
          </w:p>
        </w:tc>
        <w:tc>
          <w:tcPr>
            <w:tcW w:w="130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3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Katy, Texas</w:t>
            </w:r>
          </w:p>
        </w:tc>
        <w:tc>
          <w:tcPr>
            <w:tcW w:w="1200" w:type="dxa"/>
            <w:vAlign w:val="bottom"/>
          </w:tcPr>
          <w:p>
            <w:pPr>
              <w:spacing w:after="0"/>
              <w:rPr>
                <w:sz w:val="16"/>
                <w:szCs w:val="16"/>
                <w:color w:val="auto"/>
              </w:rPr>
            </w:pPr>
          </w:p>
        </w:tc>
        <w:tc>
          <w:tcPr>
            <w:tcW w:w="22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Corporate Office Building 1</w:t>
            </w:r>
          </w:p>
        </w:tc>
        <w:tc>
          <w:tcPr>
            <w:tcW w:w="2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Corporate Office Building 2</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Bulk Warehouse</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 Texas</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1,400,000</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Twiggs County, Georgia</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Cookeville, Tennessee</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Distribution Center</w:t>
            </w: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Kowloon, Hong Kong</w:t>
            </w:r>
          </w:p>
        </w:tc>
        <w:tc>
          <w:tcPr>
            <w:tcW w:w="3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Global Sourcing Office</w:t>
            </w: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2007.</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20-year lease entered in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Three-year lease entered in 2017.</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67" w:lineRule="exact"/>
        <w:rPr>
          <w:sz w:val="20"/>
          <w:szCs w:val="20"/>
          <w:color w:val="auto"/>
        </w:rPr>
      </w:pPr>
    </w:p>
    <w:p>
      <w:pPr>
        <w:ind w:left="5500" w:right="4900" w:hanging="4844"/>
        <w:spacing w:after="0" w:line="454" w:lineRule="auto"/>
        <w:tabs>
          <w:tab w:leader="none" w:pos="10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product safety, product liability or consumer protection laws; 111</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related to advertising, marketing, pricing and selling our products, including but not limited to firearms, ammunition, and related accessories;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laws, including wage and hour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 or interpretations thereof, including collection of state sales tax on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and privacy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or import and export laws and regulations, including collection of tariffs on product imports;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and competition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and anti-money laundering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 and similar state and local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 design and content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FCPA, UKBA and other anti-corruption 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is scheduled in October 2020 to hear oral arguments relating to our motions for summary judgement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320" w:top="455" w:right="5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Below is a list of our executive officers, directors and director nominees, their respective ages as of September 28, 2020 and a brief account of the business experience of each of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Ken</w:t>
            </w:r>
          </w:p>
        </w:tc>
        <w:tc>
          <w:tcPr>
            <w:tcW w:w="33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 Hicks</w:t>
            </w:r>
          </w:p>
        </w:tc>
        <w:tc>
          <w:tcPr>
            <w:tcW w:w="5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P. Lawrence</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Merchandising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Samuel J. Johnson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Retail Operations</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D. Attaway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Ennis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Manish Maini</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Jamey Traywick Rutherford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Omnichannel</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 G. Casares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Vishal V. Patel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Allen I. Questrom</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 Simon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H. Taylor</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C. Tweedy</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X. Yan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elected to the board upon or before the consummation of this offering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 C. Hicks </w:t>
      </w:r>
      <w:r>
        <w:rPr>
          <w:rFonts w:ascii="Times New Roman" w:cs="Times New Roman" w:eastAsia="Times New Roman" w:hAnsi="Times New Roman"/>
          <w:sz w:val="17"/>
          <w:szCs w:val="17"/>
          <w:color w:val="auto"/>
        </w:rPr>
        <w:t>has served as the Chairman and our President and Chief Executive Officer since May 2018. Mr. Hicks has served as a member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P. Mullican </w:t>
      </w:r>
      <w:r>
        <w:rPr>
          <w:rFonts w:ascii="Times New Roman" w:cs="Times New Roman" w:eastAsia="Times New Roman" w:hAnsi="Times New Roman"/>
          <w:sz w:val="18"/>
          <w:szCs w:val="18"/>
          <w:color w:val="auto"/>
        </w:rPr>
        <w:t>has served as our Executive Vice President and Chief Financial Officer since January 2018. He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(Steve) P. Lawrence </w:t>
      </w:r>
      <w:r>
        <w:rPr>
          <w:rFonts w:ascii="Times New Roman" w:cs="Times New Roman" w:eastAsia="Times New Roman" w:hAnsi="Times New Roman"/>
          <w:sz w:val="17"/>
          <w:szCs w:val="17"/>
          <w:color w:val="auto"/>
        </w:rPr>
        <w:t>has served as our Executive Vice President and Chief Merchandising Officer since joining the Academy Sports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4"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(Sam) J. Johnson </w:t>
      </w:r>
      <w:r>
        <w:rPr>
          <w:rFonts w:ascii="Times New Roman" w:cs="Times New Roman" w:eastAsia="Times New Roman" w:hAnsi="Times New Roman"/>
          <w:sz w:val="18"/>
          <w:szCs w:val="18"/>
          <w:color w:val="auto"/>
        </w:rPr>
        <w:t>has served as our Executive Vice President, Retail Operations since joining the Academy Sports + Outdoors team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79" w:lineRule="exact"/>
        <w:rPr>
          <w:sz w:val="20"/>
          <w:szCs w:val="20"/>
          <w:color w:val="auto"/>
        </w:rPr>
      </w:pPr>
    </w:p>
    <w:p>
      <w:pPr>
        <w:ind w:left="120" w:right="64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Kenneth (Ken) D. Attaway </w:t>
      </w:r>
      <w:r>
        <w:rPr>
          <w:rFonts w:ascii="Times New Roman" w:cs="Times New Roman" w:eastAsia="Times New Roman" w:hAnsi="Times New Roman"/>
          <w:sz w:val="17"/>
          <w:szCs w:val="17"/>
          <w:color w:val="auto"/>
        </w:rPr>
        <w:t>has served as our Executive Vice President, Chief Operating Officer since October 2013, currently overseeing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Distribution and Logistics, Real Estate, Construction, Facilities/Maintenance, Procurement and Enterprise Program Management Office.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Ennis </w:t>
      </w:r>
      <w:r>
        <w:rPr>
          <w:rFonts w:ascii="Times New Roman" w:cs="Times New Roman" w:eastAsia="Times New Roman" w:hAnsi="Times New Roman"/>
          <w:sz w:val="18"/>
          <w:szCs w:val="18"/>
          <w:color w:val="auto"/>
        </w:rPr>
        <w:t>has served as our Senior Vice President, Chief Human Resources Officer since March 2016. Mr. Ennis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Manish Maini </w:t>
      </w:r>
      <w:r>
        <w:rPr>
          <w:rFonts w:ascii="Times New Roman" w:cs="Times New Roman" w:eastAsia="Times New Roman" w:hAnsi="Times New Roman"/>
          <w:sz w:val="18"/>
          <w:szCs w:val="18"/>
          <w:color w:val="auto"/>
        </w:rPr>
        <w:t>has served as our Senior Vice President, Chief Information Officer since joining the Academy Sports + Outdoors team 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7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Jamey Traywick Rutherford </w:t>
      </w:r>
      <w:r>
        <w:rPr>
          <w:rFonts w:ascii="Times New Roman" w:cs="Times New Roman" w:eastAsia="Times New Roman" w:hAnsi="Times New Roman"/>
          <w:sz w:val="18"/>
          <w:szCs w:val="18"/>
          <w:color w:val="auto"/>
        </w:rPr>
        <w:t>has served as our Senior Vice President, Omnichannel since joining the Academy Sports + Outdoors team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82"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Rene G. Casares </w:t>
      </w:r>
      <w:r>
        <w:rPr>
          <w:rFonts w:ascii="Times New Roman" w:cs="Times New Roman" w:eastAsia="Times New Roman" w:hAnsi="Times New Roman"/>
          <w:sz w:val="18"/>
          <w:szCs w:val="18"/>
          <w:color w:val="auto"/>
        </w:rPr>
        <w:t>has served as our Senior Vice President, General Counsel and Secretary since March 2018. He joined the company in July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Director, Associate General Counsel and served as Vice President,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T. Marley </w:t>
      </w:r>
      <w:r>
        <w:rPr>
          <w:rFonts w:ascii="Times New Roman" w:cs="Times New Roman" w:eastAsia="Times New Roman" w:hAnsi="Times New Roman"/>
          <w:sz w:val="18"/>
          <w:szCs w:val="18"/>
          <w:color w:val="auto"/>
        </w:rPr>
        <w:t>has served as a member of the board of managers of New Academy Holding Company, LLC since January 2018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8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Vishal V. Patel </w:t>
      </w:r>
      <w:r>
        <w:rPr>
          <w:rFonts w:ascii="Times New Roman" w:cs="Times New Roman" w:eastAsia="Times New Roman" w:hAnsi="Times New Roman"/>
          <w:sz w:val="18"/>
          <w:szCs w:val="18"/>
          <w:color w:val="auto"/>
        </w:rPr>
        <w:t>has served as a member of the board of managers of New Academy Holding Company, LLC since May 2015 and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83"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Allen I. Questrom </w:t>
      </w:r>
      <w:r>
        <w:rPr>
          <w:rFonts w:ascii="Times New Roman" w:cs="Times New Roman" w:eastAsia="Times New Roman" w:hAnsi="Times New Roman"/>
          <w:sz w:val="17"/>
          <w:szCs w:val="17"/>
          <w:color w:val="auto"/>
        </w:rPr>
        <w:t>has been nominated to serve on the board of directors of Academy Sports and Outdoors, Inc. Mr. Questrom has served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 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6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(Bill) S. Simon </w:t>
      </w:r>
      <w:r>
        <w:rPr>
          <w:rFonts w:ascii="Times New Roman" w:cs="Times New Roman" w:eastAsia="Times New Roman" w:hAnsi="Times New Roman"/>
          <w:sz w:val="18"/>
          <w:szCs w:val="18"/>
          <w:color w:val="auto"/>
        </w:rPr>
        <w:t>has served as a member of the board of managers of New Academy Holding Company, LLC since September 2016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Nathaniel (Nate) H. Taylor </w:t>
      </w:r>
      <w:r>
        <w:rPr>
          <w:rFonts w:ascii="Times New Roman" w:cs="Times New Roman" w:eastAsia="Times New Roman" w:hAnsi="Times New Roman"/>
          <w:sz w:val="18"/>
          <w:szCs w:val="18"/>
          <w:color w:val="auto"/>
        </w:rPr>
        <w:t>has served as a member of the board of managers of New Academy Holding Company, LLC since August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C. Tweedy </w:t>
      </w:r>
      <w:r>
        <w:rPr>
          <w:rFonts w:ascii="Times New Roman" w:cs="Times New Roman" w:eastAsia="Times New Roman" w:hAnsi="Times New Roman"/>
          <w:sz w:val="18"/>
          <w:szCs w:val="18"/>
          <w:color w:val="auto"/>
        </w:rPr>
        <w:t>has been nominated to serve on the board of directors of Academy Sports and Outdoors, Inc. Mr. Tweedy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83"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Aileen X. Yan </w:t>
      </w:r>
      <w:r>
        <w:rPr>
          <w:rFonts w:ascii="Times New Roman" w:cs="Times New Roman" w:eastAsia="Times New Roman" w:hAnsi="Times New Roman"/>
          <w:sz w:val="17"/>
          <w:szCs w:val="17"/>
          <w:color w:val="auto"/>
        </w:rPr>
        <w:t>has served as a member of the board of managers of New Academy Holding Company, LLC since November 2019 and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 after this Offering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amended and restated certificate of incorporation will provide for a classified board of directors, with three directors in Class I (expected to be Nathaniel H. Taylor, William S. Simon and Brian T. Marley), two directors in Class II (expected to be Aileen X. Yan and Allen I. Questrom) and three directors in Class III (expected to be Ken C. Hicks, Vishal V. Patel and Jeffrey C. Tweedy). See “Description of Capital Stock.”</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pursuant to the stockholders agreement we expect to enter into in connection with this offering, or the stockholders agreement, KKR Stockholders will have the right to designate nominees to our board of directors subject to the maintenance of certain ownership requirements in us. See “Certain Relationships and Related Party Transactions—Stockholders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After the completion of this offering, KKR Stockholders, who are parties to the stockholders agreement, will continue to beneficially own shares representing more than 50% of the voting power of our shares eligible to vote in the election of directors. As a result, we will be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 For at least some period following this offering, we may utilize one or more of these exemptions since our board of directors has not yet made a determination with respect to the independence of any directors.</w:t>
      </w:r>
    </w:p>
    <w:p>
      <w:pPr>
        <w:spacing w:after="0" w:line="17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the future, we expect that our board of directors will make a determination as to whether other directors, including directors associated with KKR, are independent for purposes of the corporate governance standards described above. Pending such determination, you may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91" w:lineRule="exact"/>
        <w:rPr>
          <w:sz w:val="20"/>
          <w:szCs w:val="20"/>
          <w:color w:val="auto"/>
        </w:rPr>
      </w:pPr>
    </w:p>
    <w:p>
      <w:pPr>
        <w:ind w:left="120" w:right="47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Board Leadership Structure and Our Board of Director’s Role in Risk Oversight </w:t>
      </w:r>
      <w:r>
        <w:rPr>
          <w:rFonts w:ascii="Times New Roman" w:cs="Times New Roman" w:eastAsia="Times New Roman" w:hAnsi="Times New Roman"/>
          <w:sz w:val="18"/>
          <w:szCs w:val="18"/>
          <w:i w:val="1"/>
          <w:iCs w:val="1"/>
          <w:color w:val="auto"/>
        </w:rPr>
        <w:t>Committees of Our Board of Directors</w:t>
      </w: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standing committees of our board of directors will consist of an Audit Committee, a Compensation Committee and a Nominating and Governance Committee. Our board of directors may also establish from time to time any other committees that it deems necessary or desirable.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other executive officers will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 given the controlling interests held by KKR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expect to have an Audit Committee, consisting of Brian T. Marley, who will be serving as the Chair, and Vishal V. Patel and Allen I. Questrom. Mr. Questrom qualifies as an independent director under the corporate governance standards of Nasdaq and the independence requirements of Rule 10A-3 of the Securities Exchange Act of 1934, as amended, or the Exchange Act. Our board of directors has determined that each of Messrs. Marley, Patel and Questrom qualifies as an “audit committee financial expert” as such term is defined in Item 407(d)(5) of Regulation S-K.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Audit Committee will be to prepare the audit committee report required by the SEC to be included in our proxy statement and to assist our board of directors in overseeing:</w:t>
      </w:r>
    </w:p>
    <w:p>
      <w:pPr>
        <w:spacing w:after="0" w:line="67"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financial reporting and disclosure processes;</w:t>
      </w:r>
    </w:p>
    <w:p>
      <w:pPr>
        <w:spacing w:after="0" w:line="130" w:lineRule="exact"/>
        <w:rPr>
          <w:rFonts w:ascii="Times New Roman" w:cs="Times New Roman" w:eastAsia="Times New Roman" w:hAnsi="Times New Roman"/>
          <w:sz w:val="18"/>
          <w:szCs w:val="18"/>
          <w:color w:val="auto"/>
        </w:rPr>
      </w:pPr>
    </w:p>
    <w:p>
      <w:pPr>
        <w:ind w:left="5500" w:right="2920" w:hanging="4952"/>
        <w:spacing w:after="0" w:line="454" w:lineRule="auto"/>
        <w:tabs>
          <w:tab w:leader="none" w:pos="10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and soundness of systems of disclosure and internal control established by management; 118</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 and the annual independent audit of our consolidated financial statements;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registered public accounting firm’s qualifications and independence;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function and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 connection with the foregoing;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Conduct;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risk management profile.</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Audit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we expect to have a Compensation Committee, consisting of William S. Simon, Jeffrey C. Tweedy and Nathaniel H. Taylor, who will serve as the Chair.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6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our compensation program and compensation of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incentive compensation and equity-based compensation plans;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our executive officers, directors and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the compensation rules, regulations and guidelines promulgated by Nasdaq, the SEC and other law, as applicable; and</w:t>
      </w:r>
    </w:p>
    <w:p>
      <w:pPr>
        <w:spacing w:after="0" w:line="142"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to be included in our proxy statement under the rules and regulations of the SEC.</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Compensation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completion of this offering, we expect to have a Nominating and Governance Committee, consisting of Nathaniel H. Taylor, Jeffrey 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Tweedy and Allen I. Questrom, who will serve as the Chair.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131"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our board of directors concerning the appropriate composition of our board of directors and its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persons to be nominated by our board of directors for election as directors at any meeting of stockholders;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our board of directors the members of our board of directors to serve on the various committees of our board of directors;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our board of directors a set of corporate governance guidelines and assist our board of directors in complying with them;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 our board of directors’ committees, and management.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will adopt a written charter for the Nominating and Governance Committee, which will be available on our website upon the completion of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Business Conduct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adopt a new Code of Ethics and Business Conduct that applies to all of our directors, officers and team members, including our chief executive officer and chief financial and accounting officer. Our Code of Ethics and Business Conduct will be available on our website upon the completion of this offering. Our Code of Ethics and Business Conduct is a “code of ethics,” as defined in Item 406(b) of Regulation S-K. We will make any legally required disclosures regarding amendments to, or waivers of, provisions of our code of ethics on our website.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2019 were:</w:t>
      </w:r>
    </w:p>
    <w:p>
      <w:pPr>
        <w:spacing w:after="0" w:line="12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C. Hicks, </w:t>
      </w:r>
      <w:r>
        <w:rPr>
          <w:rFonts w:ascii="Times New Roman" w:cs="Times New Roman" w:eastAsia="Times New Roman" w:hAnsi="Times New Roman"/>
          <w:sz w:val="18"/>
          <w:szCs w:val="18"/>
          <w:i w:val="1"/>
          <w:iCs w:val="1"/>
          <w:color w:val="auto"/>
        </w:rPr>
        <w:t>Chairman, President, and Chief Executive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Michael P. Mullican, </w:t>
      </w:r>
      <w:r>
        <w:rPr>
          <w:rFonts w:ascii="Times New Roman" w:cs="Times New Roman" w:eastAsia="Times New Roman" w:hAnsi="Times New Roman"/>
          <w:sz w:val="18"/>
          <w:szCs w:val="18"/>
          <w:i w:val="1"/>
          <w:iCs w:val="1"/>
          <w:color w:val="auto"/>
        </w:rPr>
        <w:t>Executive Vice President, Chief Financial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Steven (Steve) P. Lawrence, </w:t>
      </w:r>
      <w:r>
        <w:rPr>
          <w:rFonts w:ascii="Times New Roman" w:cs="Times New Roman" w:eastAsia="Times New Roman" w:hAnsi="Times New Roman"/>
          <w:sz w:val="18"/>
          <w:szCs w:val="18"/>
          <w:i w:val="1"/>
          <w:iCs w:val="1"/>
          <w:color w:val="auto"/>
        </w:rPr>
        <w:t>Executive Vice President, Chief Merchandising Officer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Samuel (Sam) J. Johnson, </w:t>
      </w:r>
      <w:r>
        <w:rPr>
          <w:rFonts w:ascii="Times New Roman" w:cs="Times New Roman" w:eastAsia="Times New Roman" w:hAnsi="Times New Roman"/>
          <w:sz w:val="18"/>
          <w:szCs w:val="18"/>
          <w:i w:val="1"/>
          <w:iCs w:val="1"/>
          <w:color w:val="auto"/>
        </w:rPr>
        <w:t>Executive Vice President, Retail Operations;</w:t>
      </w:r>
      <w:r>
        <w:rPr>
          <w:rFonts w:ascii="Times New Roman" w:cs="Times New Roman" w:eastAsia="Times New Roman" w:hAnsi="Times New Roman"/>
          <w:sz w:val="18"/>
          <w:szCs w:val="18"/>
          <w:color w:val="auto"/>
        </w:rPr>
        <w:t xml:space="preser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Kenneth (Ken) D. Attaway, </w:t>
      </w:r>
      <w:r>
        <w:rPr>
          <w:rFonts w:ascii="Times New Roman" w:cs="Times New Roman" w:eastAsia="Times New Roman" w:hAnsi="Times New Roman"/>
          <w:sz w:val="18"/>
          <w:szCs w:val="18"/>
          <w:i w:val="1"/>
          <w:iCs w:val="1"/>
          <w:color w:val="auto"/>
        </w:rPr>
        <w:t>Executive Vice President, Chief Operations Officer</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We Are and 2019 Business Performance Highlights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Highlights from 2019 include:</w:t>
      </w:r>
    </w:p>
    <w:p>
      <w:pPr>
        <w:spacing w:after="0" w:line="131" w:lineRule="exact"/>
        <w:rPr>
          <w:sz w:val="20"/>
          <w:szCs w:val="20"/>
          <w:color w:val="auto"/>
        </w:rPr>
      </w:pPr>
    </w:p>
    <w:p>
      <w:pPr>
        <w:ind w:left="1080" w:right="60" w:hanging="424"/>
        <w:spacing w:after="0" w:line="261"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8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that we served 30 million customers and completed approximately 80 million transactions resulting in strong household penetration in our core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5" w:right="49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rolled out BOPIS to all locations, which accounted for approximately 24% of our e-commerce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8" w:lineRule="exact"/>
        <w:rPr>
          <w:sz w:val="20"/>
          <w:szCs w:val="20"/>
          <w:color w:val="auto"/>
        </w:rPr>
      </w:pPr>
    </w:p>
    <w:p>
      <w:pPr>
        <w:ind w:left="1080" w:right="260" w:hanging="424"/>
        <w:spacing w:after="0" w:line="290" w:lineRule="auto"/>
        <w:tabs>
          <w:tab w:leader="none" w:pos="10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Competitive</w:t>
      </w:r>
      <w:r>
        <w:rPr>
          <w:rFonts w:ascii="Times New Roman" w:cs="Times New Roman" w:eastAsia="Times New Roman" w:hAnsi="Times New Roman"/>
          <w:sz w:val="17"/>
          <w:szCs w:val="17"/>
          <w:color w:val="auto"/>
        </w:rPr>
        <w:t>: Compensation levels and programs for executive officers, including our Named Executive Officers, should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60" w:lineRule="exact"/>
        <w:rPr>
          <w:rFonts w:ascii="Times New Roman" w:cs="Times New Roman" w:eastAsia="Times New Roman" w:hAnsi="Times New Roman"/>
          <w:sz w:val="17"/>
          <w:szCs w:val="17"/>
          <w:color w:val="auto"/>
        </w:rPr>
      </w:pPr>
    </w:p>
    <w:p>
      <w:pPr>
        <w:ind w:left="1080" w:right="40" w:hanging="424"/>
        <w:spacing w:after="0" w:line="258"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w:t>
      </w:r>
      <w:r>
        <w:rPr>
          <w:rFonts w:ascii="Times New Roman" w:cs="Times New Roman" w:eastAsia="Times New Roman" w:hAnsi="Times New Roman"/>
          <w:sz w:val="18"/>
          <w:szCs w:val="18"/>
          <w:color w:val="auto"/>
        </w:rPr>
        <w:t>: We believe in a pay-for-performance compensation philosophy which targets our team members to be paid at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Equityholder Aligned</w:t>
      </w:r>
      <w:r>
        <w:rPr>
          <w:rFonts w:ascii="Times New Roman" w:cs="Times New Roman" w:eastAsia="Times New Roman" w:hAnsi="Times New Roman"/>
          <w:sz w:val="18"/>
          <w:szCs w:val="18"/>
          <w:color w:val="auto"/>
        </w:rPr>
        <w:t>: Incentives should be structured to create a strong alignment between executive officers and equityholders on both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and a long-term basis.</w:t>
      </w:r>
    </w:p>
    <w:p>
      <w:pPr>
        <w:spacing w:after="0" w:line="16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85" w:lineRule="exact"/>
        <w:rPr>
          <w:sz w:val="20"/>
          <w:szCs w:val="20"/>
          <w:color w:val="auto"/>
        </w:rPr>
      </w:pPr>
    </w:p>
    <w:p>
      <w:pPr>
        <w:ind w:left="192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Compensation Mix - CEO</w:t>
      </w:r>
      <w:r>
        <w:rPr>
          <w:sz w:val="20"/>
          <w:szCs w:val="20"/>
          <w:color w:val="auto"/>
        </w:rPr>
        <w:tab/>
      </w:r>
      <w:r>
        <w:rPr>
          <w:rFonts w:ascii="Times New Roman" w:cs="Times New Roman" w:eastAsia="Times New Roman" w:hAnsi="Times New Roman"/>
          <w:sz w:val="17"/>
          <w:szCs w:val="17"/>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1928495" cy="13201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156845</wp:posOffset>
            </wp:positionV>
            <wp:extent cx="1885950" cy="13284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8595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Executive Officer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or the Compensation Committee, of our Board of Managers prior to this offering and our Board of Directors after this offering, or the Board, which is comprised solely of non-employee directors, is responsible for establishing, implementing, and evaluating our executive officer compensation and benefit programs. Following this offering, the same Compensation Committee will be constituted at the level of Academy Sports and Outdoors, Inc.</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discharges the responsibilities of our Board relating to the compensation of our executive officers, including the Named Executive Officers, according to its charter. The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selecting and setting the amount of each compensation element, the Compensation Committee generally considers the following factors:</w:t>
      </w:r>
    </w:p>
    <w:p>
      <w:pPr>
        <w:spacing w:after="0" w:line="131"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against the financial and operational objectives established by the Compensation Committee;</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executive officer’s skills, experience, and qualifications relative to other similarly-situated executive officers at the companies in our compensation peer group;</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role compared to other similarly-situated executive officers at the companies in our compensation peer group;</w:t>
      </w:r>
    </w:p>
    <w:p>
      <w:pPr>
        <w:spacing w:after="0" w:line="130" w:lineRule="exact"/>
        <w:rPr>
          <w:rFonts w:ascii="Times New Roman" w:cs="Times New Roman" w:eastAsia="Times New Roman" w:hAnsi="Times New Roman"/>
          <w:sz w:val="18"/>
          <w:szCs w:val="18"/>
          <w:color w:val="auto"/>
        </w:rPr>
      </w:pPr>
    </w:p>
    <w:p>
      <w:pPr>
        <w:ind w:left="540" w:right="44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equality among our executive officers, including the Named Executive Officers (other than our Chief Executive Officer);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relative to our compensation peer group; and</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practices of our compensation peer group and how each executive officer’s target compensation compares to a ranking of similar positions in our compensation peer group.</w:t>
      </w:r>
    </w:p>
    <w:p>
      <w:pPr>
        <w:spacing w:after="0" w:line="162"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Historically, the Compensation Committee has recommended equity awards for each Named Executive Officer, and such awards are then granted by the Board (or its Executive Committee). Following this offering, all equity awards will be granted by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68"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These factors provide the framework for compensation decision-making and final decisions regarding the compensation opportunity for each executive officer. No single factor is determinative in setting pay levels, nor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Management Team for Compensation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Prior to this offering, the Compensation Committee has not retained its own compensation consultant but we anticipate that the Compensation Committee will engage its own independent compensation consultant either in connection with or following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compensation benchmarking peer group and approach that is used to develop competitive market data references.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base salary levels, annual cash bonus opportunities, long-term incentive compensation opportunities, and perquisites of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an assessment of executive compensation trends within our industry.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comparing our executive compensation against the competitive market, the Compensation Committee reviews and considers the compensation levels and practices of a group of comparable retail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5" w:right="439" w:bottom="1440" w:gutter="0" w:footer="0" w:header="0"/>
        </w:sectPr>
      </w:pPr>
    </w:p>
    <w:p>
      <w:pPr>
        <w:spacing w:after="0" w:line="8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Advance Auto Parts,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Ascena Retail Group,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AutoZone,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Burlington Stores,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Caleres,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Carter’s,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Dick’s Sporting Goods, Inc.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DSW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GameStop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Michaels Companies,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Williams-Sonoma, Inc.</w:t>
      </w:r>
    </w:p>
    <w:p>
      <w:pPr>
        <w:spacing w:after="0" w:line="200" w:lineRule="exact"/>
        <w:rPr>
          <w:sz w:val="20"/>
          <w:szCs w:val="20"/>
          <w:color w:val="auto"/>
        </w:rPr>
      </w:pPr>
    </w:p>
    <w:p>
      <w:pPr>
        <w:sectPr>
          <w:pgSz w:w="11900" w:h="16838" w:orient="portrait"/>
          <w:cols w:equalWidth="0" w:num="2">
            <w:col w:w="5240" w:space="720"/>
            <w:col w:w="5180"/>
          </w:cols>
          <w:pgMar w:left="320" w:top="455" w:right="439" w:bottom="1440" w:gutter="0" w:footer="0" w:header="0"/>
          <w:type w:val="continuous"/>
        </w:sectPr>
      </w:pP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revenue size – 0.4x to 2.5x our last four fiscal quarters’ revenue as of the third quarter of 2018;</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primarily in the retail business;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business model and/or product.</w:t>
      </w:r>
    </w:p>
    <w:p>
      <w:pPr>
        <w:spacing w:after="0" w:line="22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Compensation Committee, with the input of data and analysis from Meridian, approved the same compensation peer group for 2020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Considerations in Setting 2019 Compensation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 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type w:val="continuous"/>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5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Use of Market Data</w:t>
      </w:r>
      <w:r>
        <w:rPr>
          <w:rFonts w:ascii="Times New Roman" w:cs="Times New Roman" w:eastAsia="Times New Roman" w:hAnsi="Times New Roman"/>
          <w:sz w:val="18"/>
          <w:szCs w:val="18"/>
          <w:color w:val="auto"/>
        </w:rPr>
        <w:t>. We establish target compensation levels that are consistent with market practice and internal equity considerations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Emphasis on Performance</w:t>
      </w:r>
      <w:r>
        <w:rPr>
          <w:rFonts w:ascii="Times New Roman" w:cs="Times New Roman" w:eastAsia="Times New Roman" w:hAnsi="Times New Roman"/>
          <w:sz w:val="18"/>
          <w:szCs w:val="18"/>
          <w:color w:val="auto"/>
        </w:rPr>
        <w:t>. Our compensation program provides increased pay opportunity correlated with superior performance over the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7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Importance of Company Results</w:t>
      </w:r>
      <w:r>
        <w:rPr>
          <w:rFonts w:ascii="Times New Roman" w:cs="Times New Roman" w:eastAsia="Times New Roman" w:hAnsi="Times New Roman"/>
          <w:sz w:val="18"/>
          <w:szCs w:val="18"/>
          <w:color w:val="auto"/>
        </w:rPr>
        <w:t>. In determining the amount of cash bonus for each Named Executive Officer, we may consider performance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8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the Compensation Committee will continue to adhere to the compensation philosophy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Compensation Policies and Practices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Either during 2019 or in connection with or following this offering where noted, we either adopted or maintained the following executive officer compensation policies and practices, which include policies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practices that we have implemented to drive performance as well as policies and practices that either prohibit or minimize behaviors that we do not believe serve our equityholders’ long-term interests:</w:t>
      </w:r>
    </w:p>
    <w:p>
      <w:pPr>
        <w:spacing w:after="0" w:line="65"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Compensation Committee</w:t>
      </w:r>
      <w:r>
        <w:rPr>
          <w:rFonts w:ascii="Times New Roman" w:cs="Times New Roman" w:eastAsia="Times New Roman" w:hAnsi="Times New Roman"/>
          <w:sz w:val="18"/>
          <w:szCs w:val="18"/>
          <w:color w:val="auto"/>
        </w:rPr>
        <w:t>. The Compensation Committee is comprised solely of nonemployee directors.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Committee Advisor</w:t>
      </w:r>
      <w:r>
        <w:rPr>
          <w:rFonts w:ascii="Times New Roman" w:cs="Times New Roman" w:eastAsia="Times New Roman" w:hAnsi="Times New Roman"/>
          <w:sz w:val="18"/>
          <w:szCs w:val="18"/>
          <w:color w:val="auto"/>
        </w:rPr>
        <w:t>. We anticipate that the Compensation Committee will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either in connection with or following this offering. The Company currently retains Meridian as an advisor on executive pay related items.</w:t>
      </w:r>
    </w:p>
    <w:p>
      <w:pPr>
        <w:spacing w:after="0" w:line="7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Executive Officer Compensation Review</w:t>
      </w:r>
      <w:r>
        <w:rPr>
          <w:rFonts w:ascii="Times New Roman" w:cs="Times New Roman" w:eastAsia="Times New Roman" w:hAnsi="Times New Roman"/>
          <w:sz w:val="18"/>
          <w:szCs w:val="18"/>
          <w:color w:val="auto"/>
        </w:rPr>
        <w:t>. The Compensation Committee conducted an annual review and approval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88" w:lineRule="exact"/>
        <w:rPr>
          <w:rFonts w:ascii="Times New Roman" w:cs="Times New Roman" w:eastAsia="Times New Roman" w:hAnsi="Times New Roman"/>
          <w:sz w:val="18"/>
          <w:szCs w:val="18"/>
          <w:color w:val="auto"/>
        </w:rPr>
      </w:pPr>
    </w:p>
    <w:p>
      <w:pPr>
        <w:ind w:left="1080" w:right="300" w:hanging="424"/>
        <w:spacing w:after="0" w:line="267"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Officer Compensation Practices</w:t>
      </w:r>
      <w:r>
        <w:rPr>
          <w:rFonts w:ascii="Times New Roman" w:cs="Times New Roman" w:eastAsia="Times New Roman" w:hAnsi="Times New Roman"/>
          <w:sz w:val="18"/>
          <w:szCs w:val="18"/>
          <w:color w:val="auto"/>
        </w:rPr>
        <w:t>. Our compensation philosophy and related corporate governance policies and practices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complemented by several specific compensation practices that are designed to align our executive officer compensation with long-term equityholder interests, including the following:</w:t>
      </w:r>
    </w:p>
    <w:p>
      <w:pPr>
        <w:spacing w:after="0" w:line="78" w:lineRule="exact"/>
        <w:rPr>
          <w:rFonts w:ascii="Times New Roman" w:cs="Times New Roman" w:eastAsia="Times New Roman" w:hAnsi="Times New Roman"/>
          <w:sz w:val="18"/>
          <w:szCs w:val="18"/>
          <w:color w:val="auto"/>
        </w:rPr>
      </w:pPr>
    </w:p>
    <w:p>
      <w:pPr>
        <w:ind w:left="1540" w:right="280" w:hanging="331"/>
        <w:spacing w:after="0" w:line="284"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 Review</w:t>
      </w:r>
      <w:r>
        <w:rPr>
          <w:rFonts w:ascii="Times New Roman" w:cs="Times New Roman" w:eastAsia="Times New Roman" w:hAnsi="Times New Roman"/>
          <w:sz w:val="18"/>
          <w:szCs w:val="18"/>
          <w:color w:val="auto"/>
        </w:rPr>
        <w:t>. The Compensation Committee engages in an annual performance review of each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based on our corporate results and individual performance.</w:t>
      </w:r>
    </w:p>
    <w:p>
      <w:pPr>
        <w:spacing w:after="0" w:line="63" w:lineRule="exact"/>
        <w:rPr>
          <w:rFonts w:ascii="Times New Roman" w:cs="Times New Roman" w:eastAsia="Times New Roman" w:hAnsi="Times New Roman"/>
          <w:sz w:val="18"/>
          <w:szCs w:val="18"/>
          <w:color w:val="auto"/>
        </w:rPr>
      </w:pPr>
    </w:p>
    <w:p>
      <w:pPr>
        <w:ind w:left="1540" w:hanging="331"/>
        <w:spacing w:after="0" w:line="267"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At Risk</w:t>
      </w:r>
      <w:r>
        <w:rPr>
          <w:rFonts w:ascii="Times New Roman" w:cs="Times New Roman" w:eastAsia="Times New Roman" w:hAnsi="Times New Roman"/>
          <w:sz w:val="18"/>
          <w:szCs w:val="18"/>
          <w:color w:val="auto"/>
        </w:rPr>
        <w:t>. Our executive officer compensation program is designed so that a majority of compensation is “at risk”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performance, in the form of both short-term cash and long-term equity incentives to align the interests of our executive officers and equityholders.</w:t>
      </w:r>
    </w:p>
    <w:p>
      <w:pPr>
        <w:spacing w:after="0" w:line="78" w:lineRule="exact"/>
        <w:rPr>
          <w:rFonts w:ascii="Times New Roman" w:cs="Times New Roman" w:eastAsia="Times New Roman" w:hAnsi="Times New Roman"/>
          <w:sz w:val="18"/>
          <w:szCs w:val="18"/>
          <w:color w:val="auto"/>
        </w:rPr>
      </w:pPr>
    </w:p>
    <w:p>
      <w:pPr>
        <w:ind w:left="1540" w:right="460" w:hanging="331"/>
        <w:spacing w:after="0" w:line="267"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Defined Benefit Pension or Nonqualified Deferred Compensation Plans</w:t>
      </w:r>
      <w:r>
        <w:rPr>
          <w:rFonts w:ascii="Times New Roman" w:cs="Times New Roman" w:eastAsia="Times New Roman" w:hAnsi="Times New Roman"/>
          <w:sz w:val="18"/>
          <w:szCs w:val="18"/>
          <w:color w:val="auto"/>
        </w:rPr>
        <w:t>. We do not currently offer, nor do we have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defined benefit pension arrangements or nonqualified deferred compensation plans or arrangements to our executive officers.</w:t>
      </w:r>
    </w:p>
    <w:p>
      <w:pPr>
        <w:spacing w:after="0" w:line="78"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Nominal Special Health or Welfare Benefits</w:t>
      </w:r>
      <w:r>
        <w:rPr>
          <w:rFonts w:ascii="Times New Roman" w:cs="Times New Roman" w:eastAsia="Times New Roman" w:hAnsi="Times New Roman"/>
          <w:sz w:val="18"/>
          <w:szCs w:val="18"/>
          <w:color w:val="auto"/>
        </w:rPr>
        <w:t>. Our executive officers participate in broad-based company-sponsored health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4"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Post-Employment Tax Reimbursements</w:t>
      </w:r>
      <w:r>
        <w:rPr>
          <w:rFonts w:ascii="Times New Roman" w:cs="Times New Roman" w:eastAsia="Times New Roman" w:hAnsi="Times New Roman"/>
          <w:sz w:val="18"/>
          <w:szCs w:val="18"/>
          <w:color w:val="auto"/>
        </w:rPr>
        <w:t>. We do not provide any tax reimbursement payments (including “gross-ups”) 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or change-in-control payments or benefits.</w:t>
      </w:r>
    </w:p>
    <w:p>
      <w:pPr>
        <w:spacing w:after="0" w:line="63"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Options Granted with Exercise Price Below Fair Market Value, with Pre-Offering Fair Market Value determined based on Third-Party Valuations</w:t>
      </w:r>
      <w:r>
        <w:rPr>
          <w:rFonts w:ascii="Times New Roman" w:cs="Times New Roman" w:eastAsia="Times New Roman" w:hAnsi="Times New Roman"/>
          <w:sz w:val="18"/>
          <w:szCs w:val="18"/>
          <w:color w:val="auto"/>
        </w:rPr>
        <w:t>. All options have been granted with exercise prices equal to the fair market value of our Membership Units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this offering,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right="180" w:hanging="331"/>
        <w:spacing w:after="0" w:line="261"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Multi-Year Time Vesting and Performance Vesting Requirements for Equity Awards</w:t>
      </w:r>
      <w:r>
        <w:rPr>
          <w:rFonts w:ascii="Times New Roman" w:cs="Times New Roman" w:eastAsia="Times New Roman" w:hAnsi="Times New Roman"/>
          <w:sz w:val="18"/>
          <w:szCs w:val="18"/>
          <w:color w:val="auto"/>
        </w:rPr>
        <w:t>. The options and restricted units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85" w:lineRule="exact"/>
        <w:rPr>
          <w:rFonts w:ascii="Times New Roman" w:cs="Times New Roman" w:eastAsia="Times New Roman" w:hAnsi="Times New Roman"/>
          <w:sz w:val="18"/>
          <w:szCs w:val="18"/>
          <w:color w:val="auto"/>
        </w:rPr>
      </w:pPr>
    </w:p>
    <w:p>
      <w:pPr>
        <w:ind w:left="1540" w:right="620" w:hanging="331"/>
        <w:spacing w:after="0" w:line="284"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Hedging and Pledging Prohibited</w:t>
      </w:r>
      <w:r>
        <w:rPr>
          <w:rFonts w:ascii="Times New Roman" w:cs="Times New Roman" w:eastAsia="Times New Roman" w:hAnsi="Times New Roman"/>
          <w:sz w:val="18"/>
          <w:szCs w:val="18"/>
          <w:color w:val="auto"/>
        </w:rPr>
        <w:t>. We prohibit our executive officers from hedging our securities, pledging our securities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for loans, or holding our securities in margin accounts.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key elements of our executive officer compensation program for our Named Executive Officers:</w:t>
      </w:r>
    </w:p>
    <w:p>
      <w:pPr>
        <w:spacing w:after="0" w:line="246" w:lineRule="exact"/>
        <w:rPr>
          <w:sz w:val="20"/>
          <w:szCs w:val="20"/>
          <w:color w:val="auto"/>
        </w:rPr>
      </w:pPr>
    </w:p>
    <w:p>
      <w:pPr>
        <w:ind w:left="120"/>
        <w:spacing w:after="0"/>
        <w:tabs>
          <w:tab w:leader="none" w:pos="1980" w:val="left"/>
          <w:tab w:leader="none" w:pos="6820" w:val="left"/>
        </w:tabs>
        <w:rPr>
          <w:sz w:val="20"/>
          <w:szCs w:val="20"/>
          <w:color w:val="auto"/>
        </w:rPr>
      </w:pPr>
      <w:r>
        <w:rPr>
          <w:rFonts w:ascii="Times New Roman" w:cs="Times New Roman" w:eastAsia="Times New Roman" w:hAnsi="Times New Roman"/>
          <w:sz w:val="14"/>
          <w:szCs w:val="14"/>
          <w:b w:val="1"/>
          <w:bCs w:val="1"/>
          <w:color w:val="auto"/>
        </w:rPr>
        <w:t>Component</w:t>
      </w:r>
      <w:r>
        <w:rPr>
          <w:sz w:val="20"/>
          <w:szCs w:val="20"/>
          <w:color w:val="auto"/>
        </w:rPr>
        <w:tab/>
      </w:r>
      <w:r>
        <w:rPr>
          <w:rFonts w:ascii="Times New Roman" w:cs="Times New Roman" w:eastAsia="Times New Roman" w:hAnsi="Times New Roman"/>
          <w:sz w:val="14"/>
          <w:szCs w:val="14"/>
          <w:b w:val="1"/>
          <w:bCs w:val="1"/>
          <w:color w:val="auto"/>
        </w:rPr>
        <w:t>Purpose</w:t>
      </w:r>
      <w:r>
        <w:rPr>
          <w:sz w:val="20"/>
          <w:szCs w:val="20"/>
          <w:color w:val="auto"/>
        </w:rPr>
        <w:tab/>
      </w:r>
      <w:r>
        <w:rPr>
          <w:rFonts w:ascii="Times New Roman" w:cs="Times New Roman" w:eastAsia="Times New Roman" w:hAnsi="Times New Roman"/>
          <w:sz w:val="14"/>
          <w:szCs w:val="14"/>
          <w:b w:val="1"/>
          <w:bCs w:val="1"/>
          <w:color w:val="auto"/>
        </w:rPr>
        <w:t>Overview</w:t>
      </w:r>
    </w:p>
    <w:p>
      <w:pPr>
        <w:sectPr>
          <w:pgSz w:w="11900" w:h="16838" w:orient="portrait"/>
          <w:cols w:equalWidth="0" w:num="1">
            <w:col w:w="11100"/>
          </w:cols>
          <w:pgMar w:left="320" w:top="455" w:right="479" w:bottom="1440" w:gutter="0" w:footer="0" w:header="0"/>
        </w:sectPr>
      </w:pP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01"/>
        </w:trPr>
        <w:tc>
          <w:tcPr>
            <w:tcW w:w="18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2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Compensate for services rendered each year</w:t>
            </w:r>
          </w:p>
        </w:tc>
      </w:tr>
      <w:tr>
        <w:trPr>
          <w:trHeight w:val="393"/>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Encourage achievement of our corporate performance</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 bonus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objectives</w:t>
            </w:r>
          </w:p>
        </w:tc>
      </w:tr>
      <w:tr>
        <w:trPr>
          <w:trHeight w:val="216"/>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Reward those individuals who significantly impact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results</w:t>
            </w:r>
          </w:p>
        </w:tc>
      </w:tr>
      <w:tr>
        <w:trPr>
          <w:trHeight w:val="641"/>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Long-term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Align executive officer and equityholder interests by</w:t>
            </w:r>
          </w:p>
        </w:tc>
      </w:tr>
      <w:tr>
        <w:trPr>
          <w:trHeight w:val="218"/>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incentives</w:t>
            </w:r>
          </w:p>
        </w:tc>
        <w:tc>
          <w:tcPr>
            <w:tcW w:w="20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creating a link between executive compensation and our</w:t>
            </w:r>
          </w:p>
        </w:tc>
      </w:tr>
      <w:tr>
        <w:trPr>
          <w:trHeight w:val="234"/>
        </w:trPr>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361" w:right="260" w:hanging="361"/>
        <w:spacing w:after="0" w:line="261" w:lineRule="auto"/>
        <w:tabs>
          <w:tab w:leader="none" w:pos="3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position, experience, job responsibilities, and performance</w:t>
      </w: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(90% weighting)</w:t>
      </w:r>
    </w:p>
    <w:p>
      <w:pPr>
        <w:spacing w:after="0" w:line="9" w:lineRule="exact"/>
        <w:rPr>
          <w:rFonts w:ascii="Times New Roman" w:cs="Times New Roman" w:eastAsia="Times New Roman" w:hAnsi="Times New Roman"/>
          <w:sz w:val="18"/>
          <w:szCs w:val="18"/>
          <w:color w:val="auto"/>
        </w:rPr>
      </w:pPr>
    </w:p>
    <w:p>
      <w:pPr>
        <w:ind w:left="721" w:right="740" w:hanging="361"/>
        <w:spacing w:after="0" w:line="250" w:lineRule="auto"/>
        <w:tabs>
          <w:tab w:leader="none" w:pos="70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EBITDA Dollars (40% weighting)</w:t>
      </w:r>
    </w:p>
    <w:p>
      <w:pPr>
        <w:ind w:left="701" w:hanging="341"/>
        <w:spacing w:after="0"/>
        <w:tabs>
          <w:tab w:leader="none" w:pos="7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Sales (weighted 40%)</w:t>
      </w:r>
    </w:p>
    <w:p>
      <w:pPr>
        <w:spacing w:after="0" w:line="9" w:lineRule="exact"/>
        <w:rPr>
          <w:rFonts w:ascii="Times New Roman" w:cs="Times New Roman" w:eastAsia="Times New Roman" w:hAnsi="Times New Roman"/>
          <w:sz w:val="18"/>
          <w:szCs w:val="18"/>
          <w:color w:val="auto"/>
        </w:rPr>
      </w:pPr>
    </w:p>
    <w:p>
      <w:pPr>
        <w:ind w:left="701" w:hanging="341"/>
        <w:spacing w:after="0"/>
        <w:tabs>
          <w:tab w:leader="none" w:pos="7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10%)</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(10% weighting)</w:t>
      </w:r>
    </w:p>
    <w:p>
      <w:pPr>
        <w:spacing w:after="0" w:line="9"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2"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-1382395</wp:posOffset>
            </wp:positionV>
            <wp:extent cx="27260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6620" w:space="219"/>
            <w:col w:w="4261"/>
          </w:cols>
          <w:pgMar w:left="320" w:top="455" w:right="479" w:bottom="1440" w:gutter="0" w:footer="0" w:header="0"/>
          <w:type w:val="continuous"/>
        </w:sect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addition to these key compensation elements, our Named Executive Officers are provided certain other compensation including perquisites and other benefits, as described in “—Other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 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type w:val="continuous"/>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2018 Base</w:t>
            </w: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2019 Base</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12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seek to have a significant portion of the compensation of our executive officers, including the Named Executive Officers, tied to performance.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accomplish this objective, we provide our executive officers with the opportunity to earn cash bonuses to encourage the achievement of both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individual performance objectives and to reward those individuals who significantly impact our corporate results.</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 EBITDA Dollars, and total Company sales, and of individual performance targets, other than his own, are recommended by Mr. Hicks to the Compensation Committee for its final approval.</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metrics, the weighting of each metric and the minimum, target, and maximum levels of achievement (in each case, expressed as a percentage of the target payout), as well as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of Target Bonus Payout</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220" w:type="dxa"/>
            <w:vAlign w:val="bottom"/>
          </w:tcPr>
          <w:p>
            <w:pPr>
              <w:spacing w:after="0"/>
              <w:rPr>
                <w:sz w:val="10"/>
                <w:szCs w:val="10"/>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0" w:type="dxa"/>
            <w:vAlign w:val="bottom"/>
          </w:tcPr>
          <w:p>
            <w:pPr>
              <w:spacing w:after="0"/>
              <w:rPr>
                <w:sz w:val="1"/>
                <w:szCs w:val="1"/>
                <w:color w:val="auto"/>
              </w:rPr>
            </w:pPr>
          </w:p>
        </w:tc>
      </w:tr>
      <w:tr>
        <w:trPr>
          <w:trHeight w:val="17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CEO</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Others</w:t>
            </w:r>
          </w:p>
        </w:tc>
        <w:tc>
          <w:tcPr>
            <w:tcW w:w="0" w:type="dxa"/>
            <w:vAlign w:val="bottom"/>
          </w:tcPr>
          <w:p>
            <w:pPr>
              <w:spacing w:after="0"/>
              <w:rPr>
                <w:sz w:val="1"/>
                <w:szCs w:val="1"/>
                <w:color w:val="auto"/>
              </w:rPr>
            </w:pPr>
          </w:p>
        </w:tc>
      </w:tr>
      <w:tr>
        <w:trPr>
          <w:trHeight w:val="119"/>
        </w:trPr>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shd w:val="clear" w:color="auto" w:fill="CCEEFF"/>
          </w:tcPr>
          <w:p>
            <w:pPr>
              <w:spacing w:after="0"/>
              <w:rPr>
                <w:sz w:val="10"/>
                <w:szCs w:val="10"/>
                <w:color w:val="auto"/>
              </w:rPr>
            </w:pPr>
          </w:p>
        </w:tc>
        <w:tc>
          <w:tcPr>
            <w:tcW w:w="29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Company EBITDA Dollars</w:t>
            </w:r>
          </w:p>
        </w:tc>
        <w:tc>
          <w:tcPr>
            <w:tcW w:w="2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40%</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110%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50%</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100%</w:t>
            </w: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65"/>
        </w:trPr>
        <w:tc>
          <w:tcPr>
            <w:tcW w:w="106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restart"/>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Company Sales</w:t>
            </w:r>
          </w:p>
        </w:tc>
        <w:tc>
          <w:tcPr>
            <w:tcW w:w="840" w:type="dxa"/>
            <w:vAlign w:val="bottom"/>
            <w:gridSpan w:val="2"/>
            <w:vMerge w:val="restart"/>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5"/>
                <w:szCs w:val="5"/>
                <w:color w:val="auto"/>
              </w:rPr>
            </w:pPr>
          </w:p>
        </w:tc>
        <w:tc>
          <w:tcPr>
            <w:tcW w:w="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5"/>
                <w:szCs w:val="5"/>
                <w:color w:val="auto"/>
              </w:rPr>
            </w:pPr>
          </w:p>
        </w:tc>
        <w:tc>
          <w:tcPr>
            <w:tcW w:w="70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5"/>
                <w:szCs w:val="5"/>
                <w:color w:val="auto"/>
              </w:rPr>
            </w:pPr>
          </w:p>
        </w:tc>
        <w:tc>
          <w:tcPr>
            <w:tcW w:w="6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shd w:val="clear" w:color="auto" w:fill="CCEEFF"/>
          </w:tcPr>
          <w:p>
            <w:pPr>
              <w:spacing w:after="0"/>
              <w:rPr>
                <w:sz w:val="7"/>
                <w:szCs w:val="7"/>
                <w:color w:val="auto"/>
              </w:rPr>
            </w:pPr>
          </w:p>
        </w:tc>
        <w:tc>
          <w:tcPr>
            <w:tcW w:w="290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ROIC %</w:t>
            </w:r>
          </w:p>
        </w:tc>
        <w:tc>
          <w:tcPr>
            <w:tcW w:w="84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64"/>
        </w:trPr>
        <w:tc>
          <w:tcPr>
            <w:tcW w:w="10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90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6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Does not</w:t>
            </w: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Meets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9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Individual Goals</w:t>
            </w:r>
          </w:p>
        </w:tc>
        <w:tc>
          <w:tcPr>
            <w:tcW w:w="840" w:type="dxa"/>
            <w:vAlign w:val="bottom"/>
            <w:gridSpan w:val="2"/>
            <w:vMerge w:val="restart"/>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5"/>
                <w:szCs w:val="5"/>
                <w:color w:val="auto"/>
              </w:rPr>
            </w:pPr>
          </w:p>
        </w:tc>
        <w:tc>
          <w:tcPr>
            <w:tcW w:w="9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meet all</w:t>
            </w:r>
          </w:p>
        </w:tc>
        <w:tc>
          <w:tcPr>
            <w:tcW w:w="940" w:type="dxa"/>
            <w:vAlign w:val="bottom"/>
            <w:gridSpan w:val="2"/>
            <w:vMerge w:val="continue"/>
          </w:tcPr>
          <w:p>
            <w:pPr>
              <w:spacing w:after="0"/>
              <w:rPr>
                <w:sz w:val="5"/>
                <w:szCs w:val="5"/>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Outstanding</w:t>
            </w: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20" w:type="dxa"/>
            <w:vAlign w:val="bottom"/>
            <w:gridSpan w:val="2"/>
            <w:vMerge w:val="restart"/>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83"/>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expectations</w:t>
            </w: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expectations</w:t>
            </w:r>
          </w:p>
        </w:tc>
        <w:tc>
          <w:tcPr>
            <w:tcW w:w="94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 Performance Metrics</w:t>
      </w:r>
    </w:p>
    <w:p>
      <w:pPr>
        <w:spacing w:after="0" w:line="119" w:lineRule="exact"/>
        <w:rPr>
          <w:sz w:val="20"/>
          <w:szCs w:val="20"/>
          <w:color w:val="auto"/>
        </w:rPr>
      </w:pPr>
    </w:p>
    <w:p>
      <w:pPr>
        <w:ind w:left="120" w:right="140" w:firstLine="440"/>
        <w:spacing w:after="0" w:line="272" w:lineRule="auto"/>
        <w:rPr>
          <w:sz w:val="20"/>
          <w:szCs w:val="20"/>
          <w:color w:val="auto"/>
        </w:rPr>
      </w:pPr>
      <w:r>
        <w:rPr>
          <w:rFonts w:ascii="Times New Roman" w:cs="Times New Roman" w:eastAsia="Times New Roman" w:hAnsi="Times New Roman"/>
          <w:sz w:val="17"/>
          <w:szCs w:val="17"/>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Percentage weighted at 10%. The level of achievement of these targets is subject to the final determination and approval of the Compensation Committee.</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Individual Performance Metrics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Executive Team Bonus Plan, there is an individual performance component that represents 10% of each Named Executive Officer’s annual bonus opportunity. The maximum payout under the individual 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 (iv) 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Achievement of Performance Goals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2019 Company performance metric results: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Achievement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Metrics</w:t>
            </w:r>
          </w:p>
        </w:tc>
        <w:tc>
          <w:tcPr>
            <w:tcW w:w="3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4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 of</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209"/>
        </w:trPr>
        <w:tc>
          <w:tcPr>
            <w:tcW w:w="13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0" w:type="dxa"/>
            <w:vAlign w:val="bottom"/>
            <w:tcBorders>
              <w:top w:val="single" w:sz="8" w:color="auto"/>
            </w:tcBorders>
            <w:shd w:val="clear" w:color="auto" w:fill="CCEEFF"/>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$317.3 million</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72"/>
        </w:trPr>
        <w:tc>
          <w:tcPr>
            <w:tcW w:w="130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Sales</w:t>
            </w:r>
          </w:p>
        </w:tc>
        <w:tc>
          <w:tcPr>
            <w:tcW w:w="320" w:type="dxa"/>
            <w:vAlign w:val="bottom"/>
            <w:shd w:val="clear" w:color="auto" w:fill="CCEEFF"/>
          </w:tcPr>
          <w:p>
            <w:pPr>
              <w:spacing w:after="0"/>
              <w:rPr>
                <w:sz w:val="6"/>
                <w:szCs w:val="6"/>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$4.94 billion</w:t>
            </w:r>
          </w:p>
        </w:tc>
        <w:tc>
          <w:tcPr>
            <w:tcW w:w="340" w:type="dxa"/>
            <w:vAlign w:val="bottom"/>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$4.83 billion</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97.9%</w:t>
            </w:r>
          </w:p>
        </w:tc>
        <w:tc>
          <w:tcPr>
            <w:tcW w:w="0" w:type="dxa"/>
            <w:vAlign w:val="bottom"/>
          </w:tcPr>
          <w:p>
            <w:pPr>
              <w:spacing w:after="0"/>
              <w:rPr>
                <w:sz w:val="1"/>
                <w:szCs w:val="1"/>
                <w:color w:val="auto"/>
              </w:rPr>
            </w:pPr>
          </w:p>
        </w:tc>
      </w:tr>
      <w:tr>
        <w:trPr>
          <w:trHeight w:val="144"/>
        </w:trPr>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20" w:type="dxa"/>
            <w:vAlign w:val="bottom"/>
            <w:shd w:val="clear" w:color="auto" w:fill="CCEEFF"/>
          </w:tcPr>
          <w:p>
            <w:pPr>
              <w:spacing w:after="0"/>
              <w:rPr>
                <w:sz w:val="12"/>
                <w:szCs w:val="12"/>
                <w:color w:val="auto"/>
              </w:rPr>
            </w:pPr>
          </w:p>
        </w:tc>
        <w:tc>
          <w:tcPr>
            <w:tcW w:w="548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3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5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ROIC %</w:t>
            </w:r>
          </w:p>
        </w:tc>
        <w:tc>
          <w:tcPr>
            <w:tcW w:w="1380" w:type="dxa"/>
            <w:vAlign w:val="bottom"/>
            <w:gridSpan w:val="2"/>
            <w:vMerge w:val="restart"/>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13.7%</w:t>
            </w:r>
          </w:p>
        </w:tc>
        <w:tc>
          <w:tcPr>
            <w:tcW w:w="1400" w:type="dxa"/>
            <w:vAlign w:val="bottom"/>
            <w:gridSpan w:val="2"/>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14.0%</w:t>
            </w:r>
          </w:p>
        </w:tc>
        <w:tc>
          <w:tcPr>
            <w:tcW w:w="32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80" w:type="dxa"/>
            <w:vAlign w:val="bottom"/>
            <w:vMerge w:val="continue"/>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It was determined that each Named Executive Officers achieved his applicable individual performance goals at the targeted level of performance for 2019.</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Salary</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12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 for</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 of</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Target Bonus</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4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10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82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Goals</w:t>
            </w: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Factor (%)</w:t>
            </w:r>
          </w:p>
        </w:tc>
        <w:tc>
          <w:tcPr>
            <w:tcW w:w="9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Achieved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1,650,000</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Mullican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487,822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487,822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505,353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P. Lawrence(2)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690,730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828,876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858,663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 J. Johnson</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463,840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463,840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480,509</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D. Attaway</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446,495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446,495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462,541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Sign-on Bonus Payment</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85"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desire to motivate, retain, and reward executive talent;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remain competitive in recruiting;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the dilution of equityholders’ interests.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regarding long-term equity incentive compensation, see “—Equity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under 2011 Equity Plan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Option Agreement</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2018 CEO Option Agreement provides:</w:t>
      </w:r>
    </w:p>
    <w:p>
      <w:pPr>
        <w:spacing w:after="0" w:line="131" w:lineRule="exact"/>
        <w:rPr>
          <w:sz w:val="20"/>
          <w:szCs w:val="20"/>
          <w:color w:val="auto"/>
        </w:rPr>
      </w:pPr>
    </w:p>
    <w:p>
      <w:pPr>
        <w:ind w:left="1080" w:right="5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32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81"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92" w:lineRule="exact"/>
        <w:rPr>
          <w:rFonts w:ascii="Times New Roman" w:cs="Times New Roman" w:eastAsia="Times New Roman" w:hAnsi="Times New Roman"/>
          <w:sz w:val="18"/>
          <w:szCs w:val="18"/>
          <w:color w:val="auto"/>
        </w:rPr>
      </w:pPr>
    </w:p>
    <w:p>
      <w:pPr>
        <w:ind w:left="2200" w:right="40" w:hanging="545"/>
        <w:spacing w:after="0" w:line="258"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88" w:lineRule="exact"/>
        <w:rPr>
          <w:rFonts w:ascii="Times New Roman" w:cs="Times New Roman" w:eastAsia="Times New Roman" w:hAnsi="Times New Roman"/>
          <w:sz w:val="18"/>
          <w:szCs w:val="18"/>
          <w:color w:val="auto"/>
        </w:rPr>
      </w:pPr>
    </w:p>
    <w:p>
      <w:pPr>
        <w:ind w:left="2200" w:hanging="545"/>
        <w:spacing w:after="0" w:line="256"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2" w:lineRule="exact"/>
        <w:rPr>
          <w:rFonts w:ascii="Times New Roman" w:cs="Times New Roman" w:eastAsia="Times New Roman" w:hAnsi="Times New Roman"/>
          <w:sz w:val="18"/>
          <w:szCs w:val="18"/>
          <w:color w:val="auto"/>
        </w:rPr>
      </w:pPr>
    </w:p>
    <w:p>
      <w:pPr>
        <w:ind w:left="2200" w:right="20" w:hanging="545"/>
        <w:spacing w:after="0" w:line="256" w:lineRule="auto"/>
        <w:tabs>
          <w:tab w:leader="none" w:pos="220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92"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Change of Control:</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during the Option Grant Year, then any then-outstanding and unvested portion of the Performance Options shall become vested and exercisable as to 100%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Membership Units that are subject to such unvested portion, immediately prior to such Change of Control.</w:t>
      </w:r>
    </w:p>
    <w:p>
      <w:pPr>
        <w:spacing w:after="0" w:line="131" w:lineRule="exact"/>
        <w:rPr>
          <w:sz w:val="20"/>
          <w:szCs w:val="20"/>
          <w:color w:val="auto"/>
        </w:rPr>
      </w:pPr>
    </w:p>
    <w:p>
      <w:pPr>
        <w:ind w:left="1540" w:hanging="331"/>
        <w:spacing w:after="0" w:line="258"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CEO Option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2019 CEO Option Agreement is substantially similar to the 2018 CEO Option Agreement, except that (i) vesting is measured from the grant date (not an earlier vesting commencement date), and (ii) with respect to 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80" w:lineRule="exact"/>
        <w:rPr>
          <w:sz w:val="20"/>
          <w:szCs w:val="20"/>
          <w:color w:val="auto"/>
        </w:rPr>
      </w:pPr>
    </w:p>
    <w:p>
      <w:pPr>
        <w:jc w:val="both"/>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Option Agreement</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870,757 Time Options with an exercise price of $5.49 to Mr. Hicks pursuant to an Option Agreement under the 2011 Equity Plan, or the 2020 CEO Option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of Time Options, the 2020 CEO Option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Time Options shall be vested and exercisable on the date of such termination.</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Mr. Hicks’ service at any time by reason of death or disability, that portion of the Time Option that would have become vested and exercisable on the vesting date of the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82" w:lineRule="auto"/>
        <w:rPr>
          <w:sz w:val="20"/>
          <w:szCs w:val="20"/>
          <w:color w:val="auto"/>
        </w:rPr>
      </w:pPr>
      <w:r>
        <w:rPr>
          <w:rFonts w:ascii="Times New Roman" w:cs="Times New Roman" w:eastAsia="Times New Roman" w:hAnsi="Times New Roman"/>
          <w:sz w:val="18"/>
          <w:szCs w:val="18"/>
          <w:color w:val="auto"/>
        </w:rPr>
        <w:t>Option immediately following the date of such termination, had he remained in service through such vesting date, will become vested and exercisable as of such termination.</w:t>
      </w:r>
    </w:p>
    <w:p>
      <w:pPr>
        <w:spacing w:after="0" w:line="67" w:lineRule="exact"/>
        <w:rPr>
          <w:sz w:val="20"/>
          <w:szCs w:val="20"/>
          <w:color w:val="auto"/>
        </w:rPr>
      </w:pPr>
    </w:p>
    <w:p>
      <w:pPr>
        <w:ind w:left="1080" w:right="200" w:hanging="424"/>
        <w:spacing w:after="0" w:line="312" w:lineRule="auto"/>
        <w:tabs>
          <w:tab w:leader="none" w:pos="10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2016 Executive Option Agreement</w:t>
      </w:r>
    </w:p>
    <w:p>
      <w:pPr>
        <w:spacing w:after="0" w:line="11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2016 Executive Option Agreement is substantially similar to the 2018 CEO Option Agreement, except that it contains the following vesting schedule with respect to the Time Options: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Mr. Attaway’s continued service through the applicable vesting date.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2017 Executive Option Agreement</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67" w:lineRule="exact"/>
        <w:rPr>
          <w:sz w:val="20"/>
          <w:szCs w:val="20"/>
          <w:color w:val="auto"/>
        </w:rPr>
      </w:pPr>
    </w:p>
    <w:p>
      <w:pPr>
        <w:ind w:left="10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(repriced down from $6.03 by the Compensation Committee in 2018) to Mr. Mullican;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the Company granted 73,892 Time Options and 36,946 Performance Options with an exercise price of $5.30 (repriced down from $6.03 by the Compensation Committee in 2018) to Mr. Johnson; and</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23, 2017, the Company granted 123,154 Time Options and 61,576 Performance Options with an exercise price of $5.30 (repriced down from $6.03 by the Compensation Committee in 2018) to Mr. Attaway.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Time Options:</w:t>
      </w:r>
    </w:p>
    <w:p>
      <w:pPr>
        <w:spacing w:after="0" w:line="131" w:lineRule="exact"/>
        <w:rPr>
          <w:sz w:val="20"/>
          <w:szCs w:val="20"/>
          <w:color w:val="auto"/>
        </w:rPr>
      </w:pPr>
    </w:p>
    <w:p>
      <w:pPr>
        <w:ind w:left="1080" w:right="1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Performance Options:</w:t>
      </w:r>
    </w:p>
    <w:p>
      <w:pPr>
        <w:spacing w:after="0" w:line="131" w:lineRule="exact"/>
        <w:rPr>
          <w:sz w:val="20"/>
          <w:szCs w:val="20"/>
          <w:color w:val="auto"/>
        </w:rPr>
      </w:pPr>
    </w:p>
    <w:p>
      <w:pPr>
        <w:ind w:left="1080" w:right="2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portion of the Performance Option that has been Earned shall become vested and exercisable on the date of determination by the Compensation Committee of the Company’s actual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85" w:lineRule="exact"/>
        <w:rPr>
          <w:sz w:val="20"/>
          <w:szCs w:val="20"/>
          <w:color w:val="auto"/>
        </w:rPr>
      </w:pPr>
    </w:p>
    <w:p>
      <w:pPr>
        <w:ind w:left="1080" w:hanging="424"/>
        <w:spacing w:after="0" w:line="258"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-852170</wp:posOffset>
            </wp:positionV>
            <wp:extent cx="285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Option Agreement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67" w:lineRule="exact"/>
        <w:rPr>
          <w:sz w:val="20"/>
          <w:szCs w:val="20"/>
          <w:color w:val="auto"/>
        </w:rPr>
      </w:pPr>
    </w:p>
    <w:p>
      <w:pPr>
        <w:ind w:left="1080" w:right="3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128,825 Time Options and 64,412 Performance Options with an exercise price of $5.23 to Mr. Mullican;</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104,670 Time Options and 52,335 Performance Options with an exercise price of $5.23 to Mr. Johnson;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2018, the Company granted 112,722 Time Options and 56,361 Performance Options with an exercise price of $5.23 to Mr. Attaway.</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67"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2019,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138,861 Time Options and 68,393 Performance Options with an exercise price of $5.26 to Mr. Mullican;</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121,504 Time Options and 59,844 Performance Options with an exercise price of $5.26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Option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67"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217,689 Time Options with an exercise price of $5.49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156,736 Time Options with an exercise price of $5.49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regard to vesting of Time Options, the 2020 Executive Option Agreement provides: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Time Options become vested and exercisable on each anniversary of the grant date, subject to the grantee’s continued service through the applicable vesting date.</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320" w:top="455" w:right="59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consummation of this offering), the Company will record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Independent Non-Employee Director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162"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CEO Restricted Unit Agreement</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2018 CEO Restricted Unit Agreement provides:</w:t>
      </w:r>
    </w:p>
    <w:p>
      <w:pPr>
        <w:spacing w:after="0" w:line="131" w:lineRule="exact"/>
        <w:rPr>
          <w:sz w:val="20"/>
          <w:szCs w:val="20"/>
          <w:color w:val="auto"/>
        </w:rPr>
      </w:pPr>
    </w:p>
    <w:p>
      <w:pPr>
        <w:ind w:left="1080" w:right="12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and (ii) the date of a Change of Control, any of the foregoing (i) and (ii) being an Initial Vesting Event, if Mr. Hicks is in continuous service on the date of the Initial Vesting Event.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60"/>
          </w:cols>
          <w:pgMar w:left="320" w:top="455" w:right="51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260" w:hanging="331"/>
        <w:spacing w:after="0" w:line="282"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(June 22, 2018), the total number of Restricted Units that will vest on the Initial Vesting Event shall be increased by 1/24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vesting commencement date, and</w:t>
      </w:r>
    </w:p>
    <w:p>
      <w:pPr>
        <w:spacing w:after="0" w:line="81"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24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vesting commencement date, all of the Restricted Units will vest on the Initial Vesting Event;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80" w:hanging="331"/>
        <w:spacing w:after="0" w:line="272" w:lineRule="auto"/>
        <w:tabs>
          <w:tab w:leader="none" w:pos="154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ind w:left="1540" w:right="120" w:hanging="331"/>
        <w:spacing w:after="0" w:line="266"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Restricted Units as of such date, vesting will continue under the Time and Service Based Requirement as set forth in clause (2) above, each vesting date a Subsequent Vesting Event. If his service is terminated at any time following this offering, any then-unvested Restricted Units shall be forfeited as of the date of his termination of service.</w:t>
      </w:r>
    </w:p>
    <w:p>
      <w:pPr>
        <w:spacing w:after="0" w:line="180"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w:t>
      </w:r>
    </w:p>
    <w:p>
      <w:pPr>
        <w:spacing w:after="0" w:line="2" w:lineRule="exact"/>
        <w:rPr>
          <w:sz w:val="20"/>
          <w:szCs w:val="20"/>
          <w:color w:val="auto"/>
        </w:rPr>
      </w:pPr>
    </w:p>
    <w:p>
      <w:pPr>
        <w:ind w:left="120" w:right="80" w:hanging="4"/>
        <w:spacing w:after="0" w:line="260" w:lineRule="auto"/>
        <w:tabs>
          <w:tab w:leader="none" w:pos="3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after the consummation of the IPO or (y) March 15th of the calendar year following the calendar year in which the IPO is consummated.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CEO Restricted Unit Agreement</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March 5, 2020, the Company granted 303,279 Restricted Units to Mr. Hicks pursuant to a Restricted Unit Agreement under the 2011 Equity Plan, or the 2020 CEO Restricted Unit Agreement.</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2020 CEO Restricted Unit Agreement provides that only “Earned Restricted Units” are eligible to become vested in accordance with the vesting schedule set forth therein. Restricted Units become “Earned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Company’s actual consolidated Adjusted EBITDA for the RU Grant Year is: (i) equal to or greater than the “high performance target,” then</w:t>
      </w:r>
    </w:p>
    <w:p>
      <w:pPr>
        <w:spacing w:after="0" w:line="27" w:lineRule="exact"/>
        <w:rPr>
          <w:sz w:val="20"/>
          <w:szCs w:val="20"/>
          <w:color w:val="auto"/>
        </w:rPr>
      </w:pPr>
    </w:p>
    <w:p>
      <w:pPr>
        <w:ind w:left="120" w:right="400"/>
        <w:spacing w:after="0" w:line="255" w:lineRule="auto"/>
        <w:rPr>
          <w:sz w:val="20"/>
          <w:szCs w:val="20"/>
          <w:color w:val="auto"/>
        </w:rPr>
      </w:pPr>
      <w:r>
        <w:rPr>
          <w:rFonts w:ascii="Times New Roman" w:cs="Times New Roman" w:eastAsia="Times New Roman" w:hAnsi="Times New Roman"/>
          <w:sz w:val="18"/>
          <w:szCs w:val="18"/>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8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81" w:lineRule="exact"/>
        <w:rPr>
          <w:rFonts w:ascii="Times New Roman" w:cs="Times New Roman" w:eastAsia="Times New Roman" w:hAnsi="Times New Roman"/>
          <w:sz w:val="18"/>
          <w:szCs w:val="18"/>
          <w:color w:val="auto"/>
        </w:rPr>
      </w:pPr>
    </w:p>
    <w:p>
      <w:pPr>
        <w:ind w:left="1540" w:right="140" w:hanging="331"/>
        <w:spacing w:after="0" w:line="266"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Mr. Hicks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line="258" w:lineRule="auto"/>
        <w:tabs>
          <w:tab w:leader="none" w:pos="220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the Initial Vesting Event occurs prior to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the total number of Earned Restricted Units that will vest on the Initial Vesting Event shall be increased by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Earned Restricted Units will vest on the Initial Vesting Event, and</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If the Initial Vesting Event occurs on or after the 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monthly anniversary of the grant date, all of the Earned Restricted Units will vest on the Initial Vesting Event;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58"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(such as this offering),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88"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Restricted Units Vested after IPO.</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Hicks is in continuous service on the date of this offering, then with respect to any unvested Earned Restricted Units as of such date, vesting will continue under the Time and Service Based Requirement schedule as set forth in clause (2) above, each vesting date, a Subsequent Vesting Event. If his service is terminated at any time following this offering, any then-unvested Earned Restricted Units shall be forfeited as of the date of his termination of service.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2020 CEO Restricted Unit Agreement provides that within 30 days following the occurrence of the Initial Vesting Event or any Subsequent Vesting Event as set forth above, Earned Restricted Units that vest as of the Initial Vesting Event or any Subsequent Vesting Event shall be settled; provided, that if the Initial Vesting Event is an IPO (such as this offering),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2018 Executive Restricted Unit Agreement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22, 2018,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377,359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235,850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6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Requirement and (ii) a liquidity event requirement, or the Liquidity Event Requirement, each as described in clauses (1) and (2) below:</w:t>
      </w:r>
    </w:p>
    <w:p>
      <w:pPr>
        <w:spacing w:after="0" w:line="131" w:lineRule="exact"/>
        <w:rPr>
          <w:sz w:val="20"/>
          <w:szCs w:val="20"/>
          <w:color w:val="auto"/>
        </w:rPr>
      </w:pPr>
    </w:p>
    <w:p>
      <w:pPr>
        <w:ind w:left="1540" w:right="40" w:hanging="331"/>
        <w:spacing w:after="0" w:line="266"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earlier to occur of: (i) the consummation of this offering, and (ii) the date of a Change of Control, any of the foregoing (i) and (ii) being an Initial Vesting Event, if the grantee is in continuous service on the date of the Initial Vesting Event.</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25% on or after the first anniversary of the grant date but prior to the second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25% on or after the second anniversary of the grant date but prior to the third anniversary of the grant date,</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25% on or after the third anniversary of the grant date but prior to the fourth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25% on or after the fourth anniversary of the grant date;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72" w:lineRule="auto"/>
        <w:tabs>
          <w:tab w:leader="none" w:pos="154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is in continuous service on the date of the Initial Vesting Event, then (i) if the Initial Vesting Event is a Change of Control, all of the Restricted Units will become vested upon the Change of Control, and (ii) if the Initial Vesting Event is an IPO (such as this offering), the Restricted Units shall become vested as of the IPO based on the vesting schedule set forth in clause</w:t>
      </w:r>
    </w:p>
    <w:p>
      <w:pPr>
        <w:spacing w:after="0" w:line="1" w:lineRule="exact"/>
        <w:rPr>
          <w:rFonts w:ascii="Times New Roman" w:cs="Times New Roman" w:eastAsia="Times New Roman" w:hAnsi="Times New Roman"/>
          <w:sz w:val="17"/>
          <w:szCs w:val="17"/>
          <w:color w:val="auto"/>
        </w:rPr>
      </w:pPr>
    </w:p>
    <w:p>
      <w:pPr>
        <w:ind w:left="154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 and any then-unvested Restricted Units shall be subject to continued vesting on the vesting schedule set forth below with regard to “Restricted Units Vested after IPO”, if applicable.</w:t>
      </w:r>
    </w:p>
    <w:p>
      <w:pPr>
        <w:spacing w:after="0" w:line="86" w:lineRule="exact"/>
        <w:rPr>
          <w:rFonts w:ascii="Times New Roman" w:cs="Times New Roman" w:eastAsia="Times New Roman" w:hAnsi="Times New Roman"/>
          <w:sz w:val="17"/>
          <w:szCs w:val="17"/>
          <w:color w:val="auto"/>
        </w:rPr>
      </w:pPr>
    </w:p>
    <w:p>
      <w:pPr>
        <w:jc w:val="both"/>
        <w:ind w:left="1540" w:right="160" w:hanging="331"/>
        <w:spacing w:after="0" w:line="266"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IPO.</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at any time following this offering, any then-unvested Restricted Units shall be forfeited as of the date of the grantee’s termination of service.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Executive Restricted Unit Agreement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2020 Executive Restricted Unit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granted the following awards of Restricted Units to each of Messrs. Mullican, Lawrence, Johnson, and Attaway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2020 Executive Restricted Unit Agreement:</w:t>
      </w:r>
    </w:p>
    <w:p>
      <w:pPr>
        <w:spacing w:after="0" w:line="112"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2020, the Company granted: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Mullican;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 Restricted Units to Mr. Lawrence;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54,591 Restricted Units to Mr. Johnson;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39,427 Restricted Units to Mr. Attaway.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67" w:lineRule="exact"/>
        <w:rPr>
          <w:sz w:val="20"/>
          <w:szCs w:val="20"/>
          <w:color w:val="auto"/>
        </w:rPr>
      </w:pPr>
    </w:p>
    <w:p>
      <w:pPr>
        <w:ind w:left="1080" w:right="5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67" w:lineRule="exact"/>
        <w:rPr>
          <w:rFonts w:ascii="Times New Roman" w:cs="Times New Roman" w:eastAsia="Times New Roman" w:hAnsi="Times New Roman"/>
          <w:sz w:val="18"/>
          <w:szCs w:val="18"/>
          <w:color w:val="auto"/>
        </w:rPr>
      </w:pPr>
    </w:p>
    <w:p>
      <w:pPr>
        <w:ind w:left="1540" w:right="240" w:hanging="331"/>
        <w:spacing w:after="0" w:line="312" w:lineRule="auto"/>
        <w:tabs>
          <w:tab w:leader="none" w:pos="1540"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45" w:lineRule="exact"/>
        <w:rPr>
          <w:rFonts w:ascii="Times New Roman" w:cs="Times New Roman" w:eastAsia="Times New Roman" w:hAnsi="Times New Roman"/>
          <w:sz w:val="17"/>
          <w:szCs w:val="17"/>
          <w:color w:val="auto"/>
        </w:rPr>
      </w:pPr>
    </w:p>
    <w:p>
      <w:pPr>
        <w:ind w:left="1540" w:right="240" w:hanging="331"/>
        <w:spacing w:after="0" w:line="282"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50% on or after the second anniversary of the vesting commencement date but prior to the third anniversary of the vesting commencement date,</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75% on or after the third anniversary of the vesting commencement date but prior to the fourth anniversary of the vesting commencement date,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100% on or after the fourth anniversary of the vesting commencement date.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Restricted Unit Awards Granted in 2020</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August 26, 2020, the Company granted the following awards of Restricted Units to each of the Named Executive Officers pursuant to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Restricted Unit Agreement under the 2011 Equity Plan, or the August 2020 Restricted Unit Agreement:</w:t>
      </w:r>
    </w:p>
    <w:p>
      <w:pPr>
        <w:spacing w:after="0" w:line="112"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777,203 to Mr. Hicks;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Mullican;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Lawrence;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345,424 to Mr. Johnson;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86,356 to Mr. Attaway.</w:t>
      </w:r>
    </w:p>
    <w:p>
      <w:pPr>
        <w:spacing w:after="0" w:line="1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820"/>
          </w:cols>
          <w:pgMar w:left="320" w:top="455" w:right="7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57"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below:</w:t>
      </w:r>
    </w:p>
    <w:p>
      <w:pPr>
        <w:spacing w:after="0" w:line="112" w:lineRule="exact"/>
        <w:rPr>
          <w:sz w:val="20"/>
          <w:szCs w:val="20"/>
          <w:color w:val="auto"/>
        </w:rPr>
      </w:pPr>
    </w:p>
    <w:p>
      <w:pPr>
        <w:ind w:left="1540" w:right="60" w:hanging="331"/>
        <w:spacing w:after="0" w:line="258"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Liquidity Event Requirement will be satisfied on the earliest to occur of: (i) the consummation of this offering,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on or after the first anniversary of the grant date but prior to the second anniversary of the grant date, and</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on or after the second anniversary of the grant date;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67"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at Initial Vesting Event.</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58"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(such as this offering), the Restricted Units shall become vested as of the SPAC Event or IPO based on the vesting schedule set forth in clause (2) above and any then-unvested Restricted Units shall be subject to continued vesting on the vesting schedule set forth below with regard to “Restricted Units Vested after SPAC Event or IPO”, if applicable.</w:t>
      </w:r>
    </w:p>
    <w:p>
      <w:pPr>
        <w:spacing w:after="0" w:line="88"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Units Vested after SPAC Event or IPO.</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in continuous service on the date of the SPAC Event or this offering, then with respect to any unvested Restricted Units as of such date, vesting will continue under the Time and Service Based Requirement as set forth in clause (2) above, each vesting date a Subsequent Vesting Event. If the executive’s service is terminated at any time following the SPAC Event or this offering, any then-unvested Restricted Units shall be forfeited as of the date of termination of service.</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August 2020 Restricted Unit Agreement provides that within 30 days following the occurrence of the Initial Vesting Event or any Subsequent Vesting Event as set forth above, Restricted Units that vest as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Initial Vesting Event or any Subsequent Vesting Event shall be settled; provided, that if the Initial Vesting Event is an IPO (such as this offering),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Awards under 2020 Equity Plan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employees, including our Named Executive Officers, for long-term equityholder value creation. In determining equity awards for our Named Executive Officers, we anticipate that our Compensation Committee will take into account the Company’s overall financial performance as well as its performance versus competitor firms. The awards expected to be made under the 2020 Equity Plan concurrent with the closing of this offering, as described below, will be granted to ensure such individuals’ alignment with our equityholders’ interests and to provide a retention element to their compensation.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2020 Equity Plan, concurrent with the pricing (in the case of options) and closing (in the case of restricted stock units) of this offering, we expect to grant 112,844 options in the aggregate and 10,409 restricted stock units in the aggregate to employees who are not Section 16 officers, in each case, based on the assumed initial public offering price of $16.00 per share of common stock, which is the midpoint of the estimated price range set forth on the cover page of this prospectus. The options will have a per share exercise price equal to the initial public offering price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Pension Benefits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Nonqualified Deferred Compensation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Benefits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Benefits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Hicks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80" w:hanging="4"/>
        <w:spacing w:after="0" w:line="282" w:lineRule="auto"/>
        <w:tabs>
          <w:tab w:leader="none" w:pos="7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53" w:lineRule="exact"/>
        <w:rPr>
          <w:rFonts w:ascii="Times New Roman" w:cs="Times New Roman" w:eastAsia="Times New Roman" w:hAnsi="Times New Roman"/>
          <w:sz w:val="18"/>
          <w:szCs w:val="18"/>
          <w:color w:val="auto"/>
        </w:rPr>
      </w:pPr>
    </w:p>
    <w:p>
      <w:pPr>
        <w:ind w:left="560" w:hanging="4"/>
        <w:spacing w:after="0" w:line="282" w:lineRule="auto"/>
        <w:tabs>
          <w:tab w:leader="none" w:pos="8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shall have use of a company-owned vehicle when in Katy, Texas with satellite radio and all maintenance and insurance costs with respect to such vehicle; and</w:t>
      </w:r>
    </w:p>
    <w:p>
      <w:pPr>
        <w:spacing w:after="0" w:line="53"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Johnson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2019, pursuant to his employment agreement, the Company provided Mr. Johnson reimbursement for relocation expenses, with a tax gross-up.</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Mr. Attaway</w:t>
      </w:r>
    </w:p>
    <w:p>
      <w:pPr>
        <w:spacing w:after="0" w:line="119"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total compensation earned by our Named Executive Officers in the fiscal year ended February 1, 2020 (or</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 Equity</w:t>
            </w: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300" w:type="dxa"/>
            <w:vAlign w:val="bottom"/>
            <w:vMerge w:val="restart"/>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8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86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940" w:type="dxa"/>
            <w:vAlign w:val="bottom"/>
          </w:tcPr>
          <w:p>
            <w:pPr>
              <w:jc w:val="right"/>
              <w:ind w:right="222"/>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Ken C. Hicks</w:t>
            </w:r>
          </w:p>
        </w:tc>
        <w:tc>
          <w:tcPr>
            <w:tcW w:w="360" w:type="dxa"/>
            <w:vAlign w:val="bottom"/>
            <w:tcBorders>
              <w:top w:val="single" w:sz="8" w:color="auto"/>
            </w:tcBorders>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w w:val="93"/>
              </w:rPr>
              <w:t>2019</w:t>
            </w:r>
          </w:p>
        </w:tc>
        <w:tc>
          <w:tcPr>
            <w:tcW w:w="1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1,100,000</w:t>
            </w: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2,808,290</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1,868,667</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1,089,042</w:t>
            </w: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6,865,999</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P. Mullican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487,827</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571,336</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505,353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1,588,183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Chief Financial Officer</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P. Lawrence</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677,596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1,428,983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858,663</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3,165,242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Merchandising Officer(7)</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J. Johnson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463,884</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499,922</w:t>
            </w:r>
          </w:p>
        </w:tc>
        <w:tc>
          <w:tcPr>
            <w:tcW w:w="1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480,509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w:t>
            </w:r>
          </w:p>
        </w:tc>
        <w:tc>
          <w:tcPr>
            <w:tcW w:w="1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1,498,182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EVP, Retail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Kenneth D. Attaway</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446,500</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464,211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462,541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1,399,456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EVP, Chief Operations Officer</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Named Executive Officer’s base salary earned during 2019.</w:t>
      </w:r>
    </w:p>
    <w:p>
      <w:pPr>
        <w:spacing w:after="0" w:line="26" w:lineRule="exact"/>
        <w:rPr>
          <w:rFonts w:ascii="Times New Roman" w:cs="Times New Roman" w:eastAsia="Times New Roman" w:hAnsi="Times New Roman"/>
          <w:sz w:val="16"/>
          <w:szCs w:val="16"/>
          <w:color w:val="auto"/>
        </w:rPr>
      </w:pPr>
    </w:p>
    <w:p>
      <w:pPr>
        <w:ind w:left="540" w:right="4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ind w:left="540" w:right="14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ind w:left="540" w:right="2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6"/>
          <w:szCs w:val="16"/>
          <w:i w:val="1"/>
          <w:iCs w:val="1"/>
          <w:color w:val="auto"/>
        </w:rPr>
        <w:t>Equity and Unit-Based Compensation</w:t>
      </w:r>
      <w:r>
        <w:rPr>
          <w:rFonts w:ascii="Times New Roman" w:cs="Times New Roman" w:eastAsia="Times New Roman" w:hAnsi="Times New Roman"/>
          <w:sz w:val="16"/>
          <w:szCs w:val="16"/>
          <w:color w:val="auto"/>
        </w:rPr>
        <w:t xml:space="preserve"> to our audited consolidated financial statements included in our Annual Report,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ind w:left="540" w:right="400" w:hanging="424"/>
        <w:spacing w:after="0" w:line="264" w:lineRule="auto"/>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description of our perquisites, see “Other Compensation—Perquisites and Other Benefits” in this Compensation Discussion and Analysis.</w:t>
      </w:r>
    </w:p>
    <w:p>
      <w:pPr>
        <w:spacing w:after="0" w:line="118" w:lineRule="exact"/>
        <w:rPr>
          <w:rFonts w:ascii="Times New Roman" w:cs="Times New Roman" w:eastAsia="Times New Roman" w:hAnsi="Times New Roman"/>
          <w:sz w:val="16"/>
          <w:szCs w:val="16"/>
          <w:color w:val="auto"/>
        </w:rPr>
      </w:pPr>
    </w:p>
    <w:p>
      <w:pPr>
        <w:ind w:left="560" w:right="4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for Mr. Hicks includes the following perquisites, pursuant to Mr. Hicks’ employment agreement and which were approved by the Compensation Committee:</w:t>
      </w:r>
    </w:p>
    <w:p>
      <w:pPr>
        <w:spacing w:after="0" w:line="56" w:lineRule="exact"/>
        <w:rPr>
          <w:rFonts w:ascii="Times New Roman" w:cs="Times New Roman" w:eastAsia="Times New Roman" w:hAnsi="Times New Roman"/>
          <w:sz w:val="16"/>
          <w:szCs w:val="16"/>
          <w:color w:val="auto"/>
        </w:rPr>
      </w:pPr>
    </w:p>
    <w:p>
      <w:pPr>
        <w:ind w:left="1000" w:right="100" w:hanging="3"/>
        <w:spacing w:after="0" w:line="298" w:lineRule="auto"/>
        <w:tabs>
          <w:tab w:leader="none" w:pos="1194"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56" w:lineRule="exact"/>
        <w:rPr>
          <w:rFonts w:ascii="Times New Roman" w:cs="Times New Roman" w:eastAsia="Times New Roman" w:hAnsi="Times New Roman"/>
          <w:sz w:val="16"/>
          <w:szCs w:val="16"/>
          <w:color w:val="auto"/>
        </w:rPr>
      </w:pPr>
    </w:p>
    <w:p>
      <w:pPr>
        <w:ind w:left="1000" w:right="360" w:hanging="3"/>
        <w:spacing w:after="0" w:line="298" w:lineRule="auto"/>
        <w:tabs>
          <w:tab w:leader="none" w:pos="1239"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1000" w:right="60" w:hanging="3"/>
        <w:spacing w:after="0" w:line="281" w:lineRule="auto"/>
        <w:tabs>
          <w:tab w:leader="none" w:pos="1284"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69" w:lineRule="exact"/>
        <w:rPr>
          <w:sz w:val="20"/>
          <w:szCs w:val="20"/>
          <w:color w:val="auto"/>
        </w:rPr>
      </w:pPr>
    </w:p>
    <w:p>
      <w:pPr>
        <w:ind w:left="560" w:right="80"/>
        <w:spacing w:after="0" w:line="298" w:lineRule="auto"/>
        <w:rPr>
          <w:sz w:val="20"/>
          <w:szCs w:val="20"/>
          <w:color w:val="auto"/>
        </w:rPr>
      </w:pPr>
      <w:r>
        <w:rPr>
          <w:rFonts w:ascii="Times New Roman" w:cs="Times New Roman" w:eastAsia="Times New Roman" w:hAnsi="Times New Roman"/>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56" w:lineRule="exact"/>
        <w:rPr>
          <w:sz w:val="20"/>
          <w:szCs w:val="20"/>
          <w:color w:val="auto"/>
        </w:rPr>
      </w:pPr>
    </w:p>
    <w:p>
      <w:pPr>
        <w:ind w:left="560" w:right="40"/>
        <w:spacing w:after="0" w:line="281" w:lineRule="auto"/>
        <w:rPr>
          <w:sz w:val="20"/>
          <w:szCs w:val="20"/>
          <w:color w:val="auto"/>
        </w:rPr>
      </w:pPr>
      <w:r>
        <w:rPr>
          <w:rFonts w:ascii="Times New Roman" w:cs="Times New Roman" w:eastAsia="Times New Roman" w:hAnsi="Times New Roman"/>
          <w:sz w:val="16"/>
          <w:szCs w:val="16"/>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69" w:lineRule="exact"/>
        <w:rPr>
          <w:sz w:val="20"/>
          <w:szCs w:val="20"/>
          <w:color w:val="auto"/>
        </w:rPr>
      </w:pPr>
    </w:p>
    <w:p>
      <w:pPr>
        <w:ind w:left="560" w:right="220"/>
        <w:spacing w:after="0" w:line="298" w:lineRule="auto"/>
        <w:rPr>
          <w:sz w:val="20"/>
          <w:szCs w:val="20"/>
          <w:color w:val="auto"/>
        </w:rPr>
      </w:pPr>
      <w:r>
        <w:rPr>
          <w:rFonts w:ascii="Times New Roman" w:cs="Times New Roman" w:eastAsia="Times New Roman" w:hAnsi="Times New Roman"/>
          <w:sz w:val="16"/>
          <w:szCs w:val="16"/>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56" w:lineRule="exact"/>
        <w:rPr>
          <w:sz w:val="20"/>
          <w:szCs w:val="20"/>
          <w:color w:val="auto"/>
        </w:rPr>
      </w:pPr>
    </w:p>
    <w:p>
      <w:pPr>
        <w:ind w:left="560" w:right="60"/>
        <w:spacing w:after="0" w:line="298" w:lineRule="auto"/>
        <w:rPr>
          <w:sz w:val="20"/>
          <w:szCs w:val="20"/>
          <w:color w:val="auto"/>
        </w:rPr>
      </w:pPr>
      <w:r>
        <w:rPr>
          <w:rFonts w:ascii="Times New Roman" w:cs="Times New Roman" w:eastAsia="Times New Roman" w:hAnsi="Times New Roman"/>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56" w:lineRule="exact"/>
        <w:rPr>
          <w:sz w:val="20"/>
          <w:szCs w:val="20"/>
          <w:color w:val="auto"/>
        </w:rPr>
      </w:pPr>
    </w:p>
    <w:p>
      <w:pPr>
        <w:ind w:left="560" w:right="260"/>
        <w:spacing w:after="0" w:line="298" w:lineRule="auto"/>
        <w:rPr>
          <w:sz w:val="20"/>
          <w:szCs w:val="20"/>
          <w:color w:val="auto"/>
        </w:rPr>
      </w:pPr>
      <w:r>
        <w:rPr>
          <w:rFonts w:ascii="Times New Roman" w:cs="Times New Roman" w:eastAsia="Times New Roman" w:hAnsi="Times New Roman"/>
          <w:sz w:val="16"/>
          <w:szCs w:val="16"/>
          <w:color w:val="auto"/>
        </w:rPr>
        <w:t>“All Other Compensation” for Mr. Attaway includes: (i) $16,859 for the employer matching contribution by the Company under our 401(k) plan; (ii) $1,800 in connection with an executive physical; (iii) $5,000 in connection with financial planning; and (iv) $2,545 in connection with tax preparation assistance.</w:t>
      </w:r>
    </w:p>
    <w:p>
      <w:pPr>
        <w:spacing w:after="0" w:line="56" w:lineRule="exact"/>
        <w:rPr>
          <w:sz w:val="20"/>
          <w:szCs w:val="20"/>
          <w:color w:val="auto"/>
        </w:rPr>
      </w:pPr>
    </w:p>
    <w:p>
      <w:pPr>
        <w:ind w:left="560" w:right="40"/>
        <w:spacing w:after="0" w:line="275" w:lineRule="auto"/>
        <w:rPr>
          <w:sz w:val="20"/>
          <w:szCs w:val="20"/>
          <w:color w:val="auto"/>
        </w:rPr>
      </w:pPr>
      <w:r>
        <w:rPr>
          <w:rFonts w:ascii="Times New Roman" w:cs="Times New Roman" w:eastAsia="Times New Roman" w:hAnsi="Times New Roman"/>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88"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Lawrence commenced employment with us on February 11, 2019, after the beginning of the 2019 fiscal year. He did not participate in the 401(k) plan in 2019.</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 WITH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76"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Each of Messrs. Hicks, Mullican, Lawrence, and Johnson are subject to the following restrictive covenants under their applicable employment agreements: (i) confidentiality during employment and perpetually upon termination, (ii) irrevocable assignment of all rights of any intellectual property created during employment to the Company, (iii) non-competition during employment and for 24 months following termination, and</w:t>
      </w:r>
    </w:p>
    <w:p>
      <w:pPr>
        <w:spacing w:after="0" w:line="1" w:lineRule="exact"/>
        <w:rPr>
          <w:sz w:val="20"/>
          <w:szCs w:val="20"/>
          <w:color w:val="auto"/>
        </w:rPr>
      </w:pPr>
    </w:p>
    <w:p>
      <w:pPr>
        <w:ind w:left="120" w:right="640" w:hanging="4"/>
        <w:spacing w:after="0" w:line="250" w:lineRule="auto"/>
        <w:tabs>
          <w:tab w:leader="none" w:pos="42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no hire, and non-solicitation of customers for 24 months following termination. Mr. Attaway is subject to the following restrictive covenants under his employment agreement: (i) confidentiality during employment and perpetually upon termination,</w:t>
      </w:r>
    </w:p>
    <w:p>
      <w:pPr>
        <w:ind w:left="120" w:right="140" w:hanging="4"/>
        <w:spacing w:after="0" w:line="253" w:lineRule="auto"/>
        <w:tabs>
          <w:tab w:leader="none" w:pos="3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below, each of the employment agreements also provides for certain severance payments that may be due following termination of employment under certain circumstances, subject to execution of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release of claims and compliance with certain restrictive covenants, described under the heading “Potential Payments upon Termination of Employment or Change of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Hicks Employment Agreement</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Hicks Employment Agreement has no specified employment term and may be terminated by either the Company or Mr. Hicks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76"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1" w:lineRule="exact"/>
        <w:rPr>
          <w:sz w:val="20"/>
          <w:szCs w:val="20"/>
          <w:color w:val="auto"/>
        </w:rPr>
      </w:pPr>
    </w:p>
    <w:p>
      <w:pPr>
        <w:ind w:left="120" w:right="40" w:hanging="4"/>
        <w:spacing w:after="0" w:line="271" w:lineRule="auto"/>
        <w:tabs>
          <w:tab w:leader="none" w:pos="38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Mullican Employment Agreement</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Lawrence Employment Agreement</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Lawrence Employment Agreement has no specified employment term and may be terminated by either the Company or Mr. Lawrence with a written notice of termination.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Johnson Employment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Johnson Employment Agreement provides that Mr. Johnson’s employment period shall end on the first anniversary of the effective date of the employment agreement, and shall be automatically extended for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additional year on each anniversary of the effective date unless written notice of termination is given no later than 30 days prior to the end of the employment period (including any extension thereof) by either the Company or Mr. Johnson.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Attaway Employment Agreement</w:t>
      </w:r>
    </w:p>
    <w:p>
      <w:pPr>
        <w:spacing w:after="0" w:line="121"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Employment Term</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0"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 BASED AWARDS IN 2019</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equity incentive plan awards, please see “Long-Term Equity Incentive Compensation—Equity Awards under 2011 Equity Plan.”</w:t>
      </w: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 Based Awards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w:t>
            </w:r>
          </w:p>
        </w:tc>
        <w:tc>
          <w:tcPr>
            <w:tcW w:w="222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 Awards(1)</w:t>
            </w:r>
          </w:p>
        </w:tc>
        <w:tc>
          <w:tcPr>
            <w:tcW w:w="222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 Plan Awards(3)</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100" w:type="dxa"/>
            <w:vAlign w:val="bottom"/>
          </w:tcPr>
          <w:p>
            <w:pPr>
              <w:spacing w:after="0"/>
              <w:rPr>
                <w:sz w:val="15"/>
                <w:szCs w:val="15"/>
                <w:color w:val="auto"/>
              </w:rPr>
            </w:pP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Date(2)</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Options (#)</w:t>
            </w:r>
          </w:p>
        </w:tc>
        <w:tc>
          <w:tcPr>
            <w:tcW w:w="6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Annual</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825,000</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4,950,000</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660" w:type="dxa"/>
            <w:vAlign w:val="bottom"/>
            <w:tcBorders>
              <w:top w:val="single" w:sz="8" w:color="auto"/>
            </w:tcBorders>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52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vMerge w:val="restart"/>
            <w:shd w:val="clear" w:color="auto" w:fill="CCEEFF"/>
          </w:tcPr>
          <w:p>
            <w:pPr>
              <w:spacing w:after="0"/>
              <w:rPr>
                <w:sz w:val="9"/>
                <w:szCs w:val="9"/>
                <w:color w:val="auto"/>
              </w:rPr>
            </w:pPr>
          </w:p>
        </w:tc>
        <w:tc>
          <w:tcPr>
            <w:tcW w:w="540" w:type="dxa"/>
            <w:vAlign w:val="bottom"/>
            <w:tcBorders>
              <w:top w:val="single" w:sz="8" w:color="auto"/>
            </w:tcBorders>
            <w:vMerge w:val="restart"/>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top w:val="single" w:sz="8" w:color="CCEEFF"/>
            </w:tcBorders>
            <w:vMerge w:val="restart"/>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694,301</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1,881,555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119,962</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341,969</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926,735</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P. Mullican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243,911</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487,822</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975,644</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138,861</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383,256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23,992</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68,393</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188,080</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414,438</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828,876</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1,657,752</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411,270</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1,135,105</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37,488</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106,865</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293,878</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Restricted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Units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142,586</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 J. Johnson</w:t>
            </w: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w:t>
            </w:r>
          </w:p>
        </w:tc>
        <w:tc>
          <w:tcPr>
            <w:tcW w:w="100" w:type="dxa"/>
            <w:vAlign w:val="bottom"/>
          </w:tcPr>
          <w:p>
            <w:pPr>
              <w:spacing w:after="0"/>
              <w:rPr>
                <w:sz w:val="16"/>
                <w:szCs w:val="16"/>
                <w:color w:val="auto"/>
              </w:rPr>
            </w:pPr>
          </w:p>
        </w:tc>
        <w:tc>
          <w:tcPr>
            <w:tcW w:w="6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231,920</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463,840</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927,680</w:t>
            </w: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121,504</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335,351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20,993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59,844</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164,571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223,247</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446,495</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892,990</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112,824</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311,394</w:t>
            </w:r>
          </w:p>
        </w:tc>
        <w:tc>
          <w:tcPr>
            <w:tcW w:w="0" w:type="dxa"/>
            <w:vAlign w:val="bottom"/>
          </w:tcPr>
          <w:p>
            <w:pPr>
              <w:spacing w:after="0"/>
              <w:rPr>
                <w:sz w:val="1"/>
                <w:szCs w:val="1"/>
                <w:color w:val="auto"/>
              </w:rPr>
            </w:pPr>
          </w:p>
        </w:tc>
      </w:tr>
      <w:tr>
        <w:trPr>
          <w:trHeight w:val="207"/>
        </w:trPr>
        <w:tc>
          <w:tcPr>
            <w:tcW w:w="3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Performance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3/7/2019</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19,493</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55,570</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152,817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line="236" w:lineRule="auto"/>
        <w:tabs>
          <w:tab w:leader="none" w:pos="5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280"/>
        <w:spacing w:after="0" w:line="233" w:lineRule="auto"/>
        <w:rPr>
          <w:sz w:val="20"/>
          <w:szCs w:val="20"/>
          <w:color w:val="auto"/>
        </w:rPr>
      </w:pPr>
      <w:r>
        <w:rPr>
          <w:rFonts w:ascii="Times New Roman" w:cs="Times New Roman" w:eastAsia="Times New Roman" w:hAnsi="Times New Roman"/>
          <w:sz w:val="14"/>
          <w:szCs w:val="14"/>
          <w:color w:val="auto"/>
        </w:rPr>
        <w:t>Named Executive Officers are set forth in the “Summary Compensation Table” above and the calculation of the actual amounts paid is discussed more fully in “—Executive Team Bonus Plan” above.</w:t>
      </w:r>
    </w:p>
    <w:p>
      <w:pPr>
        <w:ind w:left="540" w:hanging="424"/>
        <w:spacing w:after="0" w:line="222"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schedule applicable to each Time Option, Performance Option, and Restricted Unit award is set forth in the “—Outstanding Equity Awards at Fiscal Year End Table” table.</w:t>
      </w:r>
    </w:p>
    <w:p>
      <w:pPr>
        <w:ind w:left="54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target level of achievement is the highest level of achievement possible under the equity incentive plan awards listed in this table.</w:t>
      </w:r>
    </w:p>
    <w:p>
      <w:pPr>
        <w:ind w:left="540" w:right="60" w:hanging="424"/>
        <w:spacing w:after="0" w:line="221"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Times New Roman" w:cs="Times New Roman" w:eastAsia="Times New Roman" w:hAnsi="Times New Roman"/>
          <w:sz w:val="14"/>
          <w:szCs w:val="14"/>
          <w:i w:val="1"/>
          <w:iCs w:val="1"/>
          <w:color w:val="auto"/>
        </w:rPr>
        <w:t>Equity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Unit-Based Compensation </w:t>
      </w:r>
      <w:r>
        <w:rPr>
          <w:rFonts w:ascii="Times New Roman" w:cs="Times New Roman" w:eastAsia="Times New Roman" w:hAnsi="Times New Roman"/>
          <w:sz w:val="14"/>
          <w:szCs w:val="14"/>
          <w:color w:val="auto"/>
        </w:rPr>
        <w:t>to our audited consolidated financial statements incorporated by reference in this prospectus. The grant date fair value of the Performance Options,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1" w:lineRule="exact"/>
        <w:rPr>
          <w:rFonts w:ascii="Times New Roman" w:cs="Times New Roman" w:eastAsia="Times New Roman" w:hAnsi="Times New Roman"/>
          <w:sz w:val="14"/>
          <w:szCs w:val="14"/>
          <w:color w:val="auto"/>
        </w:rPr>
      </w:pPr>
    </w:p>
    <w:p>
      <w:pPr>
        <w:ind w:left="540" w:hanging="424"/>
        <w:spacing w:after="0" w:line="227" w:lineRule="auto"/>
        <w:tabs>
          <w:tab w:leader="none" w:pos="5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 In the period in which the Company’s liquidity event occurs (e.g., in connection with the consummation of this offering), the Company will record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with regard to each outstanding equity award held by the Named Executive Officers on February 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7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040" w:type="dxa"/>
            <w:vAlign w:val="bottom"/>
            <w:gridSpan w:val="3"/>
          </w:tcPr>
          <w:p>
            <w:pPr>
              <w:jc w:val="center"/>
              <w:ind w:left="88"/>
              <w:spacing w:after="0" w:line="160"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5"/>
                <w:szCs w:val="15"/>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Date(4)</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1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Ken C. Hicks</w:t>
            </w:r>
          </w:p>
        </w:tc>
        <w:tc>
          <w:tcPr>
            <w:tcW w:w="1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9/16/2018</w:t>
            </w:r>
          </w:p>
        </w:tc>
        <w:tc>
          <w:tcPr>
            <w:tcW w:w="1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center"/>
              <w:ind w:left="18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735,295</w:t>
            </w: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4,036,769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226,674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291,461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9/16/2018(8)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259,068</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5.44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9/16/2028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144,640</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549,661</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3/7/2019(10)</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341,969</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P. Mullican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w w:val="99"/>
              </w:rPr>
              <w:t>3/23/2017(11)</w:t>
            </w:r>
          </w:p>
        </w:tc>
        <w:tc>
          <w:tcPr>
            <w:tcW w:w="180" w:type="dxa"/>
            <w:vAlign w:val="bottom"/>
          </w:tcPr>
          <w:p>
            <w:pPr>
              <w:spacing w:after="0"/>
              <w:rPr>
                <w:sz w:val="10"/>
                <w:szCs w:val="10"/>
                <w:color w:val="auto"/>
              </w:rPr>
            </w:pPr>
          </w:p>
        </w:tc>
        <w:tc>
          <w:tcPr>
            <w:tcW w:w="80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49,261</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49,262</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99"/>
              </w:rPr>
              <w:t>3/23/2017(12)</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13,916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21,429</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4/5/2018(13)</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32,206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96,619</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4/5/2018(14)</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64,412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3/7/2019(15)</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138,861</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3/7/2019(16)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68,393</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Steve P. Lawrence</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3/7/2019</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142,586</w:t>
            </w:r>
          </w:p>
        </w:tc>
        <w:tc>
          <w:tcPr>
            <w:tcW w:w="7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782,797</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3/7/2019(17)</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411,270</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3/7/2019(18)</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106,865</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Sam J. Johnson</w:t>
            </w:r>
          </w:p>
        </w:tc>
        <w:tc>
          <w:tcPr>
            <w:tcW w:w="180" w:type="dxa"/>
            <w:vAlign w:val="bottom"/>
          </w:tcPr>
          <w:p>
            <w:pPr>
              <w:spacing w:after="0"/>
              <w:rPr>
                <w:sz w:val="10"/>
                <w:szCs w:val="10"/>
                <w:color w:val="auto"/>
              </w:rPr>
            </w:pPr>
          </w:p>
        </w:tc>
        <w:tc>
          <w:tcPr>
            <w:tcW w:w="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6/6/2017(19)</w:t>
            </w:r>
          </w:p>
        </w:tc>
        <w:tc>
          <w:tcPr>
            <w:tcW w:w="980" w:type="dxa"/>
            <w:vAlign w:val="bottom"/>
            <w:gridSpan w:val="3"/>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1240" w:type="dxa"/>
            <w:vAlign w:val="bottom"/>
            <w:gridSpan w:val="4"/>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36,946</w:t>
            </w:r>
          </w:p>
        </w:tc>
        <w:tc>
          <w:tcPr>
            <w:tcW w:w="9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6/6/2017(20)</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10,436</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10,438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16,072</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6/6/2027</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4/5/2018(21)</w:t>
            </w:r>
          </w:p>
        </w:tc>
        <w:tc>
          <w:tcPr>
            <w:tcW w:w="9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26,167</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78,503</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4/5/2018(22)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52,335</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1,294,816</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3/7/2019(23)</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4"/>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121,504</w:t>
            </w: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3/7/2019(24)</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59,844</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Ken D. Attaway</w:t>
            </w:r>
          </w:p>
        </w:tc>
        <w:tc>
          <w:tcPr>
            <w:tcW w:w="100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7/2/2015(25)</w:t>
            </w:r>
          </w:p>
        </w:tc>
        <w:tc>
          <w:tcPr>
            <w:tcW w:w="980" w:type="dxa"/>
            <w:vAlign w:val="bottom"/>
            <w:gridSpan w:val="3"/>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7/2/2015(26)</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1.66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8/30/2021</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3/27/2016(27)</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88,752</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29,585</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3/27/2026</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61,576</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61,578</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3/23/2017(29)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17,396</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26,786</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5.30</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3/23/2027</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28,180</w:t>
            </w:r>
          </w:p>
        </w:tc>
        <w:tc>
          <w:tcPr>
            <w:tcW w:w="40" w:type="dxa"/>
            <w:vAlign w:val="bottom"/>
            <w:shd w:val="clear" w:color="auto" w:fill="CCEEFF"/>
          </w:tcPr>
          <w:p>
            <w:pPr>
              <w:spacing w:after="0"/>
              <w:rPr>
                <w:sz w:val="12"/>
                <w:szCs w:val="12"/>
                <w:color w:val="auto"/>
              </w:rPr>
            </w:pPr>
          </w:p>
        </w:tc>
        <w:tc>
          <w:tcPr>
            <w:tcW w:w="1240" w:type="dxa"/>
            <w:vAlign w:val="bottom"/>
            <w:gridSpan w:val="4"/>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84,542</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4/5/2018(31)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56,361</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5.23</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4/5/2028</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6/22/2018</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141,510</w:t>
            </w: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776,889</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3/7/2019(32)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112,824</w:t>
            </w:r>
          </w:p>
        </w:tc>
        <w:tc>
          <w:tcPr>
            <w:tcW w:w="9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3/7/2019(33)</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55,570</w:t>
            </w: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3/7/2029</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vested Time Options and vested Performance Options as of February 1, 2020.</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(i) unvested Time Options as of February 1, 2020, or (ii) Performance Options which became Earned and are subject to time vesting.</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in this column represent unvested Performance Options that are not Earned as of February 1, 2020.</w:t>
      </w:r>
    </w:p>
    <w:p>
      <w:pPr>
        <w:ind w:left="54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for each of the Options is the date that is ten years after the initial grant date.</w:t>
      </w:r>
    </w:p>
    <w:p>
      <w:pPr>
        <w:ind w:left="540" w:right="160" w:hanging="424"/>
        <w:spacing w:after="0" w:line="221"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Units granted to each Named Executive Officer are reported in this column because they are subject to a liquidity event-based vesting condition which will only be satisfied upon the closing of this offering,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1" w:lineRule="exact"/>
        <w:rPr>
          <w:rFonts w:ascii="Times New Roman" w:cs="Times New Roman" w:eastAsia="Times New Roman" w:hAnsi="Times New Roman"/>
          <w:sz w:val="14"/>
          <w:szCs w:val="14"/>
          <w:color w:val="auto"/>
        </w:rPr>
      </w:pPr>
    </w:p>
    <w:p>
      <w:pPr>
        <w:ind w:left="540" w:right="220" w:hanging="424"/>
        <w:spacing w:after="0" w:line="233" w:lineRule="auto"/>
        <w:tabs>
          <w:tab w:leader="none" w:pos="5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660" w:hanging="424"/>
        <w:spacing w:after="0" w:line="233"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2018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vesting commencement date (April 5, 2018), subject to continued employment through the applicable vesting date.</w:t>
      </w:r>
    </w:p>
    <w:p>
      <w:pPr>
        <w:ind w:left="540" w:right="10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6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Hicks under the 2019 CEO Option Agreement vest as follows: 1/48</w:t>
      </w:r>
      <w:r>
        <w:rPr>
          <w:rFonts w:ascii="Times New Roman" w:cs="Times New Roman" w:eastAsia="Times New Roman" w:hAnsi="Times New Roman"/>
          <w:sz w:val="12"/>
          <w:szCs w:val="12"/>
          <w:color w:val="auto"/>
        </w:rPr>
        <w:t>th</w:t>
      </w:r>
      <w:r>
        <w:rPr>
          <w:rFonts w:ascii="Times New Roman" w:cs="Times New Roman" w:eastAsia="Times New Roman" w:hAnsi="Times New Roman"/>
          <w:sz w:val="14"/>
          <w:szCs w:val="14"/>
          <w:color w:val="auto"/>
        </w:rPr>
        <w:t xml:space="preserve"> of the Time Options become vested and exercisable on each monthly anniversary of the grant date, subject to continued employment through the applicable vesting date.</w:t>
      </w:r>
    </w:p>
    <w:p>
      <w:pPr>
        <w:ind w:left="540" w:right="6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8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right="100" w:hanging="424"/>
        <w:spacing w:after="0" w:line="227" w:lineRule="auto"/>
        <w:tabs>
          <w:tab w:leader="none" w:pos="5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140"/>
        <w:spacing w:after="0" w:line="229" w:lineRule="auto"/>
        <w:rPr>
          <w:sz w:val="20"/>
          <w:szCs w:val="20"/>
          <w:color w:val="auto"/>
        </w:rPr>
      </w:pPr>
      <w:r>
        <w:rPr>
          <w:rFonts w:ascii="Times New Roman" w:cs="Times New Roman" w:eastAsia="Times New Roman" w:hAnsi="Times New Roman"/>
          <w:sz w:val="14"/>
          <w:szCs w:val="14"/>
          <w:color w:val="auto"/>
        </w:rPr>
        <w:t>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 w:lineRule="exact"/>
        <w:rPr>
          <w:rFonts w:ascii="Times New Roman" w:cs="Times New Roman" w:eastAsia="Times New Roman" w:hAnsi="Times New Roman"/>
          <w:sz w:val="14"/>
          <w:szCs w:val="14"/>
          <w:color w:val="auto"/>
        </w:rPr>
      </w:pPr>
    </w:p>
    <w:p>
      <w:pPr>
        <w:jc w:val="both"/>
        <w:ind w:left="540" w:right="4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ind w:left="540" w:right="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right="8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rFonts w:ascii="Times New Roman" w:cs="Times New Roman" w:eastAsia="Times New Roman" w:hAnsi="Times New Roman"/>
          <w:sz w:val="14"/>
          <w:szCs w:val="14"/>
          <w:color w:val="auto"/>
        </w:rPr>
      </w:pPr>
    </w:p>
    <w:p>
      <w:pPr>
        <w:ind w:left="540" w:right="120" w:hanging="424"/>
        <w:spacing w:after="0" w:line="221"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140" w:hanging="424"/>
        <w:spacing w:after="0" w:line="228" w:lineRule="auto"/>
        <w:tabs>
          <w:tab w:leader="none" w:pos="5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Fiscal 2019 Restricted Units Vested Table</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6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Units</w:t>
            </w: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80" w:hanging="424"/>
        <w:spacing w:after="0" w:line="261"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ind w:left="540" w:right="160" w:hanging="424"/>
        <w:spacing w:after="0" w:line="290" w:lineRule="auto"/>
        <w:tabs>
          <w:tab w:leader="none" w:pos="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2011 Equity Plan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spacing w:after="0" w:line="1" w:lineRule="exact"/>
        <w:rPr>
          <w:sz w:val="20"/>
          <w:szCs w:val="20"/>
          <w:color w:val="auto"/>
        </w:rPr>
      </w:pPr>
    </w:p>
    <w:p>
      <w:pPr>
        <w:ind w:left="120" w:right="520" w:hanging="4"/>
        <w:spacing w:after="0" w:line="265" w:lineRule="auto"/>
        <w:tabs>
          <w:tab w:leader="none" w:pos="33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ind w:left="120" w:right="40" w:hanging="4"/>
        <w:spacing w:after="0" w:line="252" w:lineRule="auto"/>
        <w:tabs>
          <w:tab w:leader="none" w:pos="4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2011 Equity Plan</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 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and Distributions of Awards</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2011 Equity Plan and Awards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Treatment of Awards upon Change of Control</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the 2011 Equity Plan, “Change of Control” is generally defined as (a) the sale of all or substantially all of the assets of the Company or Allstar LLC, or the Managing Member, to any “Person,” as such 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 (B) 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the Compensation Committee will adopt, and we expect our equityholders to approve, the 2020 Equity Plan. Equity awards under the 2020 Equity Plan will be designed to reward our Named Executive Officers for long-term equityholder value creation. The following summary is qualified in its entirety by reference to the 2020 Equity Plan that has been adopted by the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2020 Equity Plan will be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 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Awards Subject to 2020 Equity Plan</w:t>
      </w:r>
    </w:p>
    <w:p>
      <w:pPr>
        <w:spacing w:after="0" w:line="119"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color w:val="auto"/>
        </w:rPr>
        <w:t>The 2020 Equity Plan provides that the total number of shares of common stock that may be issued under the 2020 Equity Plan is 5,150,000, or theAbsolute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effective date (as defined therein), but awards granted before then may extend beyond that date.</w:t>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non-qualified stock options and incentive stock options, under the 2020 Equity Plan, with terms and conditions determined by the Compensation Committee that are not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5" w:right="51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will be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1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 and Restricted Stock Units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Equity-Based Awards and Cash-Based Awards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Certain Events on 2020 Equity Plan and Awards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any change of control, the Compensation Committee may, in its sole discretion, provide for any one or more of the following:</w:t>
      </w:r>
    </w:p>
    <w:p>
      <w:pPr>
        <w:spacing w:after="0" w:line="27" w:lineRule="exact"/>
        <w:rPr>
          <w:sz w:val="20"/>
          <w:szCs w:val="20"/>
          <w:color w:val="auto"/>
        </w:rPr>
      </w:pPr>
    </w:p>
    <w:p>
      <w:pPr>
        <w:ind w:left="120" w:right="40" w:hanging="4"/>
        <w:spacing w:after="0" w:line="267" w:lineRule="auto"/>
        <w:tabs>
          <w:tab w:leader="none" w:pos="33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Nontransferability of Awards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 and Dividend Equivalents</w:t>
      </w:r>
    </w:p>
    <w:p>
      <w:pPr>
        <w:spacing w:after="0" w:line="11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Clawback/Repayment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the Board will adopt, and we expect our equityholders to approve, the ESPP. The following summary is qualified in its entirety by reference to the ESPP that has been adopted by the Board.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ESPP will be administered by the Compensation Committee, or such other committee as may be designated by the Board, or the Board (such administering body, the “Administrator”). The Administrator will have full authority to make, administer and interpret such terms, rules and regulations regarding administration of the ESPP as it may deem advisable, and such decisions are final and binding.</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ESPP will have a term of ten years unless earlier terminated (i) on the date on which all the shares of common stock available for issuance under the ESPP have been issued or (ii) by the Administrator in accordance with the terms of the ESPP.</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Eligible Employees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Administrator’s ability to exclude certain groups of employees on a uniform and nondiscriminatory basis, including Section 16 officers and/or non-U.S. employees, generally, all of our employees will be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Offering Periods and Purchase Periods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Offering periods under the ESPP will be 6 months long. The first offering period under the ESPP shall commence on the date determined by the Administrator and shall end on the last trading day on or immediately preceding the earlier to occur of June 30 or December 31 of the year in which the first offering period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this offering). Eligible employees participate by authorizing payroll deductions before the beginning of an offering period, which deduction may not exceed 15% of such employee’s cash compensation.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Contributions and Grants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Cancellation of Election to Purchase</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Effect of a Change in Control</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as Stockholder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 participant will have no rights as a stockholder with respect to the shares of our common stock that the participant has an option to purchase in any offering until those shares have been issued to the participant.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Options not Transferable</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participant’s option under the ESPP will be exercisable only by the participant and may not be sold, transferred, pledged or assigned in any manner other than by will or the laws of descent and distribution.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or Termination</w:t>
      </w:r>
    </w:p>
    <w:p>
      <w:pPr>
        <w:spacing w:after="0" w:line="11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S-8</w:t>
      </w:r>
    </w:p>
    <w:p>
      <w:pPr>
        <w:spacing w:after="0" w:line="121"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shares of our common stock or securities convertible into or exchangeable for shares of our common stock issued pursuant to our existing 2011 Equity Plan and our 2020 Equity Plan and the ESPP to be adopted in connection with this offering. Any such Form S-8 registration statements will automatically become effective upon filing.</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shares registered under such registration statements will be available for sale in the open market. We expect that the initial registration statement on Form S-8 will cover 15,983,311 shares of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 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calculated the acceleration value of Options and Restricted Units in the tables below using the Market Value Per Membership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Hicks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Hicks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w:t>
      </w:r>
    </w:p>
    <w:p>
      <w:pPr>
        <w:spacing w:after="0" w:line="54" w:lineRule="exact"/>
        <w:rPr>
          <w:sz w:val="20"/>
          <w:szCs w:val="20"/>
          <w:color w:val="auto"/>
        </w:rPr>
      </w:pPr>
    </w:p>
    <w:p>
      <w:pPr>
        <w:ind w:left="560" w:hanging="4"/>
        <w:spacing w:after="0" w:line="253" w:lineRule="auto"/>
        <w:tabs>
          <w:tab w:leader="none" w:pos="7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83" w:lineRule="exact"/>
        <w:rPr>
          <w:rFonts w:ascii="Times New Roman" w:cs="Times New Roman" w:eastAsia="Times New Roman" w:hAnsi="Times New Roman"/>
          <w:sz w:val="18"/>
          <w:szCs w:val="18"/>
          <w:color w:val="auto"/>
        </w:rPr>
      </w:pPr>
    </w:p>
    <w:p>
      <w:pPr>
        <w:ind w:left="560" w:right="20" w:hanging="4"/>
        <w:spacing w:after="0" w:line="253" w:lineRule="auto"/>
        <w:tabs>
          <w:tab w:leader="none" w:pos="8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83"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his employment agreement, Mr. Hicks will have 30 days after receiving notice of a termination for Cause to cure or remedy any breach pursuant to items (iii) or (iv) of the preceding sentence.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On March 7, 2019, the Company granted 694,301 Time Options and 341,969 Performance Options with an exercise price of $5.26 to Mr. Hicks pursuant to the 2019 CEO Option Agreement. The Time Options vest as 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6"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40" w:hanging="545"/>
        <w:spacing w:after="0" w:line="261" w:lineRule="auto"/>
        <w:tabs>
          <w:tab w:leader="none" w:pos="220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80" w:hanging="545"/>
        <w:spacing w:after="0" w:line="266" w:lineRule="auto"/>
        <w:tabs>
          <w:tab w:leader="none" w:pos="22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200" w:hanging="545"/>
        <w:spacing w:after="0" w:line="258" w:lineRule="auto"/>
        <w:tabs>
          <w:tab w:leader="none" w:pos="22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Hicks upon Termination or Change of Control</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52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6620" w:type="dxa"/>
            <w:vAlign w:val="bottom"/>
            <w:vMerge w:val="restart"/>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80" w:type="dxa"/>
            <w:vAlign w:val="bottom"/>
          </w:tcPr>
          <w:p>
            <w:pPr>
              <w:spacing w:after="0"/>
              <w:rPr>
                <w:sz w:val="12"/>
                <w:szCs w:val="12"/>
                <w:color w:val="auto"/>
              </w:rPr>
            </w:pPr>
          </w:p>
        </w:tc>
        <w:tc>
          <w:tcPr>
            <w:tcW w:w="1520" w:type="dxa"/>
            <w:vAlign w:val="bottom"/>
            <w:gridSpan w:val="2"/>
          </w:tcPr>
          <w:p>
            <w:pPr>
              <w:jc w:val="center"/>
              <w:ind w:right="464"/>
              <w:spacing w:after="0" w:line="149" w:lineRule="exact"/>
              <w:rPr>
                <w:sz w:val="20"/>
                <w:szCs w:val="20"/>
                <w:color w:val="auto"/>
              </w:rPr>
            </w:pPr>
            <w:r>
              <w:rPr>
                <w:rFonts w:ascii="Times New Roman" w:cs="Times New Roman" w:eastAsia="Times New Roman" w:hAnsi="Times New Roman"/>
                <w:sz w:val="14"/>
                <w:szCs w:val="14"/>
                <w:b w:val="1"/>
                <w:bCs w:val="1"/>
                <w:color w:val="auto"/>
              </w:rPr>
              <w:t>for Termination</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1160" w:type="dxa"/>
            <w:vAlign w:val="bottom"/>
            <w:gridSpan w:val="2"/>
          </w:tcPr>
          <w:p>
            <w:pPr>
              <w:jc w:val="center"/>
              <w:ind w:left="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5,937,334</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5"/>
                <w:szCs w:val="15"/>
                <w:color w:val="auto"/>
                <w:w w:val="91"/>
              </w:rPr>
              <w:t>(4)</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1,703,900</w:t>
            </w:r>
            <w:r>
              <w:rPr>
                <w:rFonts w:ascii="Times New Roman" w:cs="Times New Roman" w:eastAsia="Times New Roman" w:hAnsi="Times New Roman"/>
                <w:sz w:val="15"/>
                <w:szCs w:val="15"/>
                <w:color w:val="auto"/>
              </w:rPr>
              <w:t>(1)</w:t>
            </w:r>
          </w:p>
        </w:tc>
        <w:tc>
          <w:tcPr>
            <w:tcW w:w="1700" w:type="dxa"/>
            <w:vAlign w:val="bottom"/>
            <w:gridSpan w:val="3"/>
          </w:tcPr>
          <w:p>
            <w:pPr>
              <w:jc w:val="right"/>
              <w:ind w:right="284"/>
              <w:spacing w:after="0"/>
              <w:rPr>
                <w:sz w:val="20"/>
                <w:szCs w:val="20"/>
                <w:color w:val="auto"/>
              </w:rPr>
            </w:pPr>
            <w:r>
              <w:rPr>
                <w:rFonts w:ascii="Times New Roman" w:cs="Times New Roman" w:eastAsia="Times New Roman" w:hAnsi="Times New Roman"/>
                <w:sz w:val="18"/>
                <w:szCs w:val="18"/>
                <w:color w:val="auto"/>
              </w:rPr>
              <w:t>1,868,667</w:t>
            </w:r>
            <w:r>
              <w:rPr>
                <w:rFonts w:ascii="Times New Roman" w:cs="Times New Roman" w:eastAsia="Times New Roman" w:hAnsi="Times New Roman"/>
                <w:sz w:val="15"/>
                <w:szCs w:val="15"/>
                <w:color w:val="auto"/>
              </w:rPr>
              <w:t>(5)</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5"/>
                <w:szCs w:val="15"/>
                <w:color w:val="auto"/>
              </w:rPr>
              <w:t>(6)</w:t>
            </w:r>
          </w:p>
        </w:tc>
        <w:tc>
          <w:tcPr>
            <w:tcW w:w="10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3,865</w:t>
            </w:r>
            <w:r>
              <w:rPr>
                <w:rFonts w:ascii="Times New Roman" w:cs="Times New Roman" w:eastAsia="Times New Roman" w:hAnsi="Times New Roman"/>
                <w:sz w:val="15"/>
                <w:szCs w:val="15"/>
                <w:color w:val="auto"/>
              </w:rPr>
              <w:t>(2)</w:t>
            </w:r>
          </w:p>
        </w:tc>
        <w:tc>
          <w:tcPr>
            <w:tcW w:w="180" w:type="dxa"/>
            <w:vAlign w:val="bottom"/>
          </w:tcPr>
          <w:p>
            <w:pPr>
              <w:spacing w:after="0"/>
              <w:rPr>
                <w:sz w:val="18"/>
                <w:szCs w:val="18"/>
                <w:color w:val="auto"/>
              </w:rPr>
            </w:pPr>
          </w:p>
        </w:tc>
        <w:tc>
          <w:tcPr>
            <w:tcW w:w="152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140,995</w:t>
            </w: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78,652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4,036,769</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1,707,765</w:t>
            </w:r>
          </w:p>
        </w:tc>
        <w:tc>
          <w:tcPr>
            <w:tcW w:w="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  7,806,239</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4,256,416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ind w:left="540" w:right="8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8"/>
          <w:szCs w:val="18"/>
          <w:color w:val="auto"/>
        </w:rPr>
        <w:t>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1" w:lineRule="exact"/>
        <w:rPr>
          <w:sz w:val="20"/>
          <w:szCs w:val="20"/>
          <w:color w:val="auto"/>
        </w:rPr>
      </w:pPr>
    </w:p>
    <w:p>
      <w:pPr>
        <w:ind w:left="540" w:right="4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3"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 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2"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65" w:lineRule="auto"/>
        <w:tabs>
          <w:tab w:leader="none" w:pos="5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291,461 Time Options (the unvested portion under the 2018 CEO Option Agreement immediately prior to February 1, 2020); and (ii)</w:t>
      </w:r>
    </w:p>
    <w:p>
      <w:pPr>
        <w:spacing w:after="0" w:line="9" w:lineRule="exact"/>
        <w:rPr>
          <w:sz w:val="20"/>
          <w:szCs w:val="20"/>
          <w:color w:val="auto"/>
        </w:rPr>
      </w:pPr>
    </w:p>
    <w:p>
      <w:pPr>
        <w:ind w:left="540" w:right="240"/>
        <w:spacing w:after="0" w:line="250" w:lineRule="auto"/>
        <w:rPr>
          <w:sz w:val="20"/>
          <w:szCs w:val="20"/>
          <w:color w:val="auto"/>
        </w:rPr>
      </w:pPr>
      <w:r>
        <w:rPr>
          <w:rFonts w:ascii="Times New Roman" w:cs="Times New Roman" w:eastAsia="Times New Roman" w:hAnsi="Times New Roman"/>
          <w:sz w:val="18"/>
          <w:szCs w:val="18"/>
          <w:color w:val="auto"/>
        </w:rPr>
        <w:t>$126,422, which is the product of (A) the difference between the Market Value Per Membership Interest and the exercise price ($5.26), and (B) 549,661 Time Options (the unvested portion under the 2019 CEO Option Agreement immediately prior to February 1, 2020).</w:t>
      </w:r>
    </w:p>
    <w:p>
      <w:pPr>
        <w:spacing w:after="0" w:line="1" w:lineRule="exact"/>
        <w:rPr>
          <w:sz w:val="20"/>
          <w:szCs w:val="20"/>
          <w:color w:val="auto"/>
        </w:rPr>
      </w:pPr>
    </w:p>
    <w:p>
      <w:pPr>
        <w:ind w:left="540" w:right="80" w:hanging="424"/>
        <w:spacing w:after="0" w:line="250"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Mullican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Mullican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Mullican’s employment without Cause or Mr. Mullican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320" w:hanging="4"/>
        <w:spacing w:after="0" w:line="282" w:lineRule="auto"/>
        <w:tabs>
          <w:tab w:leader="none" w:pos="8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Mullican and his covered dependents medical insurance benefits, contingent on Mr. Mullican electing continuation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 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sz w:val="20"/>
          <w:szCs w:val="20"/>
          <w:color w:val="auto"/>
        </w:rPr>
      </w:pPr>
    </w:p>
    <w:p>
      <w:pPr>
        <w:ind w:left="560" w:right="200" w:hanging="4"/>
        <w:spacing w:after="0" w:line="266" w:lineRule="auto"/>
        <w:tabs>
          <w:tab w:leader="none" w:pos="86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12" w:lineRule="exact"/>
        <w:rPr>
          <w:sz w:val="20"/>
          <w:szCs w:val="20"/>
          <w:color w:val="auto"/>
        </w:rPr>
      </w:pPr>
    </w:p>
    <w:p>
      <w:pPr>
        <w:ind w:left="1080" w:hanging="424"/>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6"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Mullican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1,327,936</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456,570</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92,908</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21,037</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66,418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1,322</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18,374</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2,071,700</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$ 478,929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1,443,092</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2,156,492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900" w:hanging="424"/>
        <w:spacing w:after="0" w:line="282"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his employment is terminated due to death or disability, the Company will pay to Mr. Mullican or his designated beneficiary or legal representative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 portion under the 2019 Executive Option Agreement that would have become vested on the vesting date immediately following termination had Mr. Mullican remained employed).</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ind w:left="54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 w:lineRule="exact"/>
        <w:rPr>
          <w:rFonts w:ascii="Times New Roman" w:cs="Times New Roman" w:eastAsia="Times New Roman" w:hAnsi="Times New Roman"/>
          <w:sz w:val="18"/>
          <w:szCs w:val="18"/>
          <w:color w:val="auto"/>
        </w:rPr>
      </w:pPr>
    </w:p>
    <w:p>
      <w:pPr>
        <w:ind w:left="540" w:right="60" w:hanging="424"/>
        <w:spacing w:after="0" w:line="265" w:lineRule="auto"/>
        <w:tabs>
          <w:tab w:leader="none" w:pos="54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Mullican’s portion of such premiums as if Mr. Mullican was an active employee, which</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payment shall be paid in advance on the first payroll day of each month during the such 24-month period ($912 per month).</w:t>
      </w:r>
    </w:p>
    <w:p>
      <w:pPr>
        <w:spacing w:after="0" w:line="27" w:lineRule="exact"/>
        <w:rPr>
          <w:sz w:val="20"/>
          <w:szCs w:val="20"/>
          <w:color w:val="auto"/>
        </w:rPr>
      </w:pPr>
    </w:p>
    <w:p>
      <w:pPr>
        <w:ind w:left="540" w:right="10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65"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 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Lawrence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Lawrence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Lawrence’s employment without Cause or Mr. Lawrence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20" w:hanging="4"/>
        <w:spacing w:after="0" w:line="254" w:lineRule="auto"/>
        <w:tabs>
          <w:tab w:leader="none" w:pos="87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80"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Lawrence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7, 2019, the Company granted 411,270 Time Options and 106,865 Performance Options with an exercise price of $5.26 to</w:t>
      </w:r>
    </w:p>
    <w:p>
      <w:pPr>
        <w:spacing w:after="0" w:line="27"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60" w:hanging="545"/>
        <w:spacing w:after="0" w:line="261"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00" w:hanging="545"/>
        <w:spacing w:after="0" w:line="266"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20" w:hanging="545"/>
        <w:spacing w:after="0" w:line="282" w:lineRule="auto"/>
        <w:tabs>
          <w:tab w:leader="none" w:pos="220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60"/>
          </w:cols>
          <w:pgMar w:left="320" w:top="455" w:right="51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080"/>
        <w:spacing w:after="0" w:line="261" w:lineRule="auto"/>
        <w:rPr>
          <w:sz w:val="20"/>
          <w:szCs w:val="20"/>
          <w:color w:val="auto"/>
        </w:rPr>
      </w:pPr>
      <w:r>
        <w:rPr>
          <w:rFonts w:ascii="Times New Roman" w:cs="Times New Roman" w:eastAsia="Times New Roman" w:hAnsi="Times New Roman"/>
          <w:sz w:val="18"/>
          <w:szCs w:val="18"/>
          <w:color w:val="auto"/>
        </w:rPr>
        <w:t>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Lawrence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1,410,000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756,646</w:t>
            </w:r>
            <w:r>
              <w:rPr>
                <w:rFonts w:ascii="Times New Roman" w:cs="Times New Roman" w:eastAsia="Times New Roman" w:hAnsi="Times New Roman"/>
                <w:sz w:val="15"/>
                <w:szCs w:val="15"/>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23,647</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94,592</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24,578</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782,797</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$ 780,293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1,432,248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901,967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his employment is terminated due to death or disability, the Company will pay to</w:t>
      </w:r>
    </w:p>
    <w:p>
      <w:pPr>
        <w:spacing w:after="0" w:line="27" w:lineRule="exact"/>
        <w:rPr>
          <w:rFonts w:ascii="Times New Roman" w:cs="Times New Roman" w:eastAsia="Times New Roman" w:hAnsi="Times New Roman"/>
          <w:sz w:val="18"/>
          <w:szCs w:val="18"/>
          <w:color w:val="auto"/>
        </w:rPr>
      </w:pPr>
    </w:p>
    <w:p>
      <w:pPr>
        <w:ind w:left="540"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ind w:left="540" w:right="1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right="40" w:hanging="424"/>
        <w:spacing w:after="0" w:line="277" w:lineRule="auto"/>
        <w:tabs>
          <w:tab w:leader="none" w:pos="5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61" w:lineRule="auto"/>
        <w:rPr>
          <w:sz w:val="20"/>
          <w:szCs w:val="20"/>
          <w:color w:val="auto"/>
        </w:rPr>
      </w:pPr>
      <w:r>
        <w:rPr>
          <w:rFonts w:ascii="Times New Roman" w:cs="Times New Roman" w:eastAsia="Times New Roman" w:hAnsi="Times New Roman"/>
          <w:sz w:val="18"/>
          <w:szCs w:val="18"/>
          <w:color w:val="auto"/>
        </w:rPr>
        <w:t>date) him under the Executive Team Bonus Plan for the two fiscal years of the Company immediately preceding the fiscal year in which the termination date occurs ($0 for 2017 and $0 for 2018).</w:t>
      </w:r>
    </w:p>
    <w:p>
      <w:pPr>
        <w:ind w:left="540" w:right="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Johnson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Johnson is not entitled to any severance payments or benefits if he is terminated for Cause or resigns without Good Reason.</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3" w:lineRule="exact"/>
        <w:rPr>
          <w:sz w:val="20"/>
          <w:szCs w:val="20"/>
          <w:color w:val="auto"/>
        </w:rPr>
      </w:pPr>
    </w:p>
    <w:p>
      <w:pPr>
        <w:ind w:left="120" w:right="80" w:hanging="4"/>
        <w:spacing w:after="0" w:line="255" w:lineRule="auto"/>
        <w:tabs>
          <w:tab w:leader="none" w:pos="3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Johnson’s employment without Cause or Mr. Johnson resigns for Good Reason, the Company shall pay:</w:t>
      </w:r>
    </w:p>
    <w:p>
      <w:pPr>
        <w:spacing w:after="0" w:line="117" w:lineRule="exact"/>
        <w:rPr>
          <w:sz w:val="20"/>
          <w:szCs w:val="20"/>
          <w:color w:val="auto"/>
        </w:rPr>
      </w:pPr>
    </w:p>
    <w:p>
      <w:pPr>
        <w:ind w:left="560" w:right="80" w:hanging="4"/>
        <w:spacing w:after="0" w:line="255" w:lineRule="auto"/>
        <w:tabs>
          <w:tab w:leader="none" w:pos="7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 during the 24 month period following the termination date; and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80" w:hanging="4"/>
        <w:spacing w:after="0" w:line="266" w:lineRule="auto"/>
        <w:tabs>
          <w:tab w:leader="none" w:pos="86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 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40" w:hanging="545"/>
        <w:spacing w:after="0" w:line="261"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20" w:hanging="545"/>
        <w:spacing w:after="0" w:line="261"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Johnson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54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56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112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1,316,378</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15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434,125</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87,284</w:t>
            </w:r>
            <w:r>
              <w:rPr>
                <w:rFonts w:ascii="Times New Roman" w:cs="Times New Roman" w:eastAsia="Times New Roman" w:hAnsi="Times New Roman"/>
                <w:sz w:val="15"/>
                <w:szCs w:val="15"/>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21,888</w:t>
            </w:r>
            <w:r>
              <w:rPr>
                <w:rFonts w:ascii="Times New Roman" w:cs="Times New Roman" w:eastAsia="Times New Roman" w:hAnsi="Times New Roman"/>
                <w:sz w:val="15"/>
                <w:szCs w:val="15"/>
                <w:color w:val="auto"/>
              </w:rPr>
              <w:t>(6)</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5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5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17,299</w:t>
            </w: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55,376</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56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(3)</w:t>
            </w:r>
          </w:p>
        </w:tc>
        <w:tc>
          <w:tcPr>
            <w:tcW w:w="100" w:type="dxa"/>
            <w:vAlign w:val="bottom"/>
          </w:tcPr>
          <w:p>
            <w:pPr>
              <w:spacing w:after="0"/>
              <w:rPr>
                <w:sz w:val="18"/>
                <w:szCs w:val="18"/>
                <w:color w:val="auto"/>
              </w:rPr>
            </w:pPr>
          </w:p>
        </w:tc>
        <w:tc>
          <w:tcPr>
            <w:tcW w:w="1480" w:type="dxa"/>
            <w:vAlign w:val="bottom"/>
            <w:gridSpan w:val="2"/>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15,747</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1,294,816</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$ 452,415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1,425,910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1,365,939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8"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sz w:val="20"/>
          <w:szCs w:val="20"/>
          <w:color w:val="auto"/>
        </w:rPr>
      </w:pPr>
    </w:p>
    <w:p>
      <w:pPr>
        <w:ind w:left="540" w:right="1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6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Johnson Employment Agreement, if the Company terminates Mr. Johnson’s employment without Cause or Mr. Johnson resigns for Good Reason, the Company shall pay an amount equal to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product of (x) the monthly basic life insurance premium applicable to his basic life insurance coverage immediately prior to the termination date ($15 per month) and (y) 24 months.</w:t>
      </w:r>
    </w:p>
    <w:p>
      <w:pPr>
        <w:jc w:val="both"/>
        <w:ind w:left="540" w:right="220" w:hanging="424"/>
        <w:spacing w:after="0" w:line="265" w:lineRule="auto"/>
        <w:tabs>
          <w:tab w:leader="none" w:pos="5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36,946 Time Options (the unvested portion under the 2017 Executive Option Agreement immediately prior to February 1, 2020); (ii)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Attaway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Mr. Attaway is not entitled to any severance payments or benefits if he is terminated for Cause or resigns without Good Reason.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Death or Disability</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54" w:lineRule="exact"/>
        <w:rPr>
          <w:sz w:val="20"/>
          <w:szCs w:val="20"/>
          <w:color w:val="auto"/>
        </w:rPr>
      </w:pPr>
    </w:p>
    <w:p>
      <w:pPr>
        <w:ind w:left="560" w:right="20" w:hanging="4"/>
        <w:spacing w:after="0" w:line="261" w:lineRule="auto"/>
        <w:tabs>
          <w:tab w:leader="none" w:pos="7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1" w:lineRule="exact"/>
        <w:rPr>
          <w:rFonts w:ascii="Times New Roman" w:cs="Times New Roman" w:eastAsia="Times New Roman" w:hAnsi="Times New Roman"/>
          <w:sz w:val="18"/>
          <w:szCs w:val="18"/>
          <w:color w:val="auto"/>
        </w:rPr>
      </w:pPr>
    </w:p>
    <w:p>
      <w:pPr>
        <w:ind w:left="560" w:hanging="4"/>
        <w:spacing w:after="0" w:line="261" w:lineRule="auto"/>
        <w:tabs>
          <w:tab w:leader="none" w:pos="82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payment within 30 days following the date of death. Such payment is in lieu of the bonus that would have otherwise been due to him under the Executive Team Bonus Plan for the performance period in which the termination date occurs.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Without Cause or for Good Reason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terminates Mr. Attaway’s employment without Cause or Mr. Attaway resigns for Good Reason, the Company shall pay:</w:t>
      </w:r>
    </w:p>
    <w:p>
      <w:pPr>
        <w:spacing w:after="0" w:line="117" w:lineRule="exact"/>
        <w:rPr>
          <w:sz w:val="20"/>
          <w:szCs w:val="20"/>
          <w:color w:val="auto"/>
        </w:rPr>
      </w:pPr>
    </w:p>
    <w:p>
      <w:pPr>
        <w:ind w:left="560" w:right="40" w:hanging="4"/>
        <w:spacing w:after="0" w:line="255" w:lineRule="auto"/>
        <w:tabs>
          <w:tab w:leader="none" w:pos="7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80" w:lineRule="exact"/>
        <w:rPr>
          <w:rFonts w:ascii="Times New Roman" w:cs="Times New Roman" w:eastAsia="Times New Roman" w:hAnsi="Times New Roman"/>
          <w:sz w:val="18"/>
          <w:szCs w:val="18"/>
          <w:color w:val="auto"/>
        </w:rPr>
      </w:pPr>
    </w:p>
    <w:p>
      <w:pPr>
        <w:ind w:left="560" w:right="40" w:hanging="4"/>
        <w:spacing w:after="0" w:line="253" w:lineRule="auto"/>
        <w:tabs>
          <w:tab w:leader="none" w:pos="87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 during the 24 month period following the termination date; and</w:t>
      </w:r>
    </w:p>
    <w:p>
      <w:pPr>
        <w:spacing w:after="0" w:line="98" w:lineRule="exact"/>
        <w:rPr>
          <w:rFonts w:ascii="Times New Roman" w:cs="Times New Roman" w:eastAsia="Times New Roman" w:hAnsi="Times New Roman"/>
          <w:sz w:val="18"/>
          <w:szCs w:val="18"/>
          <w:color w:val="auto"/>
        </w:rPr>
      </w:pPr>
    </w:p>
    <w:p>
      <w:pPr>
        <w:ind w:left="560" w:right="180" w:hanging="4"/>
        <w:spacing w:after="0" w:line="266" w:lineRule="auto"/>
        <w:tabs>
          <w:tab w:leader="none" w:pos="8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Attaway Employment Agreement contains the same definition of “Cause” provided in the Hicks Employment Agreement.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 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20" w:hanging="545"/>
        <w:spacing w:after="0" w:line="261"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83"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80" w:hanging="545"/>
        <w:spacing w:after="0" w:line="266"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Options</w:t>
      </w:r>
    </w:p>
    <w:p>
      <w:pPr>
        <w:spacing w:after="0" w:line="12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or Disability</w:t>
      </w:r>
    </w:p>
    <w:p>
      <w:pPr>
        <w:spacing w:after="0" w:line="132" w:lineRule="exact"/>
        <w:rPr>
          <w:rFonts w:ascii="Times New Roman" w:cs="Times New Roman" w:eastAsia="Times New Roman" w:hAnsi="Times New Roman"/>
          <w:sz w:val="18"/>
          <w:szCs w:val="18"/>
          <w:color w:val="auto"/>
        </w:rPr>
      </w:pPr>
    </w:p>
    <w:p>
      <w:pPr>
        <w:ind w:left="2200" w:right="100" w:hanging="545"/>
        <w:spacing w:after="0" w:line="261" w:lineRule="auto"/>
        <w:tabs>
          <w:tab w:leader="none" w:pos="220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540" w:hanging="331"/>
        <w:spacing w:after="0"/>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Control</w:t>
      </w:r>
    </w:p>
    <w:p>
      <w:pPr>
        <w:spacing w:after="0" w:line="132" w:lineRule="exact"/>
        <w:rPr>
          <w:rFonts w:ascii="Times New Roman" w:cs="Times New Roman" w:eastAsia="Times New Roman" w:hAnsi="Times New Roman"/>
          <w:sz w:val="18"/>
          <w:szCs w:val="18"/>
          <w:color w:val="auto"/>
        </w:rPr>
      </w:pPr>
    </w:p>
    <w:p>
      <w:pPr>
        <w:ind w:left="2200" w:right="360" w:hanging="545"/>
        <w:spacing w:after="0" w:line="266" w:lineRule="auto"/>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1" w:lineRule="exact"/>
        <w:rPr>
          <w:rFonts w:ascii="Times New Roman" w:cs="Times New Roman" w:eastAsia="Times New Roman" w:hAnsi="Times New Roman"/>
          <w:sz w:val="18"/>
          <w:szCs w:val="18"/>
          <w:color w:val="auto"/>
        </w:rPr>
      </w:pPr>
    </w:p>
    <w:p>
      <w:pPr>
        <w:ind w:left="2200" w:right="180" w:hanging="545"/>
        <w:spacing w:after="0" w:line="258" w:lineRule="auto"/>
        <w:tabs>
          <w:tab w:leader="none" w:pos="22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to Mr. Attaway upon Termination or Change of Control</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due to Death</w:t>
            </w:r>
          </w:p>
        </w:tc>
        <w:tc>
          <w:tcPr>
            <w:tcW w:w="280" w:type="dxa"/>
            <w:vAlign w:val="bottom"/>
          </w:tcPr>
          <w:p>
            <w:pPr>
              <w:spacing w:after="0"/>
              <w:rPr>
                <w:sz w:val="12"/>
                <w:szCs w:val="12"/>
                <w:color w:val="auto"/>
              </w:rPr>
            </w:pPr>
          </w:p>
        </w:tc>
        <w:tc>
          <w:tcPr>
            <w:tcW w:w="1580" w:type="dxa"/>
            <w:vAlign w:val="bottom"/>
            <w:gridSpan w:val="3"/>
          </w:tcPr>
          <w:p>
            <w:pPr>
              <w:jc w:val="center"/>
              <w:ind w:right="384"/>
              <w:spacing w:after="0" w:line="149" w:lineRule="exact"/>
              <w:rPr>
                <w:sz w:val="20"/>
                <w:szCs w:val="20"/>
                <w:color w:val="auto"/>
              </w:rPr>
            </w:pPr>
            <w:r>
              <w:rPr>
                <w:rFonts w:ascii="Times New Roman" w:cs="Times New Roman" w:eastAsia="Times New Roman" w:hAnsi="Times New Roman"/>
                <w:sz w:val="14"/>
                <w:szCs w:val="14"/>
                <w:b w:val="1"/>
                <w:bCs w:val="1"/>
                <w:color w:val="auto"/>
              </w:rPr>
              <w:t>or Resignation for</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2"/>
                <w:szCs w:val="12"/>
                <w:color w:val="auto"/>
              </w:rPr>
            </w:pPr>
          </w:p>
        </w:tc>
        <w:tc>
          <w:tcPr>
            <w:tcW w:w="12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8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60"/>
        </w:trPr>
        <w:tc>
          <w:tcPr>
            <w:tcW w:w="5720" w:type="dxa"/>
            <w:vAlign w:val="bottom"/>
            <w:gridSpan w:val="2"/>
            <w:vMerge w:val="continue"/>
          </w:tcPr>
          <w:p>
            <w:pPr>
              <w:spacing w:after="0"/>
              <w:rPr>
                <w:sz w:val="13"/>
                <w:szCs w:val="13"/>
                <w:color w:val="auto"/>
              </w:rPr>
            </w:pPr>
          </w:p>
        </w:tc>
        <w:tc>
          <w:tcPr>
            <w:tcW w:w="8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80" w:type="dxa"/>
            <w:vAlign w:val="bottom"/>
            <w:gridSpan w:val="2"/>
          </w:tcPr>
          <w:p>
            <w:pPr>
              <w:jc w:val="center"/>
              <w:ind w:lef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 and Bonus)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531,677</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1"/>
              </w:rPr>
              <w:t>(1)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1,244,520</w:t>
            </w:r>
          </w:p>
        </w:tc>
        <w:tc>
          <w:tcPr>
            <w:tcW w:w="4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91"/>
              </w:rPr>
              <w:t>(4)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Rata Bonus</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83,677</w:t>
            </w:r>
            <w:r>
              <w:rPr>
                <w:rFonts w:ascii="Times New Roman" w:cs="Times New Roman" w:eastAsia="Times New Roman" w:hAnsi="Times New Roman"/>
                <w:sz w:val="15"/>
                <w:szCs w:val="15"/>
                <w:color w:val="auto"/>
              </w:rPr>
              <w:t>(5)</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20,856</w:t>
            </w:r>
            <w:r>
              <w:rPr>
                <w:rFonts w:ascii="Times New Roman" w:cs="Times New Roman" w:eastAsia="Times New Roman" w:hAnsi="Times New Roman"/>
                <w:sz w:val="15"/>
                <w:szCs w:val="15"/>
                <w:color w:val="auto"/>
              </w:rPr>
              <w:t>(6)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Payment</w:t>
            </w:r>
          </w:p>
        </w:tc>
        <w:tc>
          <w:tcPr>
            <w:tcW w:w="2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360</w:t>
            </w:r>
            <w:r>
              <w:rPr>
                <w:rFonts w:ascii="Times New Roman" w:cs="Times New Roman" w:eastAsia="Times New Roman" w:hAnsi="Times New Roman"/>
                <w:sz w:val="15"/>
                <w:szCs w:val="15"/>
                <w:color w:val="auto"/>
              </w:rPr>
              <w:t>(7)</w:t>
            </w:r>
          </w:p>
        </w:tc>
        <w:tc>
          <w:tcPr>
            <w:tcW w:w="2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Time Options</w:t>
            </w:r>
          </w:p>
        </w:tc>
        <w:tc>
          <w:tcPr>
            <w:tcW w:w="12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25,285</w:t>
            </w: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65,251</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 Vesting of Performance Options</w:t>
            </w: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1,652</w:t>
            </w:r>
            <w:r>
              <w:rPr>
                <w:rFonts w:ascii="Times New Roman" w:cs="Times New Roman" w:eastAsia="Times New Roman" w:hAnsi="Times New Roman"/>
                <w:sz w:val="15"/>
                <w:szCs w:val="15"/>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16,086</w:t>
            </w: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776,889</w:t>
            </w: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$ 558,614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1,349,413</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858,226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5" w:lineRule="exact"/>
        <w:rPr>
          <w:rFonts w:ascii="Times New Roman" w:cs="Times New Roman" w:eastAsia="Times New Roman" w:hAnsi="Times New Roman"/>
          <w:sz w:val="18"/>
          <w:szCs w:val="18"/>
          <w:color w:val="auto"/>
        </w:rPr>
      </w:pPr>
    </w:p>
    <w:p>
      <w:pPr>
        <w:ind w:left="540" w:right="280" w:hanging="424"/>
        <w:spacing w:after="0" w:line="253"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the exercise price ($5.30), and (B) 30,789 Time Options (the portion under the 2017 Executive Option Agreement that would have become vested on the vesting date immediately following termination had 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3" w:lineRule="exact"/>
        <w:rPr>
          <w:sz w:val="20"/>
          <w:szCs w:val="20"/>
          <w:color w:val="auto"/>
        </w:rPr>
      </w:pPr>
    </w:p>
    <w:p>
      <w:pPr>
        <w:ind w:left="540" w:right="2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Times New Roman" w:cs="Times New Roman" w:eastAsia="Times New Roman" w:hAnsi="Times New Roman"/>
          <w:sz w:val="18"/>
          <w:szCs w:val="18"/>
          <w:color w:val="auto"/>
        </w:rPr>
      </w:pPr>
    </w:p>
    <w:p>
      <w:pPr>
        <w:ind w:left="540" w:right="26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ind w:left="540" w:firstLine="8"/>
        <w:spacing w:after="0" w:line="250" w:lineRule="auto"/>
        <w:tabs>
          <w:tab w:leader="none" w:pos="83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2" w:lineRule="exact"/>
        <w:rPr>
          <w:rFonts w:ascii="Times New Roman" w:cs="Times New Roman" w:eastAsia="Times New Roman" w:hAnsi="Times New Roman"/>
          <w:sz w:val="18"/>
          <w:szCs w:val="18"/>
          <w:color w:val="auto"/>
        </w:rPr>
      </w:pPr>
    </w:p>
    <w:p>
      <w:pPr>
        <w:ind w:left="540" w:right="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Times New Roman" w:cs="Times New Roman" w:eastAsia="Times New Roman" w:hAnsi="Times New Roman"/>
          <w:sz w:val="18"/>
          <w:szCs w:val="18"/>
          <w:color w:val="auto"/>
        </w:rPr>
      </w:pPr>
    </w:p>
    <w:p>
      <w:pPr>
        <w:jc w:val="both"/>
        <w:ind w:left="540" w:right="240" w:hanging="424"/>
        <w:spacing w:after="0" w:line="265" w:lineRule="auto"/>
        <w:tabs>
          <w:tab w:leader="none" w:pos="5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ind w:left="840" w:hanging="292"/>
        <w:spacing w:after="0"/>
        <w:tabs>
          <w:tab w:leader="none" w:pos="8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29,585 Time Options (the unvested portion under the 2016 Executive Option Agreement immediately prior to February 1, 2020); (ii)</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$11,699, which is the product of (A) the difference between the Market Value Per Membership Interest and the exercise price ($5.30), and (B) 61,578 Time Options (the unvested portion under the 2017 Executive 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5" w:lineRule="exact"/>
        <w:rPr>
          <w:sz w:val="20"/>
          <w:szCs w:val="20"/>
          <w:color w:val="auto"/>
        </w:rPr>
      </w:pPr>
    </w:p>
    <w:p>
      <w:pPr>
        <w:ind w:left="540" w:hanging="424"/>
        <w:spacing w:after="0" w:line="250"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2" w:lineRule="exact"/>
        <w:rPr>
          <w:rFonts w:ascii="Times New Roman" w:cs="Times New Roman" w:eastAsia="Times New Roman" w:hAnsi="Times New Roman"/>
          <w:sz w:val="18"/>
          <w:szCs w:val="18"/>
          <w:color w:val="auto"/>
        </w:rPr>
      </w:pPr>
    </w:p>
    <w:p>
      <w:pPr>
        <w:ind w:left="540" w:right="240" w:hanging="424"/>
        <w:spacing w:after="0" w:line="253" w:lineRule="auto"/>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 Table for 2019</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20" w:type="dxa"/>
            <w:vAlign w:val="bottom"/>
          </w:tcPr>
          <w:p>
            <w:pPr>
              <w:spacing w:after="0"/>
              <w:rPr>
                <w:sz w:val="15"/>
                <w:szCs w:val="15"/>
                <w:color w:val="auto"/>
              </w:rPr>
            </w:pPr>
          </w:p>
        </w:tc>
        <w:tc>
          <w:tcPr>
            <w:tcW w:w="68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T. Marley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amount of cash retainers paid during 2019.</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Times New Roman" w:cs="Times New Roman" w:eastAsia="Times New Roman" w:hAnsi="Times New Roman"/>
          <w:sz w:val="18"/>
          <w:szCs w:val="18"/>
          <w:i w:val="1"/>
          <w:iCs w:val="1"/>
          <w:color w:val="auto"/>
        </w:rPr>
        <w:t>Equity and Unit-Based Compensation</w:t>
      </w:r>
      <w:r>
        <w:rPr>
          <w:rFonts w:ascii="Times New Roman" w:cs="Times New Roman" w:eastAsia="Times New Roman" w:hAnsi="Times New Roman"/>
          <w:sz w:val="18"/>
          <w:szCs w:val="18"/>
          <w:color w:val="auto"/>
        </w:rPr>
        <w:t xml:space="preserve"> to our consolidated financial statements included in this prospectus for the assumptions used in calculating these values.</w:t>
      </w:r>
    </w:p>
    <w:p>
      <w:pPr>
        <w:spacing w:after="0" w:line="1"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has been granted Restricted Units pursuant to a Restricted Unit Agreement under the 2011 Equity Plan, which contains the following vesting terms: subject to the grantee’s continued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service on such date, 100% of the Restricted Units vest on the earliest of (i)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 Marley and Simon was granted 18,215 Restricted Units, all of which vest on the earliest of (i) the first anniversary of the grant date, (ii) the grantee’s death or disability or (iii) a Change of Control.</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Effective upon the consummation of this offering, we expect to adopt the following annual compensation policy pursuant to which each of our non-employee directors who are not employed by KKR will be entitled to the following compensation:</w:t>
      </w:r>
    </w:p>
    <w:p>
      <w:pPr>
        <w:spacing w:after="0" w:line="67"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$100,000, payable quarterly in arrears in installments of $25,000;</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serving as chair of the following committees of our Board will receive the following additional annual retainers, each of which is also payable quarterly in arrears:</w:t>
      </w:r>
    </w:p>
    <w:p>
      <w:pPr>
        <w:spacing w:after="0" w:line="54" w:lineRule="exact"/>
        <w:rPr>
          <w:sz w:val="20"/>
          <w:szCs w:val="20"/>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$25,000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$20,000</w:t>
      </w:r>
    </w:p>
    <w:p>
      <w:pPr>
        <w:spacing w:after="0" w:line="117"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Chair: $15,000; and</w:t>
      </w:r>
    </w:p>
    <w:p>
      <w:pPr>
        <w:spacing w:after="0" w:line="25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closing price of our common stock on the grant date and vest 100% on the business day immediately preceding our next annual meeting of stockholders;</w:t>
      </w:r>
    </w:p>
    <w:p>
      <w:pPr>
        <w:spacing w:after="0" w:line="7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non-employee director of the Company (other than the directors employed by KKR) is appointed to the Board after the first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following an annual meeting of stockholders, such non-employee director will be paid the above-described annual retainer(s) and granted the above-described annual grant on a pro-rated basis based on a number of days beginning on the date on which such non-employee director commences service on the Board and ending on the vesting date for such pro-rated grant (which vesting date shall be the same vesting date on which the corresponding annual grant that was made to the other non-employee directors shall vest).</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60" w:firstLine="44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stockholders’ agreement with the KKR Stockholders. The stockholders’ agreement will grant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 (iii) 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will be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4</w:t>
      </w:r>
      <w:r>
        <w:rPr>
          <w:rFonts w:ascii="Times New Roman" w:cs="Times New Roman" w:eastAsia="Times New Roman" w:hAnsi="Times New Roman"/>
          <w:sz w:val="18"/>
          <w:szCs w:val="18"/>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20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stockholders’ agreement will grant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will amend and restate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Monitoring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17"/>
          <w:szCs w:val="17"/>
          <w:color w:val="auto"/>
        </w:rPr>
        <w:t>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and approximately $1.8 million in each of the twenty-six weeks ended August 1, 2020 and August 3, 2019. These expenses are included in SG&amp;A expenses in the consolidated statements of income.</w:t>
      </w:r>
    </w:p>
    <w:p>
      <w:pPr>
        <w:spacing w:after="0" w:line="17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including this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In connection with this offering, the Monitoring Agreement will terminate automatically in accordance with its terms and we expect to pay termination fees of approximately $12.3 million to Adviser. Pursuant to a separate agreement, the Adviser is expected to share $1.6 million of such termination fee with the Gochman Investors.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Purchases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Receivable from Member</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Under the current limited liability company agreement for New Academy Holding Company, LLC, each of the Gochman Investors may require the Company to provide a tax loan on their behalf under certain circumstances. On April 10, 2019, the Company loaned $4.0 million with a note receivable issued to one of the Gochman Investors. The note receivable bears semi-annual compounding interest at 2.5% per annum with outstanding principal and interest due on April 10, 2022, and is recorded in other non-current assets in the consolidated balance sheet. On April 5, 2018, the Company loaned $4.1 million with a note receivable issued to one of the Gochman Investors. The note receivable bears semi-annual compounding interest at 2.1% per annum,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our directors and executive officers.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or executive officers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Unitholders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Additionally, following the initial public offering of our common stock, the directors and executive officers party to the Management Unitholders Agreement will have limited “piggyback” registration rights with respect to their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Distribution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fact that transactions with related persons present a heightened risk of conflicts of interests and/or improper valuation (or the perception thereof). Prior to the completion of this offering, our board of directors will adopt a written statement of policy regarding transactions with related persons, which we refer to as our “related person policy,” that is in conformity with the requirements upon issuers having publicly-held common stock that is listed on Nasdaq.</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related person policy will require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by (1) each person known to us to beneficially own more than 5% of our voting securities, (2) each of our directors and director nominees, (3) each of our named executive officers and (4) all directors and executive officers as a group.</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outstanding and percentage of beneficial ownership before this offering are based on the number of shares to be issued and outstanding immediately prior to the consummation of this offering, including after giving effect to the Reorganization Transactions. The number of shares of common stock and percentage of beneficial ownership after the consummation of this offering set forth below are based on the number of shares to be issued and outstanding immediately after the consummation of this offering.</w:t>
      </w:r>
    </w:p>
    <w:p>
      <w:pPr>
        <w:spacing w:after="0" w:line="180"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70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17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50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0" w:type="dxa"/>
            <w:vAlign w:val="bottom"/>
            <w:tcBorders>
              <w:top w:val="single" w:sz="8" w:color="auto"/>
            </w:tcBorders>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After the</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Assuming</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Underwriters’</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is</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5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to the</w:t>
            </w:r>
          </w:p>
        </w:tc>
        <w:tc>
          <w:tcPr>
            <w:tcW w:w="16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Option is Not</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7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2"/>
                <w:szCs w:val="12"/>
                <w:b w:val="1"/>
                <w:bCs w:val="1"/>
                <w:color w:val="auto"/>
              </w:rPr>
              <w:t>(1)</w:t>
            </w:r>
          </w:p>
        </w:tc>
        <w:tc>
          <w:tcPr>
            <w:tcW w:w="3620" w:type="dxa"/>
            <w:vAlign w:val="bottom"/>
            <w:vMerge w:val="restart"/>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Exercised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Full</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2"/>
                <w:szCs w:val="12"/>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tcPr>
          <w:p>
            <w:pPr>
              <w:spacing w:after="0"/>
              <w:rPr>
                <w:sz w:val="12"/>
                <w:szCs w:val="12"/>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Greater than 5% Stockholders</w:t>
            </w: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KKR Stockholders</w:t>
            </w:r>
            <w:r>
              <w:rPr>
                <w:rFonts w:ascii="Times New Roman" w:cs="Times New Roman" w:eastAsia="Times New Roman" w:hAnsi="Times New Roman"/>
                <w:sz w:val="15"/>
                <w:szCs w:val="15"/>
                <w:color w:val="auto"/>
              </w:rPr>
              <w:t>(2)</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61,587,301</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84.97%</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69.90%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MSI 2011 LLC (a Gochman Investor)</w:t>
            </w:r>
            <w:r>
              <w:rPr>
                <w:rFonts w:ascii="Times New Roman" w:cs="Times New Roman" w:eastAsia="Times New Roman" w:hAnsi="Times New Roman"/>
                <w:sz w:val="15"/>
                <w:szCs w:val="15"/>
                <w:color w:val="auto"/>
              </w:rPr>
              <w:t>(3)</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5,929,249</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8.18%</w:t>
            </w:r>
          </w:p>
        </w:tc>
        <w:tc>
          <w:tcPr>
            <w:tcW w:w="16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6.73%</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Named Executive Officers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 C. Hicks</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614,488</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P. Mullican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126,879</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Steven P. Lawrence</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52,437</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Samuel J. Johnson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96,270</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Kenneth D. Attaway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617,779</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Director Nominees</w:t>
            </w:r>
            <w:r>
              <w:rPr>
                <w:rFonts w:ascii="Times New Roman" w:cs="Times New Roman" w:eastAsia="Times New Roman" w:hAnsi="Times New Roman"/>
                <w:sz w:val="15"/>
                <w:szCs w:val="15"/>
                <w:color w:val="auto"/>
              </w:rPr>
              <w:t>(4)(5)</w:t>
            </w: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Brian T. Marley</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26,825</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Vishal V. Patel</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Allen I. Questrom</w:t>
            </w:r>
            <w:r>
              <w:rPr>
                <w:rFonts w:ascii="Times New Roman" w:cs="Times New Roman" w:eastAsia="Times New Roman" w:hAnsi="Times New Roman"/>
                <w:sz w:val="15"/>
                <w:szCs w:val="15"/>
                <w:color w:val="auto"/>
              </w:rPr>
              <w:t>(6)</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William S. Simon</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31,007</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Nathaniel H. Taylor</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Jeffrey C. Tweedy</w:t>
            </w:r>
            <w:r>
              <w:rPr>
                <w:rFonts w:ascii="Times New Roman" w:cs="Times New Roman" w:eastAsia="Times New Roman" w:hAnsi="Times New Roman"/>
                <w:sz w:val="15"/>
                <w:szCs w:val="15"/>
                <w:color w:val="auto"/>
              </w:rPr>
              <w:t>(6)</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Aileen X. Yan</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Directors, director nominees and executive officers as a group</w:t>
            </w:r>
            <w:r>
              <w:rPr>
                <w:rFonts w:ascii="Times New Roman" w:cs="Times New Roman" w:eastAsia="Times New Roman" w:hAnsi="Times New Roman"/>
                <w:sz w:val="15"/>
                <w:szCs w:val="15"/>
                <w:color w:val="auto"/>
              </w:rPr>
              <w:t>(4)(5)</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(sixteen persons)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2,266,437</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3.13%</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 of common stock outstanding.</w:t>
      </w:r>
    </w:p>
    <w:p>
      <w:pPr>
        <w:spacing w:after="0" w:line="27" w:lineRule="exact"/>
        <w:rPr>
          <w:sz w:val="20"/>
          <w:szCs w:val="20"/>
          <w:color w:val="auto"/>
        </w:rPr>
      </w:pPr>
    </w:p>
    <w:p>
      <w:pPr>
        <w:ind w:left="540" w:right="560" w:hanging="424"/>
        <w:spacing w:after="0" w:line="260" w:lineRule="auto"/>
        <w:tabs>
          <w:tab w:leader="none" w:pos="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below, the address of each of the individuals named above is: c/o Academy Sports + Outdoors, Attention: General Counsel, 1800 North Mason Road, Katy, Texas 77449.</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312" w:lineRule="auto"/>
        <w:tabs>
          <w:tab w:leader="none" w:pos="5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Reorganization Transactions, (1) KKR 2006 Allstar Blocker L.P. will hold 11,102,479 shares of our common stock; (2) Allstar Co-Invest Blocker L.P. will hold 22,031,748 shares of our common stock; and (3) Allstar LLC will hold 28,453,073 shares of our common stock.</w:t>
      </w:r>
    </w:p>
    <w:p>
      <w:pPr>
        <w:spacing w:after="0" w:line="45" w:lineRule="exact"/>
        <w:rPr>
          <w:rFonts w:ascii="Times New Roman" w:cs="Times New Roman" w:eastAsia="Times New Roman" w:hAnsi="Times New Roman"/>
          <w:sz w:val="17"/>
          <w:szCs w:val="17"/>
          <w:color w:val="auto"/>
        </w:rPr>
      </w:pPr>
    </w:p>
    <w:p>
      <w:pPr>
        <w:ind w:left="5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9 West 57th Street, Suite 4200, New York, NY, 10019. The principal business address for Mr. Roberts is c/o Kohlberg Kravis Roberts &amp; Co. L.P., 2800 Sand Hill Road, Suite 200, Menlo Park, CA 94025.</w:t>
      </w:r>
    </w:p>
    <w:p>
      <w:pPr>
        <w:spacing w:after="0" w:line="99" w:lineRule="exact"/>
        <w:rPr>
          <w:rFonts w:ascii="Times New Roman" w:cs="Times New Roman" w:eastAsia="Times New Roman" w:hAnsi="Times New Roman"/>
          <w:sz w:val="17"/>
          <w:szCs w:val="17"/>
          <w:color w:val="auto"/>
        </w:rPr>
      </w:pPr>
    </w:p>
    <w:p>
      <w:pPr>
        <w:ind w:left="540" w:right="80" w:hanging="424"/>
        <w:spacing w:after="0" w:line="257"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owns shares of our common stock indirectly through his or her ownership of membership interests in Allstar Managers, which directly holds shares of our common stock.</w:t>
      </w:r>
    </w:p>
    <w:p>
      <w:pPr>
        <w:ind w:left="540" w:right="120" w:hanging="424"/>
        <w:spacing w:after="0" w:line="250" w:lineRule="auto"/>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includes shares covered by (i) options that are or will become exercisable and (ii) restricted stock awards that vest or will vest, in each case within 60 days as follows:</w:t>
      </w:r>
    </w:p>
    <w:p>
      <w:pPr>
        <w:ind w:left="540" w:right="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Hicks,525,055; Mr. Mullican, 126,879; Mr. Lawrence, 52,437; Mr. Johnson, 91,006; Mr. Attaway, 541,589; and all directors and executive officers as a group 1,986,184.</w:t>
      </w:r>
    </w:p>
    <w:p>
      <w:pPr>
        <w:ind w:left="540" w:hanging="424"/>
        <w:spacing w:after="0"/>
        <w:tabs>
          <w:tab w:leader="none" w:pos="5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elected to the board upon or before the consummation of this offering.</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176"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Our purpose is to engage in any lawful act or activity for which corporations may now or hereafter be organized under the DGCL. Upon consummation of this offering, our authorized capital stock will consist of 300 million shares of common stock, par value $0.01 per share, and 50 million shares of preferred stock. Immediately following the completion of this offering, there are expected to be outstanding 88,103,095 shares of common stock (or 90,446,845 shares if the underwriters exercise in full their over-allotment 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662 3% vote of the then outstanding shares of our common stock is required, the affirmative vote of a majority in voting power of shares present at a meeting of the holders of our common stock is required.</w:t>
      </w:r>
    </w:p>
    <w:p>
      <w:pPr>
        <w:spacing w:after="0" w:line="16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conversion rights. There are no redemption or sinking fund provisions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preferred stock outstanding. However, 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will be able to determine, with respect to any series of preferred stock, the terms and rights of that series, including:</w:t>
      </w:r>
    </w:p>
    <w:p>
      <w:pPr>
        <w:spacing w:after="0" w:line="85" w:lineRule="exact"/>
        <w:rPr>
          <w:sz w:val="20"/>
          <w:szCs w:val="20"/>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and the dividend rate of the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at which dividends, if any, will be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shares of the series;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shares of the series in the event of any voluntary or involuntary liquidation, dissolution or winding-up of the affairs of the Company;</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shares of the same series or of any other class or series;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series.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Certain Provisions of Delaware Law</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81" w:lineRule="exact"/>
        <w:rPr>
          <w:sz w:val="20"/>
          <w:szCs w:val="20"/>
          <w:color w:val="auto"/>
        </w:rPr>
      </w:pPr>
    </w:p>
    <w:p>
      <w:pPr>
        <w:ind w:left="1080" w:right="32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7"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any of KKR Stockholders and their affiliates and any of their respective direct or indirect transferees and any group as to which such persons are a party do not constitute “interested stockholders” for purposes of this provision.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KKR Stockholders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KKR Stockholders and their affiliates for as long as the stockholders agreement to be entered into in connection with this offering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KKR Stockholders and their affiliates beneficially own, in the aggregate, less than 40% of the voting power of all outstanding shares of stock entitled to vote generally in the election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Provisions</w:t>
      </w:r>
    </w:p>
    <w:p>
      <w:pPr>
        <w:spacing w:after="0" w:line="121" w:lineRule="exact"/>
        <w:rPr>
          <w:sz w:val="20"/>
          <w:szCs w:val="20"/>
          <w:color w:val="auto"/>
        </w:rPr>
      </w:pPr>
    </w:p>
    <w:p>
      <w:pPr>
        <w:ind w:left="120" w:right="40" w:firstLine="44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voting power of all the then-outstanding shares of stock entitled to vote generally in the election of directors, voting together as a single class.</w:t>
      </w:r>
    </w:p>
    <w:p>
      <w:pPr>
        <w:spacing w:after="0" w:line="19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once KKR Stockholders and their affiliates beneficially own, in the aggregate, less than 40% of the voting power of all outstanding shares of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13" w:lineRule="auto"/>
        <w:rPr>
          <w:sz w:val="20"/>
          <w:szCs w:val="20"/>
          <w:color w:val="auto"/>
        </w:rPr>
      </w:pPr>
      <w:r>
        <w:rPr>
          <w:rFonts w:ascii="Times New Roman" w:cs="Times New Roman" w:eastAsia="Times New Roman" w:hAnsi="Times New Roman"/>
          <w:sz w:val="18"/>
          <w:szCs w:val="18"/>
          <w:color w:val="auto"/>
        </w:rPr>
        <w:t>entitled to vote generally in the election of directors, the following provisions in our amended and restated certificate of incorporation may be amended, altered, repealed or rescinded only by the affirmative vote of the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the voting power of all outstanding shares of stock entitled to vote generally in the election of directors, voting together as a single class:</w:t>
      </w:r>
    </w:p>
    <w:p>
      <w:pPr>
        <w:spacing w:after="0" w:line="3" w:lineRule="exact"/>
        <w:rPr>
          <w:sz w:val="20"/>
          <w:szCs w:val="20"/>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 for stockholders to amend our amended and restated bylaws;</w:t>
      </w:r>
    </w:p>
    <w:p>
      <w:pPr>
        <w:spacing w:after="0" w:line="1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competition and corporate opportunities;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stockholder action by written consent;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of directors and newly created directorships;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supermajority vote.</w:t>
      </w:r>
    </w:p>
    <w:p>
      <w:pPr>
        <w:spacing w:after="0" w:line="20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subject to limited exceptions, that unless we consent to the selection of an alternative forum, the Court of Chancery of the State of Delaware will, to the fullest extent permitted by law, be the sole and exclusive forum for any</w:t>
      </w:r>
    </w:p>
    <w:p>
      <w:pPr>
        <w:spacing w:after="0" w:line="1" w:lineRule="exact"/>
        <w:rPr>
          <w:sz w:val="20"/>
          <w:szCs w:val="20"/>
          <w:color w:val="auto"/>
        </w:rPr>
      </w:pPr>
    </w:p>
    <w:p>
      <w:pPr>
        <w:ind w:left="120" w:hanging="4"/>
        <w:spacing w:after="0" w:line="251" w:lineRule="auto"/>
        <w:tabs>
          <w:tab w:leader="none" w:pos="33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or as amended, the ABL Facility, to increase the commitments under the facility from $650 million to $1 billion. The ABL Facility matures on May 22, 2023, subject to a springing maturity clause which is triggered 91 days before the July 2, 2022 maturity of the Term Loan Facility should it not be paid off or extended at least 91 days beyond the May 22, 2023 maturity date of the ABL Facility. Academy, Ltd. has the option to increase the commitments under the ABL Facility by $250 million, subject to the satisfaction of certain conditions under the credit agreement governing the ABL Facility.</w:t>
      </w:r>
    </w:p>
    <w:p>
      <w:pPr>
        <w:spacing w:after="0" w:line="189"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90% of the net orderly liquidation value percentage of our eligible inventory on a consolidated basis,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then applicable amount of all reserves.</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August 1, 2020, we had outstanding letters of credit of approximately $29.7 million, of which $19.9 million were issued under the ABL Facility, and no borrowings outstanding under the ABL Facility, leaving the available borrowing capacity under the ABL Facility of $694.1 million (which is subject to customary borrowing conditions, including a borrowing base).</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August 1, 2020, no future prepayments of outstanding loans have been triggered under the terms and conditions of the ABL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Term Loan Facility, with Morgan Stanley Senior Funding, Inc., as the administrative and collateral agent, and other lenders. The Term Loan Facility matures on July 2, 2022. The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Term Loan Facility also require that outstanding loans under the Term Loan Facility are prepaid under certain circumstances. As of August 1, 2020, no prepayments of outstanding loans have been triggered under the terms and conditions of the Term Loan Facility.</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Beginning in the third quarter of 2017 through the end of 2017, we repurchased a total of $26.2 million of principal of the Term Loan Facility, which was trading at a discount, for $19.7 million in open market transactions and recognized a related net gain of $6.3 million. In 2019, we repurchased $147.7 million of principal of the Term Loan Facility, which was trading at a discount, for $104.6 million in open market transactions and recognized a net gain of $42.3 million. As of August 1, 2020, there was $1,434.0 million of principal outstanding under the Term Loan Facility, net of discount.</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Liens and Guarantees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All obligations under the Term Loan Facility and the guarantees of those obligations are secured by:</w:t>
      </w:r>
    </w:p>
    <w:p>
      <w:pPr>
        <w:spacing w:after="0" w:line="81"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ABL Facility and the Term Loan Facility are each guaranteed on a senior secured basis by New Academy Holding Company, LLC and all of its subsidiaries, except for Academy International Limited, a Hong Kong limited liability company and subsidiary of Academy,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credit agreements governing ABL Facility and the Term Loan Facility contain covenants, including, among other things, covenants that restrict Academy, Ltd.’s and its restricted subsidiaries’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certain minimum adjusted fixed charge coverage ratio. These covenants are subject to certain qualifications and limitations. We were in compliance with these covenants as of August 1, 2020.</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credit agreements governing the ABL Facility and the Term Loan Facility contain customary events of default including, but not limited to,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Future 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owners in the public market following this offering could cause the market price of our common stock to decline.”</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we will have a total of 88,103,095 shares of our common stock outstanding (or 90,446,845 shares if the underwriters exercise in full their over-allotment option). Of the outstanding shares, the 15,625,000 shares sold in this offering (or 17,968,750 shares if the underwriters exercise in full their over-allotment option) will be freely tradable without restriction or further registration under the Securities Act, except that any shares held by our affiliates, as that term is defined under Rule 144, including our directors, executive officers and other affiliates (including our existing owners), may be sold only in compliance with the limitations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our executive officers, directors and certain of our existing owners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180 days after the date of this prospectus. See “Underwriting.”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beginning 90 days after the date of this prospectus, a number of shares that does not exceed the greater of:</w:t>
      </w:r>
    </w:p>
    <w:p>
      <w:pPr>
        <w:spacing w:after="0" w:line="85" w:lineRule="exact"/>
        <w:rPr>
          <w:sz w:val="20"/>
          <w:szCs w:val="20"/>
          <w:color w:val="auto"/>
        </w:rPr>
      </w:pPr>
    </w:p>
    <w:p>
      <w:pPr>
        <w:ind w:left="1080" w:right="10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881,031 shares immediately after this offering (or 904,468 shares if the underwriters exercise in full their over-allotment option); or</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Nasdaq during the four calendar weeks preceding the filing of a notice on Form 144 with respect to such sale.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issuance under the existing 2011 Equity Plan and the 2020 Equity Plan and the ESPP to be adopted in connection with this offering. Any such Form S-8 registration statement will automatically become effective upon filing. Accordingly shares of our common stock registered under such registration statements will be available for sale in the open market. We expect that the initial registration statement on Form S-8 will cover 15,983,311 shares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rights some holders of common stock will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this offering, the shares of our common stock covered by registration rights would represent approximately 82% of our outstanding common stock (or approximately 80%,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67" w:lineRule="exact"/>
        <w:rPr>
          <w:sz w:val="20"/>
          <w:szCs w:val="20"/>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89" w:lineRule="exact"/>
        <w:rPr>
          <w:sz w:val="20"/>
          <w:szCs w:val="20"/>
          <w:color w:val="auto"/>
        </w:rPr>
      </w:pPr>
    </w:p>
    <w:p>
      <w:pPr>
        <w:jc w:val="both"/>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67" w:lineRule="exact"/>
        <w:rPr>
          <w:sz w:val="20"/>
          <w:szCs w:val="20"/>
          <w:color w:val="auto"/>
        </w:rPr>
      </w:pPr>
    </w:p>
    <w:p>
      <w:pPr>
        <w:ind w:left="1080" w:right="42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and certain other conditions are met.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we are not and do not anticipate becoming a “U.S. real property holding corporation” for U.S. federal income tax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560"/>
        <w:spacing w:after="0"/>
        <w:tabs>
          <w:tab w:leader="none" w:pos="7920" w:val="left"/>
        </w:tabs>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r>
        <w:rPr>
          <w:sz w:val="20"/>
          <w:szCs w:val="20"/>
          <w:color w:val="auto"/>
        </w:rPr>
        <w:tab/>
      </w:r>
      <w:r>
        <w:rPr>
          <w:rFonts w:ascii="Times New Roman" w:cs="Times New Roman" w:eastAsia="Times New Roman" w:hAnsi="Times New Roman"/>
          <w:sz w:val="17"/>
          <w:szCs w:val="17"/>
          <w:color w:val="auto"/>
        </w:rPr>
        <w:t>, 2020, we have agreed to sell to the</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underwriters named below, for whom Credit Suisse Securities (USA) LLC and J.P. Morgan Securities LLC are acting as representatives, the following respective numbers of shares of common stock:</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Underwriter</w:t>
            </w: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3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KKR Capital Markets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Stephens Inc.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CastleOak Securities, L.P.</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Blaylock Van, LLC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2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2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15,625,000</w:t>
            </w:r>
          </w:p>
        </w:tc>
        <w:tc>
          <w:tcPr>
            <w:tcW w:w="3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2,343,750 additional shares at the initial public offering price less the underwriting discounts and commissions. The option may be exercised only to cover any over-allotments of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selling group members at that price less a selling concession of up to $ per share. After the initial public offering the representatives may change the public offering price and concession.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will pay:</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5"/>
                <w:szCs w:val="15"/>
                <w:color w:val="auto"/>
              </w:rPr>
            </w:pPr>
          </w:p>
        </w:tc>
        <w:tc>
          <w:tcPr>
            <w:tcW w:w="17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3900" w:type="dxa"/>
            <w:vAlign w:val="bottom"/>
          </w:tcPr>
          <w:p>
            <w:pPr>
              <w:spacing w:after="0"/>
              <w:rPr>
                <w:sz w:val="10"/>
                <w:szCs w:val="10"/>
                <w:color w:val="auto"/>
              </w:rPr>
            </w:pP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800" w:type="dxa"/>
            <w:vAlign w:val="bottom"/>
          </w:tcPr>
          <w:p>
            <w:pPr>
              <w:spacing w:after="0"/>
              <w:rPr>
                <w:sz w:val="10"/>
                <w:szCs w:val="10"/>
                <w:color w:val="auto"/>
              </w:rPr>
            </w:pPr>
          </w:p>
        </w:tc>
        <w:tc>
          <w:tcPr>
            <w:tcW w:w="96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0" w:type="dxa"/>
            <w:vAlign w:val="bottom"/>
          </w:tcPr>
          <w:p>
            <w:pPr>
              <w:spacing w:after="0"/>
              <w:rPr>
                <w:sz w:val="10"/>
                <w:szCs w:val="10"/>
                <w:color w:val="auto"/>
              </w:rPr>
            </w:pPr>
          </w:p>
        </w:tc>
      </w:tr>
      <w:tr>
        <w:trPr>
          <w:trHeight w:val="173"/>
        </w:trPr>
        <w:tc>
          <w:tcPr>
            <w:tcW w:w="39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80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r>
      <w:tr>
        <w:trPr>
          <w:trHeight w:val="178"/>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w:t>
            </w: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346"/>
        </w:trPr>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also agreed to 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180 days after the date of this prospectus.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certain of our existing owners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180 days after the date of this prospectus, subject to certain exceptions.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the shares of common stock on Nasdaq, under the symbol “ASO.”</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was determined by negotiations among us and the representatives and will not necessarily reflect the market price of the common stock following this offering. The principal factors that were considered in determining the initial public offering price included:</w:t>
      </w:r>
    </w:p>
    <w:p>
      <w:pPr>
        <w:spacing w:after="0" w:line="81" w:lineRule="exact"/>
        <w:rPr>
          <w:sz w:val="20"/>
          <w:szCs w:val="20"/>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common stock will trade in the public market subsequent to this offering or that an active trading market for the common stock will develop and continue after this offering.</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1" w:lineRule="exact"/>
        <w:rPr>
          <w:sz w:val="20"/>
          <w:szCs w:val="20"/>
          <w:color w:val="auto"/>
        </w:rPr>
      </w:pPr>
    </w:p>
    <w:p>
      <w:pPr>
        <w:ind w:left="1080" w:right="80" w:hanging="532"/>
        <w:spacing w:after="0" w:line="255"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FINRA Rule 5121. Accordingly, this offering is being made in compliance with the requirements of FINRA Rule 5121, which requires, among other things, that a “qualified independent underwriter” participate in the preparation of, and exercise the usual standards of “due diligence” with respect to, the registration statement and this prospectus. Credit Suisse Securities (USA) LLC has agreed to act as a qualified independent underwriter for this offering and to undertake the legal responsibilities and liabilities of an underwriter under the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Securities Act, specifically including those inherent in Section 11 thereof. Credit Suisse Securities (USA) LLC will not receive any additional fees for serving as a qualified independent underwriter in connection with this offering. We have agreed to indemnify Credit Suisse Securities (USA) LLC against liabilities incurred in connection with acting as a qualified independent underwriter, including liabilities under the Securities Act. See “Underwriting (Conflict of Interest).” KKR Capital Markets LLC will not confirm any sales to any account over which it exercises discretionary authority without the specific written approval of the account holder.</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1080" w:right="20" w:hanging="532"/>
        <w:spacing w:after="0" w:line="261"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532"/>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5" w:lineRule="exact"/>
        <w:rPr>
          <w:sz w:val="20"/>
          <w:szCs w:val="20"/>
          <w:color w:val="auto"/>
        </w:rPr>
      </w:pPr>
    </w:p>
    <w:p>
      <w:pPr>
        <w:ind w:left="1080" w:hanging="532"/>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or SFA,</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 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will be subject to the informational reporting requirements of the Exchange Act and, in accordance with the Exchange Act, we will file annual, quarterly and current reports, proxy statements and other information with the SEC. Our filings with the SEC will be available to the public on the SEC’s website at http://www.sec.gov. Those filings will also be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available to our common stockholders annual reports containing consolidated financial statements audited by an independent registered public accounting firm.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8"/>
        </w:trPr>
        <w:tc>
          <w:tcPr>
            <w:tcW w:w="1056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tc>
        <w:tc>
          <w:tcPr>
            <w:tcW w:w="52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20" w:type="dxa"/>
            <w:vAlign w:val="bottom"/>
          </w:tcPr>
          <w:p>
            <w:pPr>
              <w:spacing w:after="0"/>
              <w:rPr>
                <w:sz w:val="24"/>
                <w:szCs w:val="24"/>
                <w:color w:val="auto"/>
              </w:rPr>
            </w:pPr>
          </w:p>
        </w:tc>
      </w:tr>
      <w:tr>
        <w:trPr>
          <w:trHeight w:val="441"/>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520" w:type="dxa"/>
            <w:vAlign w:val="bottom"/>
          </w:tcPr>
          <w:p>
            <w:pPr>
              <w:spacing w:after="0"/>
              <w:rPr>
                <w:sz w:val="18"/>
                <w:szCs w:val="18"/>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Unaudited Consolidated Balance Sheets as of August 1, 2020, February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Unaudited Consolidated Statements of Income for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Unaudited Consolidated Statements of Partners’ Equity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39">
              <w:r>
                <w:rPr>
                  <w:rFonts w:ascii="Times New Roman" w:cs="Times New Roman" w:eastAsia="Times New Roman" w:hAnsi="Times New Roman"/>
                  <w:sz w:val="18"/>
                  <w:szCs w:val="18"/>
                  <w:u w:val="single" w:color="auto"/>
                  <w:color w:val="0000EE"/>
                </w:rPr>
                <w:t>Unaudited Consolidated Statements of Cash Flows for the thirteen and twenty-six weeks ended August 1, 2020 and August 3,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34"/>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Condensed 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Consolidated Balance Sheets as of February 1, 2020 and February 2, 2019</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Consolidated Statements of Income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94"/>
        </w:trPr>
        <w:tc>
          <w:tcPr>
            <w:tcW w:w="10560" w:type="dxa"/>
            <w:vAlign w:val="bottom"/>
            <w:gridSpan w:val="5"/>
          </w:tcPr>
          <w:p>
            <w:pPr>
              <w:ind w:left="480"/>
              <w:spacing w:after="0" w:line="194" w:lineRule="exact"/>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Consolidated Statements of Comprehensive Income (Loss) for the fiscal year ended February 1, 2020, February 2, 2019 and February 3,</w:t>
              </w:r>
            </w:hyperlink>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w:t>
            </w: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8">
              <w:r>
                <w:rPr>
                  <w:rFonts w:ascii="Times New Roman" w:cs="Times New Roman" w:eastAsia="Times New Roman" w:hAnsi="Times New Roman"/>
                  <w:sz w:val="18"/>
                  <w:szCs w:val="18"/>
                  <w:color w:val="0000EE"/>
                </w:rPr>
                <w:t>2018</w:t>
              </w:r>
            </w:hyperlink>
          </w:p>
        </w:tc>
        <w:tc>
          <w:tcPr>
            <w:tcW w:w="92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8"/>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Consolidated Statements of Partners’ Equity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Consolidated Statements of Cash Flows for the fiscal year ended February 1, 2020, February 2, 2019 and February 3, 2018</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61">
              <w:r>
                <w:rPr>
                  <w:rFonts w:ascii="Times New Roman" w:cs="Times New Roman" w:eastAsia="Times New Roman" w:hAnsi="Times New Roman"/>
                  <w:sz w:val="18"/>
                  <w:szCs w:val="18"/>
                  <w:u w:val="single" w:color="auto"/>
                  <w:color w:val="0000EE"/>
                </w:rPr>
                <w:t>Notes to Consolidated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0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520" w:type="dxa"/>
            <w:vAlign w:val="bottom"/>
          </w:tcPr>
          <w:p>
            <w:pPr>
              <w:spacing w:after="0"/>
              <w:rPr>
                <w:sz w:val="24"/>
                <w:szCs w:val="24"/>
                <w:color w:val="auto"/>
              </w:rPr>
            </w:pP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89">
              <w:r>
                <w:rPr>
                  <w:rFonts w:ascii="Times New Roman" w:cs="Times New Roman" w:eastAsia="Times New Roman" w:hAnsi="Times New Roman"/>
                  <w:sz w:val="18"/>
                  <w:szCs w:val="18"/>
                  <w:u w:val="single" w:color="auto"/>
                  <w:color w:val="0000EE"/>
                </w:rPr>
                <w:t>Report of Independent Registered Public Accounting Firm</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90">
              <w:r>
                <w:rPr>
                  <w:rFonts w:ascii="Times New Roman" w:cs="Times New Roman" w:eastAsia="Times New Roman" w:hAnsi="Times New Roman"/>
                  <w:sz w:val="18"/>
                  <w:szCs w:val="18"/>
                  <w:u w:val="single" w:color="auto"/>
                  <w:color w:val="0000EE"/>
                </w:rPr>
                <w:t>Balance Sheet as of June 30, 2020</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56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91">
              <w:r>
                <w:rPr>
                  <w:rFonts w:ascii="Times New Roman" w:cs="Times New Roman" w:eastAsia="Times New Roman" w:hAnsi="Times New Roman"/>
                  <w:sz w:val="18"/>
                  <w:szCs w:val="18"/>
                  <w:u w:val="single" w:color="auto"/>
                  <w:color w:val="0000EE"/>
                </w:rPr>
                <w:t>Notes to Financial Statements</w:t>
              </w:r>
            </w:hyperlink>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F-1</w:t>
            </w:r>
          </w:p>
        </w:tc>
        <w:tc>
          <w:tcPr>
            <w:tcW w:w="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1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48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4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636,024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149,385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52,090</w:t>
            </w:r>
          </w:p>
        </w:tc>
        <w:tc>
          <w:tcPr>
            <w:tcW w:w="0" w:type="dxa"/>
            <w:vAlign w:val="bottom"/>
          </w:tcPr>
          <w:p>
            <w:pPr>
              <w:spacing w:after="0"/>
              <w:rPr>
                <w:sz w:val="1"/>
                <w:szCs w:val="1"/>
                <w:color w:val="auto"/>
              </w:rPr>
            </w:pPr>
          </w:p>
        </w:tc>
      </w:tr>
      <w:tr>
        <w:trPr>
          <w:trHeight w:val="198"/>
        </w:trPr>
        <w:tc>
          <w:tcPr>
            <w:tcW w:w="5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 less allowance for doubtful accounts of $3,323,</w:t>
            </w:r>
          </w:p>
        </w:tc>
        <w:tc>
          <w:tcPr>
            <w:tcW w:w="160" w:type="dxa"/>
            <w:vAlign w:val="bottom"/>
          </w:tcPr>
          <w:p>
            <w:pPr>
              <w:spacing w:after="0"/>
              <w:rPr>
                <w:sz w:val="17"/>
                <w:szCs w:val="17"/>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8,666</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$3,275 and $2,730, respectively</w:t>
            </w: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13,999</w:t>
            </w: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899,086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1,099,749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1,203,806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26,143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24,548</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1,763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1,824,554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1,571,682</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1,289,444</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441,407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464,323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1,171,736</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1,145,705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1,155,072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NAME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577,000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861,920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6,951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15,845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726,666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428,823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474,275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211,381</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216,840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76,485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76,329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86,145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18,250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34,116</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1,066,473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750,649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795,510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1,412,800</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1,428,542</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1,470,108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1,181,819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1,141,896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1,136,946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6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29,683</w:t>
            </w:r>
          </w:p>
        </w:tc>
        <w:tc>
          <w:tcPr>
            <w:tcW w:w="2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3,690,775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3,340,284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3,423,142</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2,977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18,185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w:t>
            </w:r>
          </w:p>
        </w:tc>
        <w:tc>
          <w:tcPr>
            <w:tcW w:w="16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1,157,435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900,435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228,306,033; 228,274,749 and 228,346,526, respectively</w:t>
            </w:r>
          </w:p>
        </w:tc>
        <w:tc>
          <w:tcPr>
            <w:tcW w:w="16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996,285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931,586</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(8,339)</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(8,066)</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1,149,096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892,096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988,219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925,302</w:t>
            </w:r>
          </w:p>
        </w:tc>
        <w:tc>
          <w:tcPr>
            <w:tcW w:w="0" w:type="dxa"/>
            <w:vAlign w:val="bottom"/>
          </w:tcPr>
          <w:p>
            <w:pPr>
              <w:spacing w:after="0"/>
              <w:rPr>
                <w:sz w:val="1"/>
                <w:szCs w:val="1"/>
                <w:color w:val="auto"/>
              </w:rPr>
            </w:pPr>
          </w:p>
        </w:tc>
      </w:tr>
      <w:tr>
        <w:trPr>
          <w:trHeight w:val="223"/>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4,842,848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4,585,848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20" w:type="dxa"/>
            <w:vAlign w:val="bottom"/>
          </w:tcPr>
          <w:p>
            <w:pPr>
              <w:spacing w:after="0"/>
              <w:rPr>
                <w:sz w:val="15"/>
                <w:szCs w:val="15"/>
                <w:color w:val="auto"/>
              </w:rPr>
            </w:pPr>
          </w:p>
        </w:tc>
        <w:tc>
          <w:tcPr>
            <w:tcW w:w="25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300" w:type="dxa"/>
            <w:vAlign w:val="bottom"/>
            <w:tcBorders>
              <w:top w:val="single" w:sz="8" w:color="auto"/>
            </w:tcBorders>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500" w:type="dxa"/>
            <w:vAlign w:val="bottom"/>
          </w:tcPr>
          <w:p>
            <w:pPr>
              <w:spacing w:after="0"/>
              <w:rPr>
                <w:sz w:val="12"/>
                <w:szCs w:val="12"/>
                <w:color w:val="auto"/>
              </w:rPr>
            </w:pPr>
          </w:p>
        </w:tc>
        <w:tc>
          <w:tcPr>
            <w:tcW w:w="13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1,237,410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2,742,721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1,109,919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852,206</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1,948,275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1,616,002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496,501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385,204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794,446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698,200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312,713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312,570</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596,636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614,172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183,788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72,634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197,810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84,028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25,549</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48,088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49,225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167,676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20"/>
                <w:szCs w:val="20"/>
                <w:color w:val="auto"/>
              </w:rPr>
              <w:t>48,347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157,656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73,753</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228,326,985</w:t>
            </w: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228,308,074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234,700,060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235,511,210</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Financial Information (NOTE 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159,174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118,658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75,792,106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77,803,352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556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560" w:type="dxa"/>
            <w:vAlign w:val="bottom"/>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48,347</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interest rate swaps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(9,632)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(5,040)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(13,142)</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(income) expense on interest rate swaps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4,767</w:t>
            </w: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38,007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157,383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59,021</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4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6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40" w:type="dxa"/>
            <w:vAlign w:val="bottom"/>
            <w:gridSpan w:val="5"/>
            <w:vMerge w:val="continue"/>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98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2,818</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996,285</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988,219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(10,020)</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2,109</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8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38,024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200</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38,024</w:t>
            </w:r>
          </w:p>
        </w:tc>
        <w:tc>
          <w:tcPr>
            <w:tcW w:w="0" w:type="dxa"/>
            <w:vAlign w:val="bottom"/>
          </w:tcPr>
          <w:p>
            <w:pPr>
              <w:spacing w:after="0"/>
              <w:rPr>
                <w:sz w:val="1"/>
                <w:szCs w:val="1"/>
                <w:color w:val="auto"/>
              </w:rPr>
            </w:pPr>
          </w:p>
        </w:tc>
      </w:tr>
      <w:tr>
        <w:trPr>
          <w:trHeight w:val="171"/>
        </w:trPr>
        <w:tc>
          <w:tcPr>
            <w:tcW w:w="4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Restricted Units</w:t>
            </w: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6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(6,740)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6,740</w:t>
            </w:r>
          </w:p>
        </w:tc>
        <w:tc>
          <w:tcPr>
            <w:tcW w:w="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Managers</w:t>
            </w:r>
          </w:p>
        </w:tc>
        <w:tc>
          <w:tcPr>
            <w:tcW w:w="6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(4,434)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bottom w:val="single" w:sz="8" w:color="auto"/>
            </w:tcBorders>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2, 2020</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542,808</w:t>
            </w: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2,977</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227,763,225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988,178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(10,607)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977,571</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228,306,033</w:t>
            </w:r>
          </w:p>
        </w:tc>
        <w:tc>
          <w:tcPr>
            <w:tcW w:w="0" w:type="dxa"/>
            <w:vAlign w:val="bottom"/>
          </w:tcPr>
          <w:p>
            <w:pPr>
              <w:spacing w:after="0"/>
              <w:rPr>
                <w:sz w:val="1"/>
                <w:szCs w:val="1"/>
                <w:color w:val="auto"/>
              </w:rPr>
            </w:pPr>
          </w:p>
        </w:tc>
      </w:tr>
      <w:tr>
        <w:trPr>
          <w:trHeight w:val="155"/>
        </w:trPr>
        <w:tc>
          <w:tcPr>
            <w:tcW w:w="48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167,676</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1,581</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8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6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2,874</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August 1, 2020</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542,808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2,977</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227,763,225</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1,157,435</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(8,339)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1,149,096</w:t>
            </w:r>
          </w:p>
        </w:tc>
        <w:tc>
          <w:tcPr>
            <w:tcW w:w="2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228,306,033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Membership</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Membership Units</w:t>
            </w:r>
          </w:p>
        </w:tc>
        <w:tc>
          <w:tcPr>
            <w:tcW w:w="1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848,591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8,448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$ 857,039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228,289,163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25,406</w:t>
            </w:r>
          </w:p>
        </w:tc>
        <w:tc>
          <w:tcPr>
            <w:tcW w:w="200" w:type="dxa"/>
            <w:vAlign w:val="bottom"/>
          </w:tcPr>
          <w:p>
            <w:pPr>
              <w:spacing w:after="0"/>
              <w:rPr>
                <w:sz w:val="13"/>
                <w:szCs w:val="13"/>
                <w:color w:val="auto"/>
              </w:rPr>
            </w:pPr>
          </w:p>
        </w:tc>
        <w:tc>
          <w:tcPr>
            <w:tcW w:w="80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May 4,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4,289,056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$ 17,885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881,094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4,056</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$ 885,150</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228,289,163</w:t>
            </w:r>
          </w:p>
        </w:tc>
        <w:tc>
          <w:tcPr>
            <w:tcW w:w="0" w:type="dxa"/>
            <w:vAlign w:val="bottom"/>
          </w:tcPr>
          <w:p>
            <w:pPr>
              <w:spacing w:after="0"/>
              <w:rPr>
                <w:sz w:val="1"/>
                <w:szCs w:val="1"/>
                <w:color w:val="auto"/>
              </w:rPr>
            </w:pPr>
          </w:p>
        </w:tc>
      </w:tr>
      <w:tr>
        <w:trPr>
          <w:trHeight w:val="155"/>
        </w:trPr>
        <w:tc>
          <w:tcPr>
            <w:tcW w:w="512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80" w:type="dxa"/>
            <w:vAlign w:val="bottom"/>
            <w:tcBorders>
              <w:top w:val="single" w:sz="8" w:color="auto"/>
            </w:tcBorders>
          </w:tcPr>
          <w:p>
            <w:pPr>
              <w:ind w:left="5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48,347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12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settlement of vested Restricted</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57,363</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1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Units</w:t>
            </w:r>
          </w:p>
        </w:tc>
        <w:tc>
          <w:tcPr>
            <w:tcW w:w="7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8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1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August 3, 2019</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4,346,419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$ 18,185</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224,000,107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931,586</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(6,284)</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$ 925,302</w:t>
            </w:r>
          </w:p>
        </w:tc>
        <w:tc>
          <w:tcPr>
            <w:tcW w:w="8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228,346,526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7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1, 2020</w:t>
            </w: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120" w:type="dxa"/>
            <w:vAlign w:val="bottom"/>
          </w:tcPr>
          <w:p>
            <w:pPr>
              <w:spacing w:after="0"/>
              <w:rPr>
                <w:sz w:val="12"/>
                <w:szCs w:val="12"/>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73,753</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54,151</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14,049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compensation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3,690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1,827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1,874</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gain on early retirement of debt,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(7,831)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(42,265)</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Casualty loss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4,819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200,647</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(69,650)</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(74)</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302,391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42,773</w:t>
            </w:r>
          </w:p>
        </w:tc>
      </w:tr>
      <w:tr>
        <w:trPr>
          <w:trHeight w:val="216"/>
        </w:trPr>
        <w:tc>
          <w:tcPr>
            <w:tcW w:w="7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32,335</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28,908</w:t>
            </w:r>
          </w:p>
        </w:tc>
      </w:tr>
      <w:tr>
        <w:trPr>
          <w:trHeight w:val="216"/>
        </w:trPr>
        <w:tc>
          <w:tcPr>
            <w:tcW w:w="7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11,568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72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773,621</w:t>
            </w:r>
          </w:p>
        </w:tc>
        <w:tc>
          <w:tcPr>
            <w:tcW w:w="7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103,961</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(27,802)</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member</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(13,850)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314,900</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(297,000)</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term loan facility</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(25,090)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(113,695)</w:t>
            </w: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Redeemable Membership Units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(25,127)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(95,795)</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734,644</w:t>
            </w: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149,385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75,691</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884,029</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52,090</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46,694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50,798</w:t>
            </w: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state and local income taxes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2,461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capital expenditures in accounts payable and accrued liabilities</w:t>
            </w:r>
          </w:p>
        </w:tc>
        <w:tc>
          <w:tcPr>
            <w:tcW w:w="1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4,547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w:t>
            </w:r>
          </w:p>
        </w:tc>
      </w:tr>
      <w:tr>
        <w:trPr>
          <w:trHeight w:val="238"/>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1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22,409</w:t>
            </w: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NEW ACADEMY HOLDING COMPANY, LLC CONDENSED NOTES TO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jc w:val="both"/>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August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324" w:lineRule="exact"/>
        <w:rPr>
          <w:sz w:val="20"/>
          <w:szCs w:val="20"/>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or GAAP, for complete financial statements. The information furnished herein reflects all normal recurring adjustments which are, in the opinion of management, necessary for a fair presentation of the results for the interim periods presented. The results of operations for the thirteen and twenty-six weeks ended August 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89" w:lineRule="auto"/>
        <w:rPr>
          <w:sz w:val="20"/>
          <w:szCs w:val="20"/>
          <w:color w:val="auto"/>
        </w:rPr>
      </w:pPr>
      <w:r>
        <w:rPr>
          <w:rFonts w:ascii="Times New Roman" w:cs="Times New Roman" w:eastAsia="Times New Roman" w:hAnsi="Times New Roman"/>
          <w:sz w:val="17"/>
          <w:szCs w:val="17"/>
          <w:color w:val="auto"/>
        </w:rPr>
        <w:t>the financial statements involve difficult, subjective or complex judgments by management include the valuation of merchandise inventories and performing goodwill, intangible and long-lived asset impairment analyses. Given the global economic climate and additional unforseen effects from the COVID-19 pandemic, these estimates are becoming more challenging, and actual results could differ materially from our estimates.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76" w:lineRule="exact"/>
        <w:rPr>
          <w:sz w:val="20"/>
          <w:szCs w:val="20"/>
          <w:color w:val="auto"/>
        </w:rPr>
      </w:pPr>
    </w:p>
    <w:p>
      <w:pPr>
        <w:ind w:left="560" w:right="40" w:firstLine="423"/>
        <w:spacing w:after="0" w:line="273" w:lineRule="auto"/>
        <w:rPr>
          <w:sz w:val="20"/>
          <w:szCs w:val="20"/>
          <w:color w:val="auto"/>
        </w:rPr>
      </w:pPr>
      <w:r>
        <w:rPr>
          <w:rFonts w:ascii="Times New Roman" w:cs="Times New Roman" w:eastAsia="Times New Roman" w:hAnsi="Times New Roman"/>
          <w:sz w:val="17"/>
          <w:szCs w:val="17"/>
          <w:color w:val="auto"/>
        </w:rPr>
        <w:t>The unaudited pro forma financial information provided on the consolidated statements of income (loss) provides the estimated impact to net income (loss)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(loss).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7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72,476,231, basic, and 74,487,477, diluted, shares of common stock of the IPO issuer were issued and outstanding for the twenty-six weeks ended August 1, 2020 in connection with the contribution of Holdco by its unitholders and related Reorganization Transactions and related cancellation of all outstanding partners’ equity at Holdco in connection with the IPO and (ii) an additional 3,315,875 of the Company’s shares of common stock were outstanding for the twenty-six weeks ended August 1, 2020, which represents the number of shares of common stock that the Company would have been required to issue to fund the amount of the Distribution in excess of its net income for the twelve months ended August 1, 2020. The number of shares that the Company would have been required to issue to pay the Distribution was calculated by dividing the portion of the total $257.0 million Distribution in excess of the Company’s net income for the twelve months ended August 1, 2020 by an assumed initial public offering price in the IPO of $16.00 per share, representing the midpoint of the estimated price range set forth on the cover page of the 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the twenty-six week period ended August 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80"/>
        </w:trPr>
        <w:tc>
          <w:tcPr>
            <w:tcW w:w="7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 forma net income</w:t>
            </w:r>
          </w:p>
        </w:tc>
        <w:tc>
          <w:tcPr>
            <w:tcW w:w="4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118,658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72,476,231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74,487,477</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3,315,875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3,315,875</w:t>
            </w: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75,792,106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77,803,352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balance sheet gives effect to the Distribution, including (i) the use of $248.0 million of cash to fund the Distribution, (ii) decreases in each of accounts receivable, prepaid expenses and other current assets and other noncurrent assets due to an offset of outstanding loans receivable from existing unitholders against the Distribution and (iii) the related decrease of $257.0 million in partners’ equity.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1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17"/>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40" w:type="dxa"/>
            <w:vAlign w:val="bottom"/>
          </w:tcPr>
          <w:p>
            <w:pPr>
              <w:spacing w:after="0"/>
              <w:rPr>
                <w:sz w:val="10"/>
                <w:szCs w:val="10"/>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532,786</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961,591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637,346</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360,828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656,173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524,882</w:t>
            </w: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412,595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620,662</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629,044</w:t>
            </w: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293,146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263,564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489,558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514,213</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1,599,355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2,727,984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2,305,485</w:t>
            </w:r>
          </w:p>
        </w:tc>
        <w:tc>
          <w:tcPr>
            <w:tcW w:w="4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14,737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8,717</w:t>
            </w:r>
          </w:p>
        </w:tc>
      </w:tr>
      <w:tr>
        <w:trPr>
          <w:trHeight w:val="223"/>
        </w:trPr>
        <w:tc>
          <w:tcPr>
            <w:tcW w:w="5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1,606,420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1,237,410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2,742,721</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2,314,202</w:t>
            </w: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55"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twenty-six weeks ended August 3, 2019 for comparability purposes. This reclassification is in divisional presentation only and did not impact the overall net sales balances previously disclosed (see Note 2).</w:t>
      </w:r>
    </w:p>
    <w:p>
      <w:pPr>
        <w:spacing w:after="0" w:line="2" w:lineRule="exact"/>
        <w:rPr>
          <w:rFonts w:ascii="Times New Roman" w:cs="Times New Roman" w:eastAsia="Times New Roman" w:hAnsi="Times New Roman"/>
          <w:sz w:val="15"/>
          <w:szCs w:val="15"/>
          <w:color w:val="auto"/>
        </w:rPr>
      </w:pPr>
    </w:p>
    <w:p>
      <w:pPr>
        <w:ind w:left="340" w:right="280" w:hanging="224"/>
        <w:spacing w:after="0" w:line="250"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9.4% and 10.9% of merchandise sales for the thirteen and twenty-six weeks ended August 1, 2020, respectively, and 3.9% and 3.4% for the thirteen and twenty-six weeks ended August 3, 2019, respectively.</w:t>
      </w:r>
    </w:p>
    <w:p>
      <w:pPr>
        <w:ind w:left="340" w:right="460" w:hanging="224"/>
        <w:spacing w:after="0" w:line="260" w:lineRule="auto"/>
        <w:tabs>
          <w:tab w:leader="none" w:pos="34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August 1,</w:t>
            </w: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4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$ 57,786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1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32,614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2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9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(681)</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(1,484)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2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$ 55,410</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$ 50,631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55,410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92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color w:val="auto"/>
              </w:rPr>
              <w:t>F-11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1,</w:t>
            </w:r>
          </w:p>
        </w:tc>
        <w:tc>
          <w:tcPr>
            <w:tcW w:w="260" w:type="dxa"/>
            <w:vAlign w:val="bottom"/>
          </w:tcPr>
          <w:p>
            <w:pPr>
              <w:spacing w:after="0"/>
              <w:rPr>
                <w:sz w:val="13"/>
                <w:szCs w:val="13"/>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 discount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$2.0 million, $2.6 million and $3.1 million, respectively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1,433,965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1,412,800</w:t>
            </w:r>
          </w:p>
        </w:tc>
        <w:tc>
          <w:tcPr>
            <w:tcW w:w="3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1,428,542</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1,470,108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These costs are related to the 2015 Term Loan Facility.</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seven-year $1.8 billion senior secured term loan facility, or the</w:t>
      </w:r>
    </w:p>
    <w:p>
      <w:pPr>
        <w:spacing w:after="0" w:line="31" w:lineRule="exact"/>
        <w:rPr>
          <w:sz w:val="20"/>
          <w:szCs w:val="20"/>
          <w:color w:val="auto"/>
        </w:rPr>
      </w:pPr>
    </w:p>
    <w:p>
      <w:pPr>
        <w:ind w:left="560" w:right="40"/>
        <w:spacing w:after="0" w:line="252" w:lineRule="auto"/>
        <w:rPr>
          <w:sz w:val="20"/>
          <w:szCs w:val="20"/>
          <w:color w:val="auto"/>
        </w:rPr>
      </w:pPr>
      <w:r>
        <w:rPr>
          <w:rFonts w:ascii="Times New Roman" w:cs="Times New Roman" w:eastAsia="Times New Roman" w:hAnsi="Times New Roman"/>
          <w:sz w:val="18"/>
          <w:szCs w:val="18"/>
          <w:color w:val="auto"/>
        </w:rPr>
        <w:t>2015 Term Loan Facility. The 2015 Term Loan Facility bears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August 1, 2020, the weighted average interest rate was 5.00%, with interest payable monthly. The terms and conditions of the 2015 Term Loan Facility also require that we prepay outstanding loans under the 2015 Term Loan Facility under certain circumstances. As of August 1, 2020, no prepayments of outstanding loans have been triggered under the terms and conditions of the 2015 Term Loan Facility.</w:t>
      </w:r>
    </w:p>
    <w:p>
      <w:pPr>
        <w:spacing w:after="0" w:line="188"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August 1, 2020 and August 3, 2019, we repurchased a portion of our principal on the 2015 Term Loan Facility, which was trading at a discount, in open market transactions. The following table provides further detail regarding these repurchases (amounts in millions):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40" w:type="dxa"/>
            <w:vAlign w:val="bottom"/>
          </w:tcPr>
          <w:p>
            <w:pPr>
              <w:spacing w:after="0"/>
              <w:rPr>
                <w:sz w:val="12"/>
                <w:szCs w:val="12"/>
                <w:color w:val="auto"/>
              </w:rPr>
            </w:pPr>
          </w:p>
        </w:tc>
      </w:tr>
      <w:tr>
        <w:trPr>
          <w:trHeight w:val="209"/>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16.0</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16.0</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7.8</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7.8</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 2015, Academy, Ltd. entered into a five-year $650 million secured asset-based revolving credit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the 2015 ABL Facility.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Academy, Ltd. has the option to increase the commitments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Amended ABL Facility by $250 million, subject to the satisfaction of certain conditions under the agreement.</w:t>
      </w:r>
    </w:p>
    <w:p>
      <w:pPr>
        <w:spacing w:after="0" w:line="225"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Amended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August 1, 2020, we had outstanding letters of credit of approximately $29.7 million, of which $19.9 million were issued under the Amended ABL Facility, and we had no borrowings outstanding under the Amended ABL Facility, leaving the available borrowing capacity under the Amended ABL Facility of $694.1 million.</w:t>
      </w:r>
    </w:p>
    <w:p>
      <w:pPr>
        <w:spacing w:after="0" w:line="187"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August 1, 2020, no future prepayments of outstanding loans have been triggered under the terms and conditions of the Amended ABL Facility.</w:t>
      </w:r>
    </w:p>
    <w:p>
      <w:pPr>
        <w:spacing w:after="0" w:line="183" w:lineRule="exact"/>
        <w:rPr>
          <w:sz w:val="20"/>
          <w:szCs w:val="20"/>
          <w:color w:val="auto"/>
        </w:rPr>
      </w:pPr>
    </w:p>
    <w:p>
      <w:pPr>
        <w:ind w:left="560" w:right="10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certain minimum adjusted fixed charge coverage ratio. These covenants are subject to certain qualifications and limitations. We were in compliance with these covenants as of August 1, 2020.</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Capitalized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capitalized interest primarily related to construction of new stores and store renovations in the amount of</w:t>
      </w:r>
    </w:p>
    <w:p>
      <w:pPr>
        <w:spacing w:after="0" w:line="31" w:lineRule="exact"/>
        <w:rPr>
          <w:sz w:val="20"/>
          <w:szCs w:val="20"/>
          <w:color w:val="auto"/>
        </w:rPr>
      </w:pPr>
    </w:p>
    <w:p>
      <w:pPr>
        <w:ind w:left="560" w:right="160"/>
        <w:spacing w:after="0" w:line="260" w:lineRule="auto"/>
        <w:rPr>
          <w:sz w:val="20"/>
          <w:szCs w:val="20"/>
          <w:color w:val="auto"/>
        </w:rPr>
      </w:pPr>
      <w:r>
        <w:rPr>
          <w:rFonts w:ascii="Times New Roman" w:cs="Times New Roman" w:eastAsia="Times New Roman" w:hAnsi="Times New Roman"/>
          <w:sz w:val="18"/>
          <w:szCs w:val="18"/>
          <w:color w:val="auto"/>
        </w:rPr>
        <w:t>$0.2 million and $0.3 million for the thirteen and twenty-six weeks ended August 1, 2020, respectively, and $0.1 million and $0.3 million for the thirteen and twenty-six weeks ended August 3, 2019, respectively.</w:t>
      </w:r>
    </w:p>
    <w:p>
      <w:pPr>
        <w:spacing w:after="0" w:line="326" w:lineRule="exact"/>
        <w:rPr>
          <w:sz w:val="20"/>
          <w:szCs w:val="20"/>
          <w:color w:val="auto"/>
        </w:rPr>
      </w:pPr>
    </w:p>
    <w:p>
      <w:pPr>
        <w:ind w:left="540" w:hanging="424"/>
        <w:spacing w:after="0"/>
        <w:tabs>
          <w:tab w:leader="none" w:pos="54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220" w:hanging="224"/>
        <w:spacing w:after="0" w:line="282" w:lineRule="auto"/>
        <w:tabs>
          <w:tab w:leader="none" w:pos="34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2017, 2018, 2019 and 2020,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of these interest rate swaps is as follows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9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55"/>
        </w:trPr>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(8,106)</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Amounts included in accumulated other comprehensive loss, or AOCI, are reclassified to interest expense in the same period during which the hedged transaction affects earnings, which is as interest expense is recorded on the underlying 2015 Term Loan Facility. As of August 1, 2020, we estimate that approximately $7.9 million of the balance in AOCI will be reclassified as an increase in interest expense during the next 12 months.</w:t>
      </w:r>
    </w:p>
    <w:p>
      <w:pPr>
        <w:spacing w:after="0" w:line="180"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140" w:type="dxa"/>
            <w:vAlign w:val="bottom"/>
          </w:tcPr>
          <w:p>
            <w:pPr>
              <w:spacing w:after="0"/>
              <w:rPr>
                <w:sz w:val="12"/>
                <w:szCs w:val="12"/>
                <w:color w:val="auto"/>
              </w:rPr>
            </w:pPr>
          </w:p>
        </w:tc>
        <w:tc>
          <w:tcPr>
            <w:tcW w:w="16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7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deferred into AOCI</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7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(9,632)</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2,874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4,767</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320" w:lineRule="exact"/>
        <w:rPr>
          <w:sz w:val="20"/>
          <w:szCs w:val="20"/>
          <w:color w:val="auto"/>
        </w:rPr>
      </w:pPr>
    </w:p>
    <w:p>
      <w:pPr>
        <w:ind w:left="540" w:hanging="424"/>
        <w:spacing w:after="0"/>
        <w:tabs>
          <w:tab w:leader="none" w:pos="54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540" w:right="40" w:hanging="331"/>
        <w:spacing w:after="0" w:line="282"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380" w:type="dxa"/>
            <w:vAlign w:val="bottom"/>
          </w:tcPr>
          <w:p>
            <w:pPr>
              <w:spacing w:after="0"/>
              <w:rPr>
                <w:sz w:val="13"/>
                <w:szCs w:val="13"/>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3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6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176"/>
        </w:trPr>
        <w:tc>
          <w:tcPr>
            <w:tcW w:w="42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8,379</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8,106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As of August 1, 2020 and February 1, 2020, we held $781.1 million and $113.3 million in money market funds, respectively. We held no investments in money market funds as of August 3, 2019.</w:t>
      </w:r>
    </w:p>
    <w:p>
      <w:pPr>
        <w:spacing w:after="0" w:line="176" w:lineRule="exact"/>
        <w:rPr>
          <w:sz w:val="20"/>
          <w:szCs w:val="20"/>
          <w:color w:val="auto"/>
        </w:rPr>
      </w:pPr>
    </w:p>
    <w:p>
      <w:pPr>
        <w:ind w:left="560" w:right="80" w:firstLine="423"/>
        <w:spacing w:after="0" w:line="281" w:lineRule="auto"/>
        <w:rPr>
          <w:sz w:val="20"/>
          <w:szCs w:val="20"/>
          <w:color w:val="auto"/>
        </w:rPr>
      </w:pPr>
      <w:r>
        <w:rPr>
          <w:rFonts w:ascii="Times New Roman" w:cs="Times New Roman" w:eastAsia="Times New Roman" w:hAnsi="Times New Roman"/>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August 1, 2020, February 1, 2020 and August 3, 2019, the estimated fair value of our 2015 Term Loan Facility was $1.3 billion, $1.2 billion and $1.0 billion, respectively. As borrowings on the Amended ABL Facility are generally repaid in less than 12 months, we believe that fair value approximates the carrying value.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434,087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436,807</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426,190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541,366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521,742</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316,366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308,731</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22,076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1,317,593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1,311,928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1,282,676</w:t>
            </w:r>
          </w:p>
        </w:tc>
        <w:tc>
          <w:tcPr>
            <w:tcW w:w="12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(921,034)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(870,521)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(818,353)</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396,559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441,407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$26.7 million and $54.2 million in the thirteen and twenty-six weeks ended August 1, 2020, respectively, and $29.3 million and $59.1 million in the thirteen and twenty-six weeks ended August 3, 2019, respectively.</w:t>
      </w:r>
    </w:p>
    <w:p>
      <w:pPr>
        <w:spacing w:after="0" w:line="306" w:lineRule="exact"/>
        <w:rPr>
          <w:sz w:val="20"/>
          <w:szCs w:val="20"/>
          <w:color w:val="auto"/>
        </w:rPr>
      </w:pPr>
    </w:p>
    <w:p>
      <w:pPr>
        <w:ind w:left="540" w:hanging="424"/>
        <w:spacing w:after="0"/>
        <w:tabs>
          <w:tab w:leader="none" w:pos="54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April 2020, the Financial Accounting Standards Board issued </w:t>
      </w:r>
      <w:r>
        <w:rPr>
          <w:rFonts w:ascii="Times New Roman" w:cs="Times New Roman" w:eastAsia="Times New Roman" w:hAnsi="Times New Roman"/>
          <w:sz w:val="18"/>
          <w:szCs w:val="18"/>
          <w:i w:val="1"/>
          <w:iCs w:val="1"/>
          <w:color w:val="auto"/>
        </w:rPr>
        <w:t>Staff Q&amp;A - Topic 842 and Topic 840: Accounting For Lease Concessions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Effects of the COVID-19 Pandemic</w:t>
      </w:r>
      <w:r>
        <w:rPr>
          <w:rFonts w:ascii="Times New Roman" w:cs="Times New Roman" w:eastAsia="Times New Roman" w:hAnsi="Times New Roman"/>
          <w:sz w:val="18"/>
          <w:szCs w:val="18"/>
          <w:color w:val="auto"/>
        </w:rPr>
        <w:t>. This guidance provides entities with the option to elect to account for certain lease concessions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those contracts.</w:t>
      </w:r>
    </w:p>
    <w:p>
      <w:pPr>
        <w:spacing w:after="0" w:line="185"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During the thirteen weeks ended August 1, 2020, the Company received $2.0 million in lease expense credit related to landlord abated rent as a result of the elections made under this guidance. Additionally, during the thirteen weeks ended August 1, 2020, the Company signed 40 lease extensions, requiring lease modification accounting treatment.</w:t>
      </w:r>
    </w:p>
    <w:p>
      <w:pPr>
        <w:spacing w:after="0" w:line="176"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(“SG&amp;A”) expenses on our statement of income is as follows (amounts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2"/>
        </w:trPr>
        <w:tc>
          <w:tcPr>
            <w:tcW w:w="4280" w:type="dxa"/>
            <w:vAlign w:val="bottom"/>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August 3, 2019</w:t>
            </w:r>
          </w:p>
        </w:tc>
        <w:tc>
          <w:tcPr>
            <w:tcW w:w="70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tcPr>
          <w:p>
            <w:pPr>
              <w:spacing w:after="0"/>
              <w:rPr>
                <w:sz w:val="12"/>
                <w:szCs w:val="12"/>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49,259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98,256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2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(157)</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w:t>
            </w:r>
          </w:p>
        </w:tc>
      </w:tr>
      <w:tr>
        <w:trPr>
          <w:trHeight w:val="27"/>
        </w:trPr>
        <w:tc>
          <w:tcPr>
            <w:tcW w:w="4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49,979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99,548</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99,927</w:t>
            </w:r>
          </w:p>
        </w:tc>
      </w:tr>
      <w:tr>
        <w:trPr>
          <w:trHeight w:val="20"/>
        </w:trPr>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4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5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68,788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71,118</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10,090</w:t>
            </w:r>
          </w:p>
        </w:tc>
        <w:tc>
          <w:tcPr>
            <w:tcW w:w="22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200" w:type="dxa"/>
            <w:vAlign w:val="bottom"/>
            <w:gridSpan w:val="3"/>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22,409</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45,950</w:t>
            </w:r>
          </w:p>
        </w:tc>
        <w:tc>
          <w:tcPr>
            <w:tcW w:w="5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82,182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center"/>
              <w:ind w:left="175"/>
              <w:spacing w:after="0"/>
              <w:rPr>
                <w:sz w:val="20"/>
                <w:szCs w:val="20"/>
                <w:color w:val="auto"/>
              </w:rPr>
            </w:pPr>
            <w:r>
              <w:rPr>
                <w:rFonts w:ascii="Times New Roman" w:cs="Times New Roman" w:eastAsia="Times New Roman" w:hAnsi="Times New Roman"/>
                <w:sz w:val="18"/>
                <w:szCs w:val="18"/>
                <w:color w:val="auto"/>
              </w:rPr>
              <w:t>47,779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95,565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8.92%</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196,617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193,774</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186,207</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177,773</w:t>
            </w:r>
          </w:p>
        </w:tc>
        <w:tc>
          <w:tcPr>
            <w:tcW w:w="8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171,030</w:t>
            </w:r>
          </w:p>
        </w:tc>
        <w:tc>
          <w:tcPr>
            <w:tcW w:w="8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1,046,324</w:t>
            </w:r>
          </w:p>
        </w:tc>
        <w:tc>
          <w:tcPr>
            <w:tcW w:w="80" w:type="dxa"/>
            <w:vAlign w:val="bottom"/>
            <w:shd w:val="clear" w:color="auto" w:fill="CCEEFF"/>
          </w:tcPr>
          <w:p>
            <w:pPr>
              <w:spacing w:after="0"/>
              <w:rPr>
                <w:sz w:val="18"/>
                <w:szCs w:val="18"/>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payments </w:t>
            </w:r>
            <w:r>
              <w:rPr>
                <w:rFonts w:ascii="Times New Roman" w:cs="Times New Roman" w:eastAsia="Times New Roman" w:hAnsi="Times New Roman"/>
                <w:sz w:val="15"/>
                <w:szCs w:val="15"/>
                <w:color w:val="auto"/>
              </w:rPr>
              <w:t>(1)</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(816,007)</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line="282" w:lineRule="auto"/>
        <w:tabs>
          <w:tab w:leader="none" w:pos="34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$2.0 million as of August 1, 2020 due in the future under non-cancelable subleases.</w:t>
      </w:r>
    </w:p>
    <w:p>
      <w:pPr>
        <w:spacing w:after="0" w:line="306" w:lineRule="exact"/>
        <w:rPr>
          <w:sz w:val="20"/>
          <w:szCs w:val="20"/>
          <w:color w:val="auto"/>
        </w:rPr>
      </w:pPr>
    </w:p>
    <w:p>
      <w:pPr>
        <w:ind w:left="540" w:hanging="424"/>
        <w:spacing w:after="0"/>
        <w:tabs>
          <w:tab w:leader="none" w:pos="54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August 1, 2020</w:t>
            </w:r>
          </w:p>
        </w:tc>
        <w:tc>
          <w:tcPr>
            <w:tcW w:w="18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7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August 3, 2019</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7,469</w:t>
            </w:r>
          </w:p>
        </w:tc>
        <w:tc>
          <w:tcPr>
            <w:tcW w:w="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21,078</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57,621</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39,289</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6,500</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29,776</w:t>
            </w:r>
          </w:p>
        </w:tc>
        <w:tc>
          <w:tcPr>
            <w:tcW w:w="7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w:t>
            </w:r>
          </w:p>
        </w:tc>
        <w:tc>
          <w:tcPr>
            <w:tcW w:w="40" w:type="dxa"/>
            <w:vAlign w:val="bottom"/>
            <w:shd w:val="clear" w:color="auto" w:fill="CCEEFF"/>
          </w:tcPr>
          <w:p>
            <w:pPr>
              <w:spacing w:after="0"/>
              <w:rPr>
                <w:sz w:val="18"/>
                <w:szCs w:val="18"/>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245,072</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211,381</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216,840</w:t>
            </w:r>
          </w:p>
        </w:tc>
        <w:tc>
          <w:tcPr>
            <w:tcW w:w="4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F-17</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40"/>
          </w:cols>
          <w:pgMar w:left="320" w:top="455" w:right="8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228,306,033 Membership Units authorized, issued and outstanding as of August 1, 2020.</w:t>
      </w:r>
    </w:p>
    <w:p>
      <w:pPr>
        <w:spacing w:after="0" w:line="225"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58"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liquidity event-based requirements and a time-based requirement and/or performance-based requirement, or each, a Liquidity Event Restricted Unit. In each case, vesting of the Company’s outstanding and unvested Unit Options and Restricted Units is contingent upon the holder’s continued service through the date of each applicable vesting event.</w:t>
      </w:r>
    </w:p>
    <w:p>
      <w:pPr>
        <w:spacing w:after="0" w:line="183"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As of August 1, 2020, the number of Holdco Membership Units authorized for the grant of Awards under the 2011 Unit Incentive Plan is 36,933,859 Membership Units. As of August 1, 2020, there are 1,577,837 Holdco Membership Units that are authorized and available for the grant of Awards under the 2011 Unit Incentive Plan.</w:t>
      </w:r>
    </w:p>
    <w:p>
      <w:pPr>
        <w:spacing w:after="0" w:line="176"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Equity compensation expense was $1.6 million and $3.7 million in the thirteen and twenty-six weeks ended August 1, 2020, respectively, and $2.5 million and $4.5 million in the thirteen and twenty-six weeks ended August 3, 2019, respectively, and is included in selling, general and administrative expenses in the statements of income.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right="64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the twenty-six weeks ended August 1, 2020:</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to 0.76%</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780" w:type="dxa"/>
            <w:vAlign w:val="bottom"/>
          </w:tcPr>
          <w:p>
            <w:pPr>
              <w:spacing w:after="0"/>
              <w:rPr>
                <w:sz w:val="24"/>
                <w:szCs w:val="24"/>
                <w:color w:val="auto"/>
              </w:rPr>
            </w:pPr>
          </w:p>
        </w:tc>
        <w:tc>
          <w:tcPr>
            <w:tcW w:w="47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F-18</w:t>
            </w:r>
          </w:p>
        </w:tc>
      </w:tr>
    </w:tbl>
    <w:p>
      <w:pPr>
        <w:sectPr>
          <w:pgSz w:w="11900" w:h="16838" w:orient="portrait"/>
          <w:cols w:equalWidth="0" w:num="1">
            <w:col w:w="11100"/>
          </w:cols>
          <w:pgMar w:left="320" w:top="455" w:right="47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presents the Unit grants during the twenty-six weeks ended August 1, 2020:</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98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80" w:type="dxa"/>
            <w:vAlign w:val="bottom"/>
            <w:gridSpan w:val="6"/>
            <w:vMerge w:val="continue"/>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4,024,172</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grant date fair value per unit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300" w:type="dxa"/>
            <w:vAlign w:val="bottom"/>
          </w:tcPr>
          <w:p>
            <w:pPr>
              <w:spacing w:after="0"/>
              <w:rPr>
                <w:sz w:val="17"/>
                <w:szCs w:val="17"/>
                <w:color w:val="auto"/>
              </w:rPr>
            </w:pPr>
          </w:p>
        </w:tc>
        <w:tc>
          <w:tcPr>
            <w:tcW w:w="780" w:type="dxa"/>
            <w:vAlign w:val="bottom"/>
            <w:gridSpan w:val="3"/>
            <w:vMerge w:val="restart"/>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 per unit / option</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432"/>
        </w:trPr>
        <w:tc>
          <w:tcPr>
            <w:tcW w:w="63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presents the unrecognized compensation cost as of August 1,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Options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8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Units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expense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$20,216,870</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2"/>
              </w:rPr>
              <w:t>$ 1,118,024</w:t>
            </w:r>
          </w:p>
        </w:tc>
        <w:tc>
          <w:tcPr>
            <w:tcW w:w="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118,357</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life per unit / option remaining in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40" w:hanging="424"/>
        <w:spacing w:after="0"/>
        <w:tabs>
          <w:tab w:leader="none" w:pos="5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Basic earnings per unit is calculated based on net income divided by the basic weighted average units outstanding during the period, and diluted earnings per unit is calculated based on net income divided by the diluted weighted average units outstanding. Diluted weighted average units outstanding is based on the basic weighted average units outstanding plus any potential dilutive effect of stock-based awards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87"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units outstanding and basic and diluted earnings per unit are calculated as follows (dollar amounts in thousands except per unit amounts):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August 1, 2020</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167,676</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157,656</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basic</w:t>
            </w:r>
          </w:p>
        </w:tc>
        <w:tc>
          <w:tcPr>
            <w:tcW w:w="1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228,306,033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228,326,985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228,300,128</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228,308,074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24,661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1,799,056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1,931,879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Performance Options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4,370,032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4,259,941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4,378,883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4,606,110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units outstanding –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234,485,451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234,700,060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234,635,551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235,511,210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0.67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w:t>
            </w: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5,206,420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1,342,207</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from diluted calculation</w:t>
            </w: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11,242,896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8620" w:hanging="444"/>
        <w:spacing w:after="0" w:line="400" w:lineRule="auto"/>
        <w:tabs>
          <w:tab w:leader="none" w:pos="389" w:val="left"/>
        </w:tabs>
        <w:numPr>
          <w:ilvl w:val="0"/>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80" w:firstLine="423"/>
        <w:spacing w:after="0" w:line="253"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$0.9 million and $1.8 million in each of the thirteen and twenty-six weeks ended August 1, 2020, respectively, and $0.9 million and $1.8 million in each of the thirteen and twenty-six weeks ended August 3, 2019, respectively. These expenses are included in selling, general and administrative expenses in the statements of income.</w:t>
      </w:r>
    </w:p>
    <w:p>
      <w:pPr>
        <w:spacing w:after="0" w:line="194"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In the event the Monitoring Agreement is terminated in connection with certain financing, acquisition, disposition and change of control transactions, an initial public offering or under certain other circumstances, the Adviser is entitled to all unpaid monitoring fees and expenses plus the net present value of the advisory fees that would have been paid from the termination date through the twelfth anniversary of the Effective Date of the Monitoring Agreement, or if terminated after such anniversary, through the first anniversary of the Effective Date occurring after the termination date. Pursuant to a separate agreement, the Adviser would be expected to share a portion of any such termination fee with certain investors who are family descendants of our founder, Max Gochman, or Gochman Investors.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equity purchases for the thirteen and twenty-six weeks ended August 1, 2020 and August 3, 2019.</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August 1, 2020, Managers repurchased at fair market value approximately $37.0 thousand of Redeemable Membership Units from a director of the Company for cash. Holdco concurrently repurchased from Managers for cash, at fair market value, a number of Holdco membership units equal to the number of Redeemable Membership Units repurchased from the director.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has been recorded in other non-current assets on the balance sheet.</w:t>
      </w:r>
    </w:p>
    <w:p>
      <w:pPr>
        <w:spacing w:after="0" w:line="72" w:lineRule="exact"/>
        <w:rPr>
          <w:sz w:val="20"/>
          <w:szCs w:val="20"/>
          <w:color w:val="auto"/>
        </w:rPr>
      </w:pPr>
    </w:p>
    <w:p>
      <w:pPr>
        <w:jc w:val="both"/>
        <w:ind w:left="560" w:right="480" w:firstLine="423"/>
        <w:spacing w:after="0" w:line="266" w:lineRule="auto"/>
        <w:rPr>
          <w:sz w:val="20"/>
          <w:szCs w:val="20"/>
          <w:color w:val="auto"/>
        </w:rPr>
      </w:pPr>
      <w:r>
        <w:rPr>
          <w:rFonts w:ascii="Times New Roman" w:cs="Times New Roman" w:eastAsia="Times New Roman" w:hAnsi="Times New Roman"/>
          <w:sz w:val="18"/>
          <w:szCs w:val="18"/>
          <w:color w:val="auto"/>
        </w:rPr>
        <w:t>On April 5, 2018, the Company loaned $4.1 million with a note receivable issued to a member. The note receivable bears semi-annual compounding interest at 2.1%, with outstanding principal and interest due April 5, 2021. This note receivable has been recorded in prepaid expenses and other current assets on the balance sheet.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180" w:hanging="444"/>
        <w:spacing w:after="0" w:line="400" w:lineRule="auto"/>
        <w:tabs>
          <w:tab w:leader="none" w:pos="552"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jc w:val="center"/>
        <w:ind w:left="820" w:right="60"/>
        <w:spacing w:after="0" w:line="312" w:lineRule="auto"/>
        <w:rPr>
          <w:sz w:val="20"/>
          <w:szCs w:val="20"/>
          <w:color w:val="auto"/>
        </w:rPr>
      </w:pPr>
      <w:r>
        <w:rPr>
          <w:rFonts w:ascii="Times New Roman" w:cs="Times New Roman" w:eastAsia="Times New Roman" w:hAnsi="Times New Roman"/>
          <w:sz w:val="17"/>
          <w:szCs w:val="17"/>
          <w:color w:val="auto"/>
        </w:rPr>
        <w:t>As of August 1, 2020, we have obligations under technology related contractual commitments as well as other commitments, such as construction commitments, in the amount of $19.2 million. Of such commitments, approximately $16.1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Agreements</w:t>
      </w:r>
    </w:p>
    <w:p>
      <w:pPr>
        <w:spacing w:after="0" w:line="121" w:lineRule="exact"/>
        <w:rPr>
          <w:sz w:val="20"/>
          <w:szCs w:val="20"/>
          <w:color w:val="auto"/>
        </w:rPr>
      </w:pPr>
    </w:p>
    <w:p>
      <w:pPr>
        <w:ind w:left="560" w:right="560" w:firstLine="423"/>
        <w:spacing w:after="0" w:line="282" w:lineRule="auto"/>
        <w:rPr>
          <w:sz w:val="20"/>
          <w:szCs w:val="20"/>
          <w:color w:val="auto"/>
        </w:rPr>
      </w:pPr>
      <w:r>
        <w:rPr>
          <w:rFonts w:ascii="Times New Roman" w:cs="Times New Roman" w:eastAsia="Times New Roman" w:hAnsi="Times New Roman"/>
          <w:sz w:val="18"/>
          <w:szCs w:val="18"/>
          <w:color w:val="auto"/>
        </w:rPr>
        <w:t>As of August 1, 2020, we have obligations under the Monitoring Agreement (see Note 12), in the amount of $14.4 million, of which $6.1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 and Intellectual Property Commitments</w:t>
      </w:r>
    </w:p>
    <w:p>
      <w:pPr>
        <w:spacing w:after="0" w:line="121" w:lineRule="exact"/>
        <w:rPr>
          <w:sz w:val="20"/>
          <w:szCs w:val="20"/>
          <w:color w:val="auto"/>
        </w:rPr>
      </w:pPr>
    </w:p>
    <w:p>
      <w:pPr>
        <w:ind w:left="560" w:right="22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August 1, 2020, we have $9.6 million in related commitments through 2027, of which $5.8 million is payable in the next 12 months.</w:t>
      </w:r>
    </w:p>
    <w:p>
      <w:pPr>
        <w:spacing w:after="0" w:line="312" w:lineRule="exact"/>
        <w:rPr>
          <w:sz w:val="20"/>
          <w:szCs w:val="20"/>
          <w:color w:val="auto"/>
        </w:rPr>
      </w:pPr>
    </w:p>
    <w:p>
      <w:pPr>
        <w:ind w:left="540" w:hanging="424"/>
        <w:spacing w:after="0"/>
        <w:tabs>
          <w:tab w:leader="none" w:pos="54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1, 2020, through September 1, 2020, the issuance date of the financial statements, and identified the following matters to report:</w:t>
      </w:r>
    </w:p>
    <w:p>
      <w:pPr>
        <w:spacing w:after="0" w:line="162"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On August 28, 2020, Holdco paid a $257.0 million Distribution to its unitholders of record as of August 25, 2020, of which $218.3 million was paid to Allstar LLC, an entity owned by KKR, $24.9 million was paid to the Gochman Investors and the remaining $4.8 million was paid to other unitholders. Such Distribution was funded through a combination of cash on hand and an offset of outstanding loans receivable from certain unitholders as well as state income tax withholdings made on behalf of our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60"/>
          </w:cols>
          <w:pgMar w:left="320" w:top="455" w:right="51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unitholders. Holders of outstanding Company granted equity awards are entitled to receive an adjustment equal to $1.1257 per award, which was made in the form of cash payments, additional Restricted Unit grants and/or exercise price adjustments on Unit Options. The Company made approximately $18.8 million in cash payments to holders of vested outstanding Company granted equity awards in the last week of August 2020 and the first week of September 2020. The payment for the unvested outstanding Company granted equity awards is $15.2 million which will be paid out over time if and when the related awards vest.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00"/>
          </w:cols>
          <w:pgMar w:left="320" w:top="455" w:right="57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Notes 2 and 14 to the financial statements, the Company adopted Financial Accounting Standards Board (FASB)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using the modified retrospective approach.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320" w:type="dxa"/>
            <w:vAlign w:val="bottom"/>
            <w:vMerge w:val="restart"/>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149,385</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428,823</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122,795</w:t>
            </w:r>
          </w:p>
        </w:tc>
        <w:tc>
          <w:tcPr>
            <w:tcW w:w="0" w:type="dxa"/>
            <w:vAlign w:val="bottom"/>
          </w:tcPr>
          <w:p>
            <w:pPr>
              <w:spacing w:after="0"/>
              <w:rPr>
                <w:sz w:val="1"/>
                <w:szCs w:val="1"/>
                <w:color w:val="auto"/>
              </w:rPr>
            </w:pPr>
          </w:p>
        </w:tc>
      </w:tr>
      <w:tr>
        <w:trPr>
          <w:trHeight w:val="232"/>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3,340,284</w:t>
            </w:r>
          </w:p>
        </w:tc>
        <w:tc>
          <w:tcPr>
            <w:tcW w:w="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2,364,033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earnings per unit)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20"/>
                <w:szCs w:val="20"/>
                <w:color w:val="auto"/>
              </w:rPr>
              <w:t>21,442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0.51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81,037,194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83,356,358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120,043</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21,442</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Membership</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72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200,648</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8,238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(1,200)</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(1,200)</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8,238</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$822,720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231,624</w:t>
            </w: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34,704</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w:t>
            </w:r>
          </w:p>
        </w:tc>
        <w:tc>
          <w:tcPr>
            <w:tcW w:w="9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(1,454)</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34,704</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19,231</w:t>
            </w:r>
          </w:p>
        </w:tc>
        <w:tc>
          <w:tcPr>
            <w:tcW w:w="0" w:type="dxa"/>
            <w:vAlign w:val="bottom"/>
          </w:tcPr>
          <w:p>
            <w:pPr>
              <w:spacing w:after="0"/>
              <w:rPr>
                <w:sz w:val="1"/>
                <w:szCs w:val="1"/>
                <w:color w:val="auto"/>
              </w:rPr>
            </w:pPr>
          </w:p>
        </w:tc>
      </w:tr>
      <w:tr>
        <w:trPr>
          <w:trHeight w:val="126"/>
        </w:trPr>
        <w:tc>
          <w:tcPr>
            <w:tcW w:w="50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Units for contributions from Managers and settlement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57,363</w:t>
            </w:r>
          </w:p>
        </w:tc>
        <w:tc>
          <w:tcPr>
            <w:tcW w:w="80" w:type="dxa"/>
            <w:vAlign w:val="bottom"/>
          </w:tcPr>
          <w:p>
            <w:pPr>
              <w:spacing w:after="0"/>
              <w:rPr>
                <w:sz w:val="10"/>
                <w:szCs w:val="10"/>
                <w:color w:val="auto"/>
              </w:rPr>
            </w:pP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(400)</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57,363</w:t>
            </w:r>
          </w:p>
        </w:tc>
        <w:tc>
          <w:tcPr>
            <w:tcW w:w="0" w:type="dxa"/>
            <w:vAlign w:val="bottom"/>
          </w:tcPr>
          <w:p>
            <w:pPr>
              <w:spacing w:after="0"/>
              <w:rPr>
                <w:sz w:val="1"/>
                <w:szCs w:val="1"/>
                <w:color w:val="auto"/>
              </w:rPr>
            </w:pPr>
          </w:p>
        </w:tc>
      </w:tr>
      <w:tr>
        <w:trPr>
          <w:trHeight w:val="171"/>
        </w:trPr>
        <w:tc>
          <w:tcPr>
            <w:tcW w:w="5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vested Restricted Units</w:t>
            </w: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 to Redeemable Membership Units for repurchase of units from</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(91,008)</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(538)</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Managers</w:t>
            </w: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(91,008)</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$996,285</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228,274,749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ACADEMY HOLDING COMPANY, LLC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21,442</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(6,294)</w:t>
            </w:r>
          </w:p>
        </w:tc>
      </w:tr>
      <w:tr>
        <w:trPr>
          <w:trHeight w:val="149"/>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2,934</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990</w:t>
            </w:r>
          </w:p>
        </w:tc>
      </w:tr>
      <w:tr>
        <w:trPr>
          <w:trHeight w:val="149"/>
        </w:trPr>
        <w:tc>
          <w:tcPr>
            <w:tcW w:w="5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2,297</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15,992</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(816,400)</w:t>
            </w: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(37,989)</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10,353</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1,150</w:t>
            </w:r>
          </w:p>
        </w:tc>
      </w:tr>
      <w:tr>
        <w:trPr>
          <w:trHeight w:val="148"/>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8,514</w:t>
            </w:r>
          </w:p>
        </w:tc>
      </w:tr>
      <w:tr>
        <w:trPr>
          <w:trHeight w:val="156"/>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(24,032)</w:t>
            </w:r>
          </w:p>
        </w:tc>
        <w:tc>
          <w:tcPr>
            <w:tcW w:w="100" w:type="dxa"/>
            <w:vAlign w:val="bottom"/>
          </w:tcPr>
          <w:p>
            <w:pPr>
              <w:spacing w:after="0"/>
              <w:rPr>
                <w:sz w:val="13"/>
                <w:szCs w:val="13"/>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108,208</w:t>
            </w:r>
          </w:p>
        </w:tc>
        <w:tc>
          <w:tcPr>
            <w:tcW w:w="6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105,661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(6,600)</w:t>
            </w:r>
          </w:p>
        </w:tc>
      </w:tr>
      <w:tr>
        <w:trPr>
          <w:trHeight w:val="19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309</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7,412</w:t>
            </w:r>
          </w:p>
        </w:tc>
      </w:tr>
    </w:tbl>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ACADEMY HOLDING COMPANY, LLC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8940" w:hanging="444"/>
        <w:spacing w:after="0" w:line="400" w:lineRule="auto"/>
        <w:tabs>
          <w:tab w:leader="none" w:pos="552"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b w:val="1"/>
          <w:bCs w:val="1"/>
          <w:i w:val="1"/>
          <w:iCs w:val="1"/>
          <w:color w:val="auto"/>
        </w:rPr>
        <w:t>The Company</w:t>
      </w: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3"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0" w:lineRule="exact"/>
        <w:rPr>
          <w:sz w:val="20"/>
          <w:szCs w:val="20"/>
          <w:color w:val="auto"/>
        </w:rPr>
      </w:pPr>
    </w:p>
    <w:p>
      <w:pPr>
        <w:ind w:left="540" w:hanging="424"/>
        <w:spacing w:after="0"/>
        <w:tabs>
          <w:tab w:leader="none" w:pos="5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2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connection with the proposed initial public offering, or the IPO, of Academy Sports and Outdoors, Inc., a Delaware corporation, or an IPO issuer, we will undertake a series of reorganization transactions, or the Reorganization Transactions, that will result in, among other things, Holdco being contributed by its unitholders to the IPO issuer and becoming a wholly owned subsidiary of the IPO issuer.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55" w:lineRule="auto"/>
        <w:rPr>
          <w:sz w:val="20"/>
          <w:szCs w:val="20"/>
          <w:color w:val="auto"/>
        </w:rPr>
      </w:pPr>
      <w:r>
        <w:rPr>
          <w:rFonts w:ascii="Times New Roman" w:cs="Times New Roman" w:eastAsia="Times New Roman" w:hAnsi="Times New Roman"/>
          <w:sz w:val="18"/>
          <w:szCs w:val="18"/>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89"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On August 28, 2020, Holdco distributed a $257.0 million one-time special distribution (the “Distribution”) to existing unitholders of record as of August 25, 2020.</w:t>
      </w:r>
    </w:p>
    <w:p>
      <w:pPr>
        <w:spacing w:after="0" w:line="162"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0"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8,559,813 of the Company’s shares of common stock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assumed initial public offering price in the IPO of $16.00 per share, representing the midpoint of the price range set forth on the cover page of the prospectus.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table below sets forth the computation of the Company’s unaudited basic and diluted pro forma net income per share for 2019:</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1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74,796,545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8,559,813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8,559,813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81,037,194</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83,356,358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60" w:right="660" w:firstLine="423"/>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in the 2018 and 2017 consolidated financial statements to conform to the current period presentation. Within the merchandise division sales table presented in Note 3, certain products and categories were recategorized amongst categories and divisions during 2019 to better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66" w:lineRule="auto"/>
        <w:rPr>
          <w:sz w:val="20"/>
          <w:szCs w:val="20"/>
          <w:color w:val="auto"/>
        </w:rPr>
      </w:pPr>
      <w:r>
        <w:rPr>
          <w:rFonts w:ascii="Times New Roman" w:cs="Times New Roman" w:eastAsia="Times New Roman" w:hAnsi="Times New Roman"/>
          <w:sz w:val="18"/>
          <w:szCs w:val="18"/>
          <w:color w:val="auto"/>
        </w:rPr>
        <w:t>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Redeemable Membership Units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94"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5" w:right="5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left="560" w:right="14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83" w:lineRule="exact"/>
        <w:rPr>
          <w:sz w:val="20"/>
          <w:szCs w:val="20"/>
          <w:color w:val="auto"/>
        </w:rPr>
      </w:pPr>
    </w:p>
    <w:p>
      <w:pPr>
        <w:ind w:left="560" w:right="100" w:firstLine="423"/>
        <w:spacing w:after="0" w:line="261" w:lineRule="auto"/>
        <w:rPr>
          <w:sz w:val="20"/>
          <w:szCs w:val="20"/>
          <w:color w:val="auto"/>
        </w:rPr>
      </w:pPr>
      <w:r>
        <w:rPr>
          <w:rFonts w:ascii="Times New Roman" w:cs="Times New Roman" w:eastAsia="Times New Roman" w:hAnsi="Times New Roman"/>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0" w:lineRule="exact"/>
        <w:rPr>
          <w:sz w:val="20"/>
          <w:szCs w:val="20"/>
          <w:color w:val="auto"/>
        </w:rPr>
      </w:pPr>
    </w:p>
    <w:p>
      <w:pPr>
        <w:ind w:left="560" w:right="220" w:firstLine="423"/>
        <w:spacing w:after="0" w:line="261" w:lineRule="auto"/>
        <w:rPr>
          <w:sz w:val="20"/>
          <w:szCs w:val="20"/>
          <w:color w:val="auto"/>
        </w:rPr>
      </w:pPr>
      <w:r>
        <w:rPr>
          <w:rFonts w:ascii="Times New Roman" w:cs="Times New Roman" w:eastAsia="Times New Roman" w:hAnsi="Times New Roman"/>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 net</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60" w:right="260" w:firstLine="423"/>
        <w:spacing w:after="0" w:line="289"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5–10 years</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7–10 years</w:t>
            </w:r>
          </w:p>
        </w:tc>
      </w:tr>
    </w:tbl>
    <w:p>
      <w:pPr>
        <w:spacing w:after="0" w:line="179"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76"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Computer Software Costs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80" w:firstLine="423"/>
        <w:spacing w:after="0" w:line="254" w:lineRule="auto"/>
        <w:rPr>
          <w:sz w:val="20"/>
          <w:szCs w:val="20"/>
          <w:color w:val="auto"/>
        </w:rPr>
      </w:pPr>
      <w:r>
        <w:rPr>
          <w:rFonts w:ascii="Times New Roman" w:cs="Times New Roman" w:eastAsia="Times New Roman" w:hAnsi="Times New Roman"/>
          <w:sz w:val="18"/>
          <w:szCs w:val="18"/>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0"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3"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20" w:firstLine="423"/>
        <w:spacing w:after="0" w:line="258" w:lineRule="auto"/>
        <w:rPr>
          <w:sz w:val="20"/>
          <w:szCs w:val="20"/>
          <w:color w:val="auto"/>
        </w:rPr>
      </w:pPr>
      <w:r>
        <w:rPr>
          <w:rFonts w:ascii="Times New Roman" w:cs="Times New Roman" w:eastAsia="Times New Roman" w:hAnsi="Times New Roman"/>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3" w:lineRule="exact"/>
        <w:rPr>
          <w:sz w:val="20"/>
          <w:szCs w:val="20"/>
          <w:color w:val="auto"/>
        </w:rPr>
      </w:pPr>
    </w:p>
    <w:p>
      <w:pPr>
        <w:ind w:left="560" w:right="680" w:firstLine="423"/>
        <w:spacing w:after="0" w:line="282" w:lineRule="auto"/>
        <w:rPr>
          <w:sz w:val="20"/>
          <w:szCs w:val="20"/>
          <w:color w:val="auto"/>
        </w:rPr>
      </w:pPr>
      <w:r>
        <w:rPr>
          <w:rFonts w:ascii="Times New Roman" w:cs="Times New Roman" w:eastAsia="Times New Roman" w:hAnsi="Times New Roman"/>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Intangible assets consist of the trade name of “Academy Sports + Outdoors”, or the Trade Name, and our favorable leases. The favorable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leases are accounted for as finite-lived assets and are amortized over their estimated useful economic lives. With the adoption of ASU 2016-02,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and a series of related Accounting Standards Updates that followed, or collectively, the New Lease Standard, on February 3,</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2019, the balance of the favorable lease rights, net was netted into the right-of-use assets on the balance sheet (see Note 14). The Trade Name 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expected to generate cash flows indefinitely and, therefore, is accounted for as an indefinite-lived asset not subject to amortization.</w:t>
      </w:r>
    </w:p>
    <w:p>
      <w:pPr>
        <w:spacing w:after="0" w:line="207"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Loan Costs</w:t>
      </w:r>
    </w:p>
    <w:p>
      <w:pPr>
        <w:spacing w:after="0" w:line="121" w:lineRule="exact"/>
        <w:rPr>
          <w:sz w:val="20"/>
          <w:szCs w:val="20"/>
          <w:color w:val="auto"/>
        </w:rPr>
      </w:pPr>
    </w:p>
    <w:p>
      <w:pPr>
        <w:ind w:left="560" w:right="260" w:firstLine="423"/>
        <w:spacing w:after="0" w:line="258" w:lineRule="auto"/>
        <w:rPr>
          <w:sz w:val="20"/>
          <w:szCs w:val="20"/>
          <w:color w:val="auto"/>
        </w:rPr>
      </w:pPr>
      <w:r>
        <w:rPr>
          <w:rFonts w:ascii="Times New Roman" w:cs="Times New Roman" w:eastAsia="Times New Roman" w:hAnsi="Times New Roman"/>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 Incentives</w:t>
      </w:r>
    </w:p>
    <w:p>
      <w:pPr>
        <w:spacing w:after="0" w:line="121" w:lineRule="exact"/>
        <w:rPr>
          <w:sz w:val="20"/>
          <w:szCs w:val="20"/>
          <w:color w:val="auto"/>
        </w:rPr>
      </w:pPr>
    </w:p>
    <w:p>
      <w:pPr>
        <w:ind w:left="560" w:right="100" w:firstLine="423"/>
        <w:spacing w:after="0" w:line="266" w:lineRule="auto"/>
        <w:rPr>
          <w:sz w:val="20"/>
          <w:szCs w:val="20"/>
          <w:color w:val="auto"/>
        </w:rPr>
      </w:pPr>
      <w:r>
        <w:rPr>
          <w:rFonts w:ascii="Times New Roman" w:cs="Times New Roman" w:eastAsia="Times New Roman" w:hAnsi="Times New Roman"/>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76"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8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 xml:space="preserve">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560" w:right="240" w:firstLine="423"/>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net of specific vendor allowances, were $142.3 million, $139.1 million and $140.8 million in 2019, 2018 and 2017,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We account for equity compensation in accordance with Financial Accounting Standards Board, or FASB, Accounting Standards Codification, or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w:t>
      </w:r>
    </w:p>
    <w:p>
      <w:pPr>
        <w:spacing w:after="0" w:line="12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we report our financial results as one reportable segment. Substantially all of the Company’s identifiable assets are located in the United States.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left="560" w:right="320" w:firstLine="423"/>
        <w:spacing w:after="0" w:line="282"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60" w:lineRule="exact"/>
        <w:rPr>
          <w:sz w:val="20"/>
          <w:szCs w:val="20"/>
          <w:color w:val="auto"/>
        </w:rPr>
      </w:pPr>
    </w:p>
    <w:p>
      <w:pPr>
        <w:ind w:left="560" w:right="380" w:firstLine="423"/>
        <w:spacing w:after="0" w:line="273" w:lineRule="auto"/>
        <w:rPr>
          <w:sz w:val="20"/>
          <w:szCs w:val="20"/>
          <w:color w:val="auto"/>
        </w:rPr>
      </w:pPr>
      <w:r>
        <w:rPr>
          <w:rFonts w:ascii="Times New Roman" w:cs="Times New Roman" w:eastAsia="Times New Roman" w:hAnsi="Times New Roman"/>
          <w:sz w:val="17"/>
          <w:szCs w:val="17"/>
          <w:color w:val="auto"/>
        </w:rPr>
        <w:t xml:space="preserve">We elected the practical expedient available to us under ASU 2018-11, </w:t>
      </w:r>
      <w:r>
        <w:rPr>
          <w:rFonts w:ascii="Times New Roman" w:cs="Times New Roman" w:eastAsia="Times New Roman" w:hAnsi="Times New Roman"/>
          <w:sz w:val="17"/>
          <w:szCs w:val="17"/>
          <w:i w:val="1"/>
          <w:iCs w:val="1"/>
          <w:color w:val="auto"/>
        </w:rPr>
        <w:t>“Leases: Targeted Improvements”</w:t>
      </w:r>
      <w:r>
        <w:rPr>
          <w:rFonts w:ascii="Times New Roman" w:cs="Times New Roman" w:eastAsia="Times New Roman" w:hAnsi="Times New Roman"/>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1" w:lineRule="exact"/>
        <w:rPr>
          <w:sz w:val="20"/>
          <w:szCs w:val="20"/>
          <w:color w:val="auto"/>
        </w:rPr>
      </w:pPr>
    </w:p>
    <w:p>
      <w:pPr>
        <w:ind w:left="560" w:right="40"/>
        <w:spacing w:after="0" w:line="255" w:lineRule="auto"/>
        <w:rPr>
          <w:sz w:val="20"/>
          <w:szCs w:val="20"/>
          <w:color w:val="auto"/>
        </w:rPr>
      </w:pPr>
      <w:r>
        <w:rPr>
          <w:rFonts w:ascii="Times New Roman" w:cs="Times New Roman" w:eastAsia="Times New Roman" w:hAnsi="Times New Roman"/>
          <w:sz w:val="18"/>
          <w:szCs w:val="18"/>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30" w:lineRule="exact"/>
        <w:rPr>
          <w:sz w:val="20"/>
          <w:szCs w:val="20"/>
          <w:color w:val="auto"/>
        </w:rPr>
      </w:pPr>
    </w:p>
    <w:p>
      <w:pPr>
        <w:ind w:left="540" w:hanging="424"/>
        <w:spacing w:after="0"/>
        <w:tabs>
          <w:tab w:leader="none" w:pos="5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212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0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Outdoors</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1,522,985</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1,544,021</w:t>
            </w:r>
          </w:p>
        </w:tc>
        <w:tc>
          <w:tcPr>
            <w:tcW w:w="3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1,583,183</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859,868</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939,464</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1,405,258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1,311,054</w:t>
            </w:r>
          </w:p>
        </w:tc>
        <w:tc>
          <w:tcPr>
            <w:tcW w:w="4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1,021,603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986,887</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4,809,714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4,820,588</w:t>
            </w:r>
          </w:p>
        </w:tc>
        <w:tc>
          <w:tcPr>
            <w:tcW w:w="4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20,183</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4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4,829,897</w:t>
            </w:r>
          </w:p>
        </w:tc>
        <w:tc>
          <w:tcPr>
            <w:tcW w:w="7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4,835,582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480" w:hanging="224"/>
        <w:spacing w:after="0" w:line="272" w:lineRule="auto"/>
        <w:tabs>
          <w:tab w:leader="none" w:pos="3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1" w:lineRule="exact"/>
        <w:rPr>
          <w:rFonts w:ascii="Times New Roman" w:cs="Times New Roman" w:eastAsia="Times New Roman" w:hAnsi="Times New Roman"/>
          <w:sz w:val="14"/>
          <w:szCs w:val="14"/>
          <w:color w:val="auto"/>
        </w:rPr>
      </w:pPr>
    </w:p>
    <w:p>
      <w:pPr>
        <w:ind w:left="340" w:hanging="224"/>
        <w:spacing w:after="0"/>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E-commerce sales consist of 5.1%, 4.9% and 4.0% of merchandise sales for 2019, 2018 and 2017, respectively.</w:t>
      </w:r>
    </w:p>
    <w:p>
      <w:pPr>
        <w:spacing w:after="0" w:line="9" w:lineRule="exact"/>
        <w:rPr>
          <w:rFonts w:ascii="Times New Roman" w:cs="Times New Roman" w:eastAsia="Times New Roman" w:hAnsi="Times New Roman"/>
          <w:sz w:val="15"/>
          <w:szCs w:val="15"/>
          <w:color w:val="auto"/>
        </w:rPr>
      </w:pPr>
    </w:p>
    <w:p>
      <w:pPr>
        <w:ind w:left="340" w:right="500" w:hanging="224"/>
        <w:spacing w:after="0" w:line="260" w:lineRule="auto"/>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81"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00"/>
        <w:spacing w:after="0" w:line="266" w:lineRule="auto"/>
        <w:rPr>
          <w:sz w:val="20"/>
          <w:szCs w:val="20"/>
          <w:color w:val="auto"/>
        </w:rPr>
      </w:pPr>
      <w:r>
        <w:rPr>
          <w:rFonts w:ascii="Times New Roman" w:cs="Times New Roman" w:eastAsia="Times New Roman" w:hAnsi="Times New Roman"/>
          <w:sz w:val="18"/>
          <w:szCs w:val="18"/>
          <w:color w:val="auto"/>
        </w:rPr>
        <w:t>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1, 2020</w:t>
            </w:r>
          </w:p>
        </w:tc>
        <w:tc>
          <w:tcPr>
            <w:tcW w:w="194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9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2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 $650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2015 Term Loan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Term Loan Facility bears interest, at our election, at either (1) LIBOR rate with a floor of 1.00%, plus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54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February 3, 2018</w:t>
            </w:r>
          </w:p>
        </w:tc>
        <w:tc>
          <w:tcPr>
            <w:tcW w:w="40" w:type="dxa"/>
            <w:vAlign w:val="bottom"/>
          </w:tcPr>
          <w:p>
            <w:pPr>
              <w:spacing w:after="0"/>
              <w:rPr>
                <w:sz w:val="12"/>
                <w:szCs w:val="12"/>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principal repurchased</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Reacquisition price of debt</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recognized</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42.3</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4"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Amended ABL Facility.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is used to provide financing for working capital and other general corporate purposes,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83"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Liens and guarantees.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Amended ABL Facility has a first priority lien on all Academy, Ltd.’s cash, accounts receivable, inventory, deposit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securities accounts and proceeds therefrom, or the ABL Collateral. Additionally, the Amended ABL Facility has a second priority lien on all other collateral of the 2015 Term Loan Facility. All obligations under the 2015 Term Loan Facility and the guarantees of those obligations are secured by:</w:t>
      </w:r>
    </w:p>
    <w:p>
      <w:pPr>
        <w:spacing w:after="0" w:line="62" w:lineRule="exact"/>
        <w:rPr>
          <w:sz w:val="20"/>
          <w:szCs w:val="20"/>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second-priority security interest in the ABL Collateral;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security interest in, and mortgages on, substantially all present and after acquired tangible and intangible assets of Academy, Ltd.;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Amended ABL Facility and the 2015 Term Loan Facility agreements contain covenants, including, among other things, covenants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February 1, 2020, scheduled principal payments on our debt are as follows (amounts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r>
      <w:tr>
        <w:trPr>
          <w:trHeight w:val="191"/>
        </w:trPr>
        <w:tc>
          <w:tcPr>
            <w:tcW w:w="2620" w:type="dxa"/>
            <w:vAlign w:val="bottom"/>
            <w:tcBorders>
              <w:top w:val="single" w:sz="8" w:color="auto"/>
            </w:tcBorders>
          </w:tcPr>
          <w:p>
            <w:pPr>
              <w:ind w:left="960"/>
              <w:spacing w:after="0" w:line="191" w:lineRule="exact"/>
              <w:rPr>
                <w:sz w:val="20"/>
                <w:szCs w:val="20"/>
                <w:color w:val="auto"/>
              </w:rPr>
            </w:pPr>
            <w:r>
              <w:rPr>
                <w:rFonts w:ascii="Times New Roman" w:cs="Times New Roman" w:eastAsia="Times New Roman" w:hAnsi="Times New Roman"/>
                <w:sz w:val="18"/>
                <w:szCs w:val="18"/>
                <w:color w:val="auto"/>
              </w:rPr>
              <w:t xml:space="preserve">$320,000 </w:t>
            </w: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September 3, 2021</w:t>
            </w:r>
          </w:p>
        </w:tc>
      </w:tr>
      <w:tr>
        <w:trPr>
          <w:trHeight w:val="216"/>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2016</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2021</w:t>
            </w:r>
          </w:p>
        </w:tc>
      </w:tr>
      <w:tr>
        <w:trPr>
          <w:trHeight w:val="234"/>
        </w:trPr>
        <w:tc>
          <w:tcPr>
            <w:tcW w:w="2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1, 2018</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2021</w:t>
            </w:r>
          </w:p>
        </w:tc>
      </w:tr>
    </w:tbl>
    <w:p>
      <w:pPr>
        <w:spacing w:after="0" w:line="225" w:lineRule="exact"/>
        <w:rPr>
          <w:sz w:val="20"/>
          <w:szCs w:val="20"/>
          <w:color w:val="auto"/>
        </w:rPr>
      </w:pPr>
    </w:p>
    <w:p>
      <w:pPr>
        <w:ind w:left="340" w:right="60" w:hanging="224"/>
        <w:spacing w:after="0" w:line="282" w:lineRule="auto"/>
        <w:tabs>
          <w:tab w:leader="none" w:pos="340" w:val="left"/>
        </w:tabs>
        <w:numPr>
          <w:ilvl w:val="0"/>
          <w:numId w:val="2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$600,000 notional amount of the swap amortizes to $525,000, $430,000, $320,000 and $250,000 on September 3 of 2017, 2018, 2019 and 2020,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the interest rate swaps is as follows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5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76"/>
        </w:trPr>
        <w:tc>
          <w:tcPr>
            <w:tcW w:w="4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5"/>
              </w:rPr>
              <w:t>Assets</w:t>
            </w:r>
          </w:p>
        </w:tc>
        <w:tc>
          <w:tcPr>
            <w:tcW w:w="35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current assets</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16"/>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included in other noncurrent assets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5,355</w:t>
            </w:r>
          </w:p>
        </w:tc>
      </w:tr>
      <w:tr>
        <w:trPr>
          <w:trHeight w:val="28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9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Amounts included in accrued expenses and other</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8"/>
        </w:trPr>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6,130</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Amounts included in other long-term liabilities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1,976</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7"/>
        </w:trPr>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swap net assets (liabilities)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8,408</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impact of gains and losses related to interest rate swaps that are deferred into AOCI and subsequently reclassified into interest expense is as follows (amounts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980" w:type="dxa"/>
            <w:vAlign w:val="bottom"/>
            <w:gridSpan w:val="4"/>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4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 w:type="dxa"/>
            <w:vAlign w:val="bottom"/>
            <w:tcBorders>
              <w:top w:val="single" w:sz="8" w:color="CCEEFF"/>
            </w:tcBorders>
            <w:shd w:val="clear" w:color="auto" w:fill="CCEEFF"/>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to interest expense</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(418)</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40" w:type="dxa"/>
            <w:vAlign w:val="bottom"/>
          </w:tcPr>
          <w:p>
            <w:pPr>
              <w:spacing w:after="0"/>
              <w:rPr>
                <w:sz w:val="20"/>
                <w:szCs w:val="20"/>
                <w:color w:val="auto"/>
              </w:rPr>
            </w:pPr>
          </w:p>
        </w:tc>
      </w:tr>
    </w:tbl>
    <w:p>
      <w:pPr>
        <w:spacing w:after="0" w:line="320" w:lineRule="exact"/>
        <w:rPr>
          <w:sz w:val="20"/>
          <w:szCs w:val="20"/>
          <w:color w:val="auto"/>
        </w:rPr>
      </w:pPr>
    </w:p>
    <w:p>
      <w:pPr>
        <w:ind w:left="540" w:hanging="424"/>
        <w:spacing w:after="0"/>
        <w:tabs>
          <w:tab w:leader="none" w:pos="5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31" w:lineRule="exact"/>
        <w:rPr>
          <w:sz w:val="20"/>
          <w:szCs w:val="20"/>
          <w:color w:val="auto"/>
        </w:rPr>
      </w:pPr>
    </w:p>
    <w:p>
      <w:pPr>
        <w:ind w:left="1080" w:right="26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the fair value hierarchy for our derivative financial instruments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4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rate swap</w:t>
            </w:r>
          </w:p>
        </w:tc>
        <w:tc>
          <w:tcPr>
            <w:tcW w:w="1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8,106</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value our derivative financial instruments using a discounted cash flow analysis based on the expected cash flows of each derivative. This analysis reflects the contractual terms of the derivatives, including the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Measured on a Non-Recurring Basis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324" w:lineRule="exact"/>
        <w:rPr>
          <w:sz w:val="20"/>
          <w:szCs w:val="20"/>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consists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304,784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3,698</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(763,836)</w:t>
            </w: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4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Favorable lease rights, net</w:t>
            </w: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15,067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577,000</w:t>
            </w:r>
          </w:p>
        </w:tc>
      </w:tr>
      <w:tr>
        <w:trPr>
          <w:trHeight w:val="27"/>
        </w:trPr>
        <w:tc>
          <w:tcPr>
            <w:tcW w:w="4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577,000</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592,067</w:t>
            </w:r>
          </w:p>
        </w:tc>
      </w:tr>
      <w:tr>
        <w:trPr>
          <w:trHeight w:val="20"/>
        </w:trPr>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on favorable lease rights was $3.5 million in 2018 and 2017, respectively. Favorable lease rights are net of accumulated amortization of $25.0 million as of February 2, 2019.</w:t>
      </w:r>
    </w:p>
    <w:p>
      <w:pPr>
        <w:spacing w:after="0" w:line="306" w:lineRule="exact"/>
        <w:rPr>
          <w:sz w:val="20"/>
          <w:szCs w:val="20"/>
          <w:color w:val="auto"/>
        </w:rPr>
      </w:pPr>
    </w:p>
    <w:p>
      <w:pPr>
        <w:ind w:left="540" w:hanging="424"/>
        <w:spacing w:after="0"/>
        <w:tabs>
          <w:tab w:leader="none" w:pos="5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3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personnel costs</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54,065</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7,835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3,574</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use tax</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self-insurance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14,107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16,919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revenue—gift cards and 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70,220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30,084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31,191</w:t>
            </w:r>
          </w:p>
        </w:tc>
      </w:tr>
      <w:tr>
        <w:trPr>
          <w:trHeight w:val="27"/>
        </w:trPr>
        <w:tc>
          <w:tcPr>
            <w:tcW w:w="4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211,381</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184,141</w:t>
            </w: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Unit-Based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228,274,749 Membership Units authorized, issued and outstanding as of February 1, 2020.</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60"/>
          </w:cols>
          <w:pgMar w:left="320" w:top="455" w:right="51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Event Restricted Unit. In each case, vesting of the Company’s outstanding and unvested Unit Options and Restricted Units is contingent upon the holder’s continued service through the date of each applicable vesting event.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Fair Value Assumptions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assumptions and grant date fair values for Service Options and Performance Options granted in 2019, 2018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2020</w:t>
            </w:r>
          </w:p>
        </w:tc>
        <w:tc>
          <w:tcPr>
            <w:tcW w:w="1700" w:type="dxa"/>
            <w:vAlign w:val="bottom"/>
            <w:gridSpan w:val="2"/>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2019</w:t>
            </w:r>
          </w:p>
        </w:tc>
        <w:tc>
          <w:tcPr>
            <w:tcW w:w="12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2018</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w:t>
            </w:r>
          </w:p>
        </w:tc>
        <w:tc>
          <w:tcPr>
            <w:tcW w:w="460" w:type="dxa"/>
            <w:vAlign w:val="bottom"/>
          </w:tcPr>
          <w:p>
            <w:pPr>
              <w:spacing w:after="0"/>
              <w:rPr>
                <w:sz w:val="18"/>
                <w:szCs w:val="18"/>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50% to 55%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 to 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52.0%</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1.4% to 2.5%</w:t>
            </w: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2.6% to 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to 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Service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$2.75</w:t>
            </w: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 date fair value - Performance</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$2.74</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 Option Activity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 Option activity is as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4,126,204</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(533,211)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(1,301,531)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14,340,902</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9,654,571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(5,898,381)</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5.99</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(2,486,813)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15,610,279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33,157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4,365,143</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(601,974)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(1,133,977)</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18,239,471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28,855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11,225,459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380" w:hanging="224"/>
        <w:spacing w:after="0" w:line="261"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Unit Options</w:t>
      </w:r>
      <w:r>
        <w:rPr>
          <w:rFonts w:ascii="Times New Roman" w:cs="Times New Roman" w:eastAsia="Times New Roman" w:hAnsi="Times New Roman"/>
          <w:sz w:val="15"/>
          <w:szCs w:val="15"/>
          <w:b w:val="1"/>
          <w:bCs w:val="1"/>
          <w:i w:val="1"/>
          <w:iCs w:val="1"/>
          <w:color w:val="auto"/>
        </w:rPr>
        <w:t>(1)</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2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1,232,128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(436,759)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(852,432)</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9,902,357</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18,658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3,272,337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(2,258,138)</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5.86</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(1,231,868)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5.59</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9,684,688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29,960</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1,335,436</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(228,718)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(563,830)</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as of February 1, 2020 </w:t>
            </w:r>
            <w:r>
              <w:rPr>
                <w:rFonts w:ascii="Times New Roman" w:cs="Times New Roman" w:eastAsia="Times New Roman" w:hAnsi="Times New Roman"/>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10,227,576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7,760,964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26,061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right="380" w:hanging="224"/>
        <w:spacing w:after="0" w:line="261" w:lineRule="auto"/>
        <w:tabs>
          <w:tab w:leader="none" w:pos="34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fair value of a membership unit as of each period end was $6.07, $4.40, $5.91, $5.59, for the fiscal years ended 2016, 2017, 2018, and 2019, respectively.</w:t>
      </w:r>
    </w:p>
    <w:p>
      <w:pPr>
        <w:ind w:left="340" w:right="160" w:hanging="224"/>
        <w:spacing w:after="0" w:line="260" w:lineRule="auto"/>
        <w:tabs>
          <w:tab w:leader="none" w:pos="340" w:val="left"/>
        </w:tabs>
        <w:numPr>
          <w:ilvl w:val="0"/>
          <w:numId w:val="22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has elected to recognize forfeitures as they occur. Therefore, the number of awards vested and expected to vest is equal to the awards outstanding.</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Unit Activity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Unit activity is as follows: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Units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Non-vested as of January 28, 2017</w:t>
            </w:r>
          </w:p>
        </w:tc>
        <w:tc>
          <w:tcPr>
            <w:tcW w:w="2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1,374,348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29,022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3, 2018</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1,395,132</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2,769,316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(34,704)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(782,295)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2, 2019</w:t>
            </w:r>
          </w:p>
        </w:tc>
        <w:tc>
          <w:tcPr>
            <w:tcW w:w="25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3,347,449</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180,610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37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(57,363)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37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(141,510)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as of February 1, 2020</w:t>
            </w:r>
          </w:p>
        </w:tc>
        <w:tc>
          <w:tcPr>
            <w:tcW w:w="25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3,329,186</w:t>
            </w:r>
          </w:p>
        </w:tc>
        <w:tc>
          <w:tcPr>
            <w:tcW w:w="4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37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rPr>
              <w:t>F-47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9" w:lineRule="exact"/>
        <w:rPr>
          <w:sz w:val="20"/>
          <w:szCs w:val="20"/>
          <w:color w:val="auto"/>
        </w:rPr>
      </w:pPr>
    </w:p>
    <w:p>
      <w:pPr>
        <w:ind w:left="540" w:hanging="424"/>
        <w:spacing w:after="0"/>
        <w:tabs>
          <w:tab w:leader="none" w:pos="5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dilutive units outstanding are calculated as follows (dollar amounts in thousands except per unit amounts):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120,043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basic</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228,303,750</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228,160,508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Units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2,886,601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Dilutive effect of Performance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4,383,391</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4,625,349</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4,780,630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Weighed average units outstanding - diluted</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235,609,118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236,873,973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unit - basic</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unit - diluted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4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Anti-dilutive stock-based awards excluded form diluted</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1,833,855</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6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7,485,706</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10,150,627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F-48</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income tax provision consists of the following (amounts in thousands) as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58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9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expense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expense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amounts computed by applying the federal statutory rate (dollar amounts in thousands)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600" w:type="dxa"/>
            <w:vAlign w:val="bottom"/>
            <w:gridSpan w:val="4"/>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February 2,</w:t>
            </w:r>
          </w:p>
        </w:tc>
        <w:tc>
          <w:tcPr>
            <w:tcW w:w="1040" w:type="dxa"/>
            <w:vAlign w:val="bottom"/>
            <w:gridSpan w:val="3"/>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122,860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at federal statutory rate (21% for 2019, 21% for 2018 and</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25,801</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33.8% for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tax expense resulting from:</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2,818</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rates due to pass through entities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(25,801)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76"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00"/>
          </w:cols>
          <w:pgMar w:left="320" w:top="455" w:right="57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components that give rise to significant portions of the net deferred tax assets and liabilities are presented below (amounts in thousands)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February 2,</w:t>
            </w:r>
          </w:p>
        </w:tc>
      </w:tr>
      <w:tr>
        <w:trPr>
          <w:trHeight w:val="173"/>
        </w:trPr>
        <w:tc>
          <w:tcPr>
            <w:tcW w:w="428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 and depreciation</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other</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20"/>
                <w:szCs w:val="20"/>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517</w:t>
            </w:r>
          </w:p>
        </w:tc>
      </w:tr>
      <w:tr>
        <w:trPr>
          <w:trHeight w:val="20"/>
        </w:trPr>
        <w:tc>
          <w:tcPr>
            <w:tcW w:w="4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76"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0" w:lineRule="exact"/>
        <w:rPr>
          <w:sz w:val="20"/>
          <w:szCs w:val="20"/>
          <w:color w:val="auto"/>
        </w:rPr>
      </w:pPr>
    </w:p>
    <w:p>
      <w:pPr>
        <w:ind w:left="560" w:right="8480" w:hanging="444"/>
        <w:spacing w:after="0" w:line="400" w:lineRule="auto"/>
        <w:tabs>
          <w:tab w:leader="none" w:pos="55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Monitoring Agreement</w:t>
      </w: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8"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Other Fee Arrangements</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Purchases</w:t>
      </w:r>
    </w:p>
    <w:p>
      <w:pPr>
        <w:spacing w:after="0" w:line="121" w:lineRule="exact"/>
        <w:rPr>
          <w:sz w:val="20"/>
          <w:szCs w:val="20"/>
          <w:color w:val="auto"/>
        </w:rPr>
      </w:pPr>
    </w:p>
    <w:p>
      <w:pPr>
        <w:ind w:left="560" w:right="260" w:firstLine="423"/>
        <w:spacing w:after="0" w:line="261" w:lineRule="auto"/>
        <w:rPr>
          <w:sz w:val="20"/>
          <w:szCs w:val="20"/>
          <w:color w:val="auto"/>
        </w:rPr>
      </w:pPr>
      <w:r>
        <w:rPr>
          <w:rFonts w:ascii="Times New Roman" w:cs="Times New Roman" w:eastAsia="Times New Roman" w:hAnsi="Times New Roman"/>
          <w:sz w:val="18"/>
          <w:szCs w:val="18"/>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80" w:lineRule="exact"/>
        <w:rPr>
          <w:sz w:val="20"/>
          <w:szCs w:val="20"/>
          <w:color w:val="auto"/>
        </w:rPr>
      </w:pPr>
    </w:p>
    <w:p>
      <w:pPr>
        <w:jc w:val="both"/>
        <w:ind w:left="560" w:firstLine="423"/>
        <w:spacing w:after="0" w:line="289" w:lineRule="auto"/>
        <w:rPr>
          <w:sz w:val="20"/>
          <w:szCs w:val="20"/>
          <w:color w:val="auto"/>
        </w:rPr>
      </w:pPr>
      <w:r>
        <w:rPr>
          <w:rFonts w:ascii="Times New Roman" w:cs="Times New Roman" w:eastAsia="Times New Roman" w:hAnsi="Times New Roman"/>
          <w:sz w:val="17"/>
          <w:szCs w:val="17"/>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Note Receivable from Member</w:t>
      </w:r>
    </w:p>
    <w:p>
      <w:pPr>
        <w:spacing w:after="0" w:line="121"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2"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3"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6" w:lineRule="auto"/>
        <w:rPr>
          <w:sz w:val="20"/>
          <w:szCs w:val="20"/>
          <w:color w:val="auto"/>
        </w:rPr>
      </w:pPr>
      <w:r>
        <w:rPr>
          <w:rFonts w:ascii="Times New Roman" w:cs="Times New Roman" w:eastAsia="Times New Roman" w:hAnsi="Times New Roman"/>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87"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balance sheet impact of the implementation of the New Lease Standard upon adoption (amounts in thousands):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20" w:type="dxa"/>
            <w:vAlign w:val="bottom"/>
            <w:gridSpan w:val="3"/>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5"/>
                <w:szCs w:val="15"/>
                <w:color w:val="auto"/>
              </w:rPr>
              <w:t>(1)</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(15,778)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1,173,741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Trade name and other intangible assets, net </w:t>
            </w:r>
            <w:r>
              <w:rPr>
                <w:rFonts w:ascii="Times New Roman" w:cs="Times New Roman" w:eastAsia="Times New Roman" w:hAnsi="Times New Roman"/>
                <w:sz w:val="15"/>
                <w:szCs w:val="15"/>
                <w:color w:val="auto"/>
              </w:rPr>
              <w:t>(1)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noncurrent assets </w:t>
            </w:r>
            <w:r>
              <w:rPr>
                <w:rFonts w:ascii="Times New Roman" w:cs="Times New Roman" w:eastAsia="Times New Roman" w:hAnsi="Times New Roman"/>
                <w:sz w:val="15"/>
                <w:szCs w:val="15"/>
                <w:color w:val="auto"/>
              </w:rPr>
              <w:t>(1)(2)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1,154,697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Other long-term liabilities </w:t>
            </w:r>
            <w:r>
              <w:rPr>
                <w:rFonts w:ascii="Times New Roman" w:cs="Times New Roman" w:eastAsia="Times New Roman" w:hAnsi="Times New Roman"/>
                <w:sz w:val="15"/>
                <w:szCs w:val="15"/>
                <w:color w:val="auto"/>
              </w:rPr>
              <w:t>(1) (2)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Retained earnings </w:t>
            </w:r>
            <w:r>
              <w:rPr>
                <w:rFonts w:ascii="Times New Roman" w:cs="Times New Roman" w:eastAsia="Times New Roman" w:hAnsi="Times New Roman"/>
                <w:sz w:val="15"/>
                <w:szCs w:val="15"/>
                <w:color w:val="auto"/>
              </w:rPr>
              <w:t>(2)</w:t>
            </w:r>
          </w:p>
        </w:tc>
        <w:tc>
          <w:tcPr>
            <w:tcW w:w="11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553,282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20" w:hanging="224"/>
        <w:spacing w:after="0" w:line="276" w:lineRule="auto"/>
        <w:tabs>
          <w:tab w:leader="none" w:pos="34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1" w:lineRule="exact"/>
        <w:rPr>
          <w:sz w:val="20"/>
          <w:szCs w:val="20"/>
          <w:color w:val="auto"/>
        </w:rPr>
      </w:pPr>
    </w:p>
    <w:p>
      <w:pPr>
        <w:ind w:left="560" w:right="540" w:firstLine="423"/>
        <w:spacing w:after="0" w:line="312" w:lineRule="auto"/>
        <w:rPr>
          <w:sz w:val="20"/>
          <w:szCs w:val="20"/>
          <w:color w:val="auto"/>
        </w:rPr>
      </w:pPr>
      <w:r>
        <w:rPr>
          <w:rFonts w:ascii="Times New Roman" w:cs="Times New Roman" w:eastAsia="Times New Roman" w:hAnsi="Times New Roman"/>
          <w:sz w:val="17"/>
          <w:szCs w:val="17"/>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40"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6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lease expense and sublease income included in selling, general and administrative, or SG&amp;A, expenses on our statement of income is as follows (amounts in thousands):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73"/>
        </w:trPr>
        <w:tc>
          <w:tcPr>
            <w:tcW w:w="27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F-52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Information about our operating leases is as follows (dollar amounts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57,383</w:t>
            </w: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192,849</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440" w:firstLine="423"/>
        <w:spacing w:after="0" w:line="266" w:lineRule="auto"/>
        <w:rPr>
          <w:sz w:val="20"/>
          <w:szCs w:val="20"/>
          <w:color w:val="auto"/>
        </w:rPr>
      </w:pPr>
      <w:r>
        <w:rPr>
          <w:rFonts w:ascii="Times New Roman" w:cs="Times New Roman" w:eastAsia="Times New Roman" w:hAnsi="Times New Roman"/>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maturities of lease liabilities by fiscal year as of February 1, 2020 are as follows (amounts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(715,729)</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224"/>
        <w:spacing w:after="0"/>
        <w:tabs>
          <w:tab w:leader="none" w:pos="340" w:val="left"/>
        </w:tabs>
        <w:numPr>
          <w:ilvl w:val="0"/>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$1.6 million due in the future under non-cancelable subleases.</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192,632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192,610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177,750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Total minimum lease payments </w:t>
            </w: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2,117,424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60" w:right="1040" w:hanging="5344"/>
        <w:spacing w:after="0" w:line="454" w:lineRule="auto"/>
        <w:tabs>
          <w:tab w:leader="none" w:pos="351" w:val="left"/>
        </w:tabs>
        <w:numPr>
          <w:ilvl w:val="0"/>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Minimum lease payments have not been reduced by sublease rentals of $7.7 million due in the future under non-cancelable subleases. F-53</w:t>
      </w:r>
    </w:p>
    <w:p>
      <w:pPr>
        <w:sectPr>
          <w:pgSz w:w="11900" w:h="16838" w:orient="portrait"/>
          <w:cols w:equalWidth="0" w:num="1">
            <w:col w:w="11020"/>
          </w:cols>
          <w:pgMar w:left="320" w:top="455" w:right="55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7200" w:hanging="444"/>
        <w:spacing w:after="0" w:line="400" w:lineRule="auto"/>
        <w:tabs>
          <w:tab w:leader="none" w:pos="55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Technology Related Commitments and Other</w:t>
      </w:r>
    </w:p>
    <w:p>
      <w:pPr>
        <w:ind w:left="560" w:right="80" w:firstLine="423"/>
        <w:spacing w:after="0" w:line="312" w:lineRule="auto"/>
        <w:rPr>
          <w:sz w:val="20"/>
          <w:szCs w:val="20"/>
          <w:color w:val="auto"/>
        </w:rPr>
      </w:pPr>
      <w:r>
        <w:rPr>
          <w:rFonts w:ascii="Times New Roman" w:cs="Times New Roman" w:eastAsia="Times New Roman" w:hAnsi="Times New Roman"/>
          <w:sz w:val="17"/>
          <w:szCs w:val="17"/>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Commitments Related to Monitoring Agreement</w:t>
      </w:r>
    </w:p>
    <w:p>
      <w:pPr>
        <w:spacing w:after="0" w:line="121" w:lineRule="exact"/>
        <w:rPr>
          <w:sz w:val="20"/>
          <w:szCs w:val="20"/>
          <w:color w:val="auto"/>
        </w:rPr>
      </w:pPr>
    </w:p>
    <w:p>
      <w:pPr>
        <w:ind w:left="560" w:right="480" w:firstLine="423"/>
        <w:spacing w:after="0" w:line="282" w:lineRule="auto"/>
        <w:rPr>
          <w:sz w:val="20"/>
          <w:szCs w:val="20"/>
          <w:color w:val="auto"/>
        </w:rPr>
      </w:pPr>
      <w:r>
        <w:rPr>
          <w:rFonts w:ascii="Times New Roman" w:cs="Times New Roman" w:eastAsia="Times New Roman" w:hAnsi="Times New Roman"/>
          <w:sz w:val="18"/>
          <w:szCs w:val="18"/>
          <w:color w:val="auto"/>
        </w:rPr>
        <w:t>As of February 1, 2020, we have obligations under the Monitoring Agreement (see Note 13) in the amount of $14.4 million, of which $4.1 million is payable in the next 12 months.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21" w:lineRule="exact"/>
        <w:rPr>
          <w:sz w:val="20"/>
          <w:szCs w:val="20"/>
          <w:color w:val="auto"/>
        </w:rPr>
      </w:pPr>
    </w:p>
    <w:p>
      <w:pPr>
        <w:ind w:left="560" w:right="60" w:firstLine="423"/>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 and Intellectual Property Commitments</w:t>
      </w:r>
    </w:p>
    <w:p>
      <w:pPr>
        <w:spacing w:after="0" w:line="121" w:lineRule="exact"/>
        <w:rPr>
          <w:sz w:val="20"/>
          <w:szCs w:val="20"/>
          <w:color w:val="auto"/>
        </w:rPr>
      </w:pPr>
    </w:p>
    <w:p>
      <w:pPr>
        <w:ind w:left="560" w:right="280" w:firstLine="423"/>
        <w:spacing w:after="0" w:line="277" w:lineRule="auto"/>
        <w:rPr>
          <w:sz w:val="20"/>
          <w:szCs w:val="20"/>
          <w:color w:val="auto"/>
        </w:rPr>
      </w:pPr>
      <w:r>
        <w:rPr>
          <w:rFonts w:ascii="Times New Roman" w:cs="Times New Roman" w:eastAsia="Times New Roman" w:hAnsi="Times New Roman"/>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312" w:lineRule="exact"/>
        <w:rPr>
          <w:sz w:val="20"/>
          <w:szCs w:val="20"/>
          <w:color w:val="auto"/>
        </w:rPr>
      </w:pPr>
    </w:p>
    <w:p>
      <w:pPr>
        <w:ind w:left="560" w:right="8720" w:hanging="444"/>
        <w:spacing w:after="0" w:line="378" w:lineRule="auto"/>
        <w:tabs>
          <w:tab w:leader="none" w:pos="552"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 Plans </w:t>
      </w:r>
      <w:r>
        <w:rPr>
          <w:rFonts w:ascii="Times New Roman" w:cs="Times New Roman" w:eastAsia="Times New Roman" w:hAnsi="Times New Roman"/>
          <w:sz w:val="18"/>
          <w:szCs w:val="18"/>
          <w:b w:val="1"/>
          <w:bCs w:val="1"/>
          <w:i w:val="1"/>
          <w:iCs w:val="1"/>
          <w:color w:val="auto"/>
        </w:rPr>
        <w:t>401(k) Plan</w:t>
      </w: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80"/>
          </w:cols>
          <w:pgMar w:left="320" w:top="455" w:right="49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board of managers, subject to certain limitations. The 401(k) Plan may be amended or terminated at our discretion. Employer contributions related to the 401(k) Plan totaled $12.4 million, $11.9 million and $11.6 million in 2019, 2018 and 2017, respectively.</w:t>
      </w:r>
    </w:p>
    <w:p>
      <w:pPr>
        <w:spacing w:after="0" w:line="306" w:lineRule="exact"/>
        <w:rPr>
          <w:sz w:val="20"/>
          <w:szCs w:val="20"/>
          <w:color w:val="auto"/>
        </w:rPr>
      </w:pPr>
    </w:p>
    <w:p>
      <w:pPr>
        <w:ind w:left="540" w:hanging="424"/>
        <w:spacing w:after="0"/>
        <w:tabs>
          <w:tab w:leader="none" w:pos="5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and Qualifying Accounts</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24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February 1, 2020:</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b w:val="1"/>
                <w:bCs w:val="1"/>
                <w:color w:val="auto"/>
              </w:rPr>
              <w:t>3,008</w:t>
            </w:r>
          </w:p>
        </w:tc>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b w:val="1"/>
                <w:bCs w:val="1"/>
                <w:color w:val="auto"/>
              </w:rPr>
              <w:t xml:space="preserve">(232) </w:t>
            </w:r>
            <w:r>
              <w:rPr>
                <w:rFonts w:ascii="Times New Roman" w:cs="Times New Roman" w:eastAsia="Times New Roman" w:hAnsi="Times New Roman"/>
                <w:sz w:val="16"/>
                <w:szCs w:val="16"/>
                <w:b w:val="1"/>
                <w:bCs w:val="1"/>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$ 3,275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5,800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9,400</w:t>
            </w:r>
            <w:r>
              <w:rPr>
                <w:rFonts w:ascii="Times New Roman" w:cs="Times New Roman" w:eastAsia="Times New Roman" w:hAnsi="Times New Roman"/>
                <w:sz w:val="15"/>
                <w:szCs w:val="15"/>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19,271</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62,975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(69,355)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22,807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61,220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(61,598)</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22,429</w:t>
            </w:r>
          </w:p>
        </w:tc>
        <w:tc>
          <w:tcPr>
            <w:tcW w:w="0" w:type="dxa"/>
            <w:vAlign w:val="bottom"/>
          </w:tcPr>
          <w:p>
            <w:pPr>
              <w:spacing w:after="0"/>
              <w:rPr>
                <w:sz w:val="1"/>
                <w:szCs w:val="1"/>
                <w:color w:val="auto"/>
              </w:rPr>
            </w:pPr>
          </w:p>
        </w:tc>
      </w:tr>
      <w:tr>
        <w:trPr>
          <w:trHeight w:val="28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 2019: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20"/>
                <w:szCs w:val="20"/>
                <w:color w:val="auto"/>
              </w:rPr>
              <w:t>2,616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20"/>
                <w:szCs w:val="20"/>
                <w:color w:val="auto"/>
              </w:rPr>
              <w:t>1,020</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shd w:val="clear" w:color="auto" w:fill="CCEEFF"/>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(628) </w:t>
            </w:r>
            <w:r>
              <w:rPr>
                <w:rFonts w:ascii="Times New Roman" w:cs="Times New Roman" w:eastAsia="Times New Roman" w:hAnsi="Times New Roman"/>
                <w:sz w:val="16"/>
                <w:szCs w:val="16"/>
                <w:color w:val="auto"/>
              </w:rPr>
              <w:t>(1)</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$ 3,008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w:t>
            </w:r>
            <w:r>
              <w:rPr>
                <w:rFonts w:ascii="Times New Roman" w:cs="Times New Roman" w:eastAsia="Times New Roman" w:hAnsi="Times New Roman"/>
                <w:sz w:val="15"/>
                <w:szCs w:val="15"/>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(10,100)</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14,683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(64,459)</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19,942</w:t>
            </w:r>
          </w:p>
        </w:tc>
        <w:tc>
          <w:tcPr>
            <w:tcW w:w="16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(59,135)</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22,807</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February 3, 2018: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20"/>
                <w:szCs w:val="20"/>
                <w:color w:val="auto"/>
              </w:rPr>
              <w:t>3,410</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1,900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3"/>
          </w:tcPr>
          <w:p>
            <w:pPr>
              <w:jc w:val="right"/>
              <w:ind w:right="184"/>
              <w:spacing w:after="0"/>
              <w:rPr>
                <w:sz w:val="20"/>
                <w:szCs w:val="20"/>
                <w:color w:val="auto"/>
              </w:rPr>
            </w:pPr>
            <w:r>
              <w:rPr>
                <w:rFonts w:ascii="Times New Roman" w:cs="Times New Roman" w:eastAsia="Times New Roman" w:hAnsi="Times New Roman"/>
                <w:sz w:val="20"/>
                <w:szCs w:val="20"/>
                <w:color w:val="auto"/>
              </w:rPr>
              <w:t xml:space="preserve">(2,694) </w:t>
            </w:r>
            <w:r>
              <w:rPr>
                <w:rFonts w:ascii="Times New Roman" w:cs="Times New Roman" w:eastAsia="Times New Roman" w:hAnsi="Times New Roman"/>
                <w:sz w:val="16"/>
                <w:szCs w:val="16"/>
                <w:color w:val="auto"/>
              </w:rPr>
              <w:t>(1)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$ 2,616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 allowance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9,100</w:t>
            </w:r>
            <w:r>
              <w:rPr>
                <w:rFonts w:ascii="Times New Roman" w:cs="Times New Roman" w:eastAsia="Times New Roman" w:hAnsi="Times New Roman"/>
                <w:sz w:val="15"/>
                <w:szCs w:val="15"/>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(8,700)</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Inventory shrink adjustments</w:t>
            </w: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5,976</w:t>
            </w:r>
          </w:p>
        </w:tc>
        <w:tc>
          <w:tcPr>
            <w:tcW w:w="1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(84,541)</w:t>
            </w:r>
          </w:p>
        </w:tc>
        <w:tc>
          <w:tcPr>
            <w:tcW w:w="48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67,419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(65,504)</w:t>
            </w:r>
          </w:p>
        </w:tc>
        <w:tc>
          <w:tcPr>
            <w:tcW w:w="4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write-offs to the reserve.</w:t>
      </w:r>
    </w:p>
    <w:p>
      <w:pPr>
        <w:spacing w:after="0" w:line="27"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monthly increase (decrease) in the required reserve based on the Company’s evaluation of anticipated merchandise returns.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actual inventory shrinkage experienced at the time of physical inventories.</w:t>
      </w:r>
    </w:p>
    <w:p>
      <w:pPr>
        <w:spacing w:after="0" w:line="9" w:lineRule="exact"/>
        <w:rPr>
          <w:rFonts w:ascii="Times New Roman" w:cs="Times New Roman" w:eastAsia="Times New Roman" w:hAnsi="Times New Roman"/>
          <w:sz w:val="15"/>
          <w:szCs w:val="15"/>
          <w:color w:val="auto"/>
        </w:rPr>
      </w:pPr>
    </w:p>
    <w:p>
      <w:pPr>
        <w:ind w:left="340" w:hanging="224"/>
        <w:spacing w:after="0"/>
        <w:tabs>
          <w:tab w:leader="none" w:pos="340" w:val="left"/>
        </w:tabs>
        <w:numPr>
          <w:ilvl w:val="0"/>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claim payments for self-insured claims.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Pr>
          <w:p>
            <w:pPr>
              <w:spacing w:after="0"/>
              <w:rPr>
                <w:sz w:val="13"/>
                <w:szCs w:val="13"/>
                <w:color w:val="auto"/>
              </w:rPr>
            </w:pPr>
          </w:p>
        </w:tc>
        <w:tc>
          <w:tcPr>
            <w:tcW w:w="12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1st</w:t>
            </w: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2nd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4th</w:t>
            </w:r>
          </w:p>
        </w:tc>
        <w:tc>
          <w:tcPr>
            <w:tcW w:w="0" w:type="dxa"/>
            <w:vAlign w:val="bottom"/>
          </w:tcPr>
          <w:p>
            <w:pPr>
              <w:spacing w:after="0"/>
              <w:rPr>
                <w:sz w:val="1"/>
                <w:szCs w:val="1"/>
                <w:color w:val="auto"/>
              </w:rPr>
            </w:pPr>
          </w:p>
        </w:tc>
      </w:tr>
      <w:tr>
        <w:trPr>
          <w:trHeight w:val="173"/>
        </w:trPr>
        <w:tc>
          <w:tcPr>
            <w:tcW w:w="4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7"/>
              </w:rPr>
              <w:t>1,076,792</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7"/>
              </w:rPr>
              <w:t>1,237,410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w w:val="99"/>
              </w:rPr>
              <w:t>1,145,203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1,370,492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312,996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301,602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312,570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309,246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72,634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53,176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27,037</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(41,138)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25,406</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48,347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28,552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17,738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7"/>
              </w:rPr>
              <w:t>1,119,480</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1,262,207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1,060,188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1,342,018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320,356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387,130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295,278</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317,164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26,795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42,103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1,773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(21,458)</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February 1, 2020 through July 10, 2020. We identified the following matters to report:</w:t>
      </w:r>
    </w:p>
    <w:p>
      <w:pPr>
        <w:spacing w:after="0" w:line="162" w:lineRule="exact"/>
        <w:rPr>
          <w:sz w:val="20"/>
          <w:szCs w:val="20"/>
          <w:color w:val="auto"/>
        </w:rPr>
      </w:pPr>
    </w:p>
    <w:p>
      <w:pPr>
        <w:ind w:left="560" w:right="100" w:firstLine="423"/>
        <w:spacing w:after="0" w:line="254" w:lineRule="auto"/>
        <w:rPr>
          <w:sz w:val="20"/>
          <w:szCs w:val="20"/>
          <w:color w:val="auto"/>
        </w:rPr>
      </w:pPr>
      <w:r>
        <w:rPr>
          <w:rFonts w:ascii="Times New Roman" w:cs="Times New Roman" w:eastAsia="Times New Roman" w:hAnsi="Times New Roman"/>
          <w:sz w:val="18"/>
          <w:szCs w:val="18"/>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On June 30, 2020, New Academy Holding Company, LLC purchased 100 shares of common stock from Academy Sports and Outdoors, Inc.</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purchase price per share equal to the par value per share of such shares, or $1 in the aggregate.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14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10140" w:type="dxa"/>
            <w:vAlign w:val="bottom"/>
            <w:tcBorders>
              <w:top w:val="single" w:sz="8" w:color="CCEEFF"/>
            </w:tcBorders>
            <w:shd w:val="clear" w:color="auto" w:fill="CCEEFF"/>
          </w:tcPr>
          <w:p>
            <w:pPr>
              <w:ind w:left="42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34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1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 1,000 shares authorized, 100 shares issued and outstanding</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the anticipated reorganization transactions, the Corporation will continue to conduct the business now conducted by New Academy Holding Company, LLC and its subsidiaries.</w:t>
      </w:r>
    </w:p>
    <w:p>
      <w:pPr>
        <w:spacing w:after="0" w:line="306"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Accounting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0" w:lineRule="exact"/>
        <w:rPr>
          <w:sz w:val="20"/>
          <w:szCs w:val="20"/>
          <w:color w:val="auto"/>
        </w:rPr>
      </w:pPr>
    </w:p>
    <w:p>
      <w:pPr>
        <w:ind w:left="540" w:hanging="424"/>
        <w:spacing w:after="0"/>
        <w:tabs>
          <w:tab w:leader="none" w:pos="5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0"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91" w:name="page292"/>
    <w:bookmarkEnd w:id="29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2898775</wp:posOffset>
            </wp:positionV>
            <wp:extent cx="2760345" cy="677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60345" cy="6775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the Registrant expected to be incurred in connection with the issuance and distribution of common stock being registered hereby (other than the underwriting discounts and commissions). All of such expenses are estimates, except for the Securities and Exchange Commission, or the SEC, registration fee, the Financial Industry Regulatory Authority Inc., or FINRA, filing fee and the Nasdaq listing fee.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39,650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46,320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 (including legal fees)</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2,564,030</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8,125,000</w:t>
            </w: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0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merits or otherwise in the defense of any action referred to above, the corporation must indemnify him or her against the expenses (including attorneys’ fees) which such officer or director has actually and reasonably incurred.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we must indemnify, and advance expenses to, our directors and officers to the full extent authorized by the DGCL.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Within the past three years, the Registrant has granted or issued the following securities of the Registrant which were not registered under the Securities Act.</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pages hereto, which is incorporated by reference as if fully set forth herein.</w:t>
      </w:r>
    </w:p>
    <w:p>
      <w:pPr>
        <w:spacing w:after="0" w:line="225" w:lineRule="exact"/>
        <w:rPr>
          <w:sz w:val="20"/>
          <w:szCs w:val="20"/>
          <w:color w:val="auto"/>
        </w:rPr>
      </w:pPr>
    </w:p>
    <w:p>
      <w:pPr>
        <w:ind w:left="1000" w:hanging="444"/>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20" w:firstLine="436"/>
        <w:spacing w:after="0" w:line="254" w:lineRule="auto"/>
        <w:tabs>
          <w:tab w:leader="none" w:pos="81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66" w:lineRule="auto"/>
        <w:tabs>
          <w:tab w:leader="none" w:pos="8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0"/>
          </w:cols>
          <w:pgMar w:left="320" w:top="455" w:right="57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080" w:type="dxa"/>
            <w:vAlign w:val="bottom"/>
            <w:gridSpan w:val="1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80" w:type="dxa"/>
            <w:vAlign w:val="bottom"/>
            <w:gridSpan w:val="16"/>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0">
              <w:r>
                <w:rPr>
                  <w:rFonts w:ascii="Times New Roman" w:cs="Times New Roman" w:eastAsia="Times New Roman" w:hAnsi="Times New Roman"/>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1">
              <w:r>
                <w:rPr>
                  <w:rFonts w:ascii="Times New Roman" w:cs="Times New Roman" w:eastAsia="Times New Roman" w:hAnsi="Times New Roman"/>
                  <w:sz w:val="18"/>
                  <w:szCs w:val="18"/>
                  <w:u w:val="single" w:color="auto"/>
                  <w:color w:val="0000EE"/>
                </w:rPr>
                <w:t>Form of Amended and Restated Certificate of Incorporation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2">
              <w:r>
                <w:rPr>
                  <w:rFonts w:ascii="Times New Roman" w:cs="Times New Roman" w:eastAsia="Times New Roman" w:hAnsi="Times New Roman"/>
                  <w:sz w:val="18"/>
                  <w:szCs w:val="18"/>
                  <w:u w:val="single" w:color="auto"/>
                  <w:color w:val="0000EE"/>
                </w:rPr>
                <w:t>Form of Amended and Restated Bylaws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u w:val="single" w:color="auto"/>
                  <w:color w:val="0000EE"/>
                </w:rPr>
                <w:t>Form of Amendment to the Registration Rights Agreement</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4">
              <w:r>
                <w:rPr>
                  <w:rFonts w:ascii="Times New Roman" w:cs="Times New Roman" w:eastAsia="Times New Roman" w:hAnsi="Times New Roman"/>
                  <w:sz w:val="18"/>
                  <w:szCs w:val="18"/>
                  <w:u w:val="single" w:color="auto"/>
                  <w:color w:val="0000EE"/>
                </w:rPr>
                <w:t>Opinion of Simpson Thacher &amp; Bartlett LLP.</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9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First Amended and Restated Credit Agreement, dated July 2, 2015, among Academy, Ltd., as Borrower, New Academy Holding</w:t>
              </w:r>
            </w:hyperlink>
          </w:p>
        </w:tc>
        <w:tc>
          <w:tcPr>
            <w:tcW w:w="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Company, LLC, as Holdings, Associated Investors L.L.C. and Academy Managing Co., L.L.C, as Texas Intermediate Holdcos, the</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lending institutions from time to time party thereto and Morgan Stanley Senior Funding, Inc., as the Administrative Agent and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Collateral Agent.</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Amended and Restated Term Loan Security Agreement, dated as of July 2, 2015, among Academy, Ltd., as Borrower, each of the</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subsidiaries listed on the signature pages thereto, and Morgan Stanley Senior Funding, Inc., as collateral agent for the benefit of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secured parties.</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Amended and Restated Term Loan Pledge Agreement, dated as of July 2, 2015, among New Academy Holding Company, LLC,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Holdings, Associated Investors L.L.C. and Academy Managing Co., L.L.C, as Texas Intermediate Holdcos, Academy, Ltd., as Borrower,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each of the subsidiaries listed on the signature pages thereto and Morgan Stanley Senior Funding, Inc., as collateral agent for the benefit</w:t>
              </w:r>
            </w:hyperlink>
          </w:p>
        </w:tc>
        <w:tc>
          <w:tcPr>
            <w:tcW w:w="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of the secured parties.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ABL Intercreditor Agreement, dated July 2, 2015, among JPMorgan Chase Bank, N.A., as agent for the ABL Secured Parties referred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to therein, Morgan Stanley Senior Funding, Inc., as administrative agent and collateral agent for the Term Loan Secured Parties referred</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to therein, New Academy Holding Company, LLC, as Holdings, Associated Investors L.L.C. and Academy Managing Co., L.L.C, as</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8">
              <w:r>
                <w:rPr>
                  <w:rFonts w:ascii="Times New Roman" w:cs="Times New Roman" w:eastAsia="Times New Roman" w:hAnsi="Times New Roman"/>
                  <w:sz w:val="18"/>
                  <w:szCs w:val="18"/>
                  <w:u w:val="single" w:color="auto"/>
                  <w:color w:val="0000EE"/>
                </w:rPr>
                <w:t>Texas Intermediate Holdcos, Academy, Ltd., as Borrower, and each of the subsidiaries of the Borrower listed on the signature pages</w:t>
              </w:r>
            </w:hyperlink>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78">
              <w:r>
                <w:rPr>
                  <w:rFonts w:ascii="Times New Roman" w:cs="Times New Roman" w:eastAsia="Times New Roman" w:hAnsi="Times New Roman"/>
                  <w:sz w:val="18"/>
                  <w:szCs w:val="18"/>
                  <w:u w:val="single" w:color="auto"/>
                  <w:color w:val="0000EE"/>
                </w:rPr>
                <w:t>thereto.</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4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First Amended and Restated ABL Credit Agreement, dated July 2, 2015, among Academy, Ltd., as Borrower, New Academy Holding</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Company, LLC, as Holdings, Associated Investors L.L.C. and Academy Managing Co., L.L.C, as Texas Intermediate Holdcos, the</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lending institutions from time to time party thereto and JPMorgan Chase Bank, N.A., as the Administrative Agent, the Collateral Agent,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the Letter of Credit Issuer and the Swingline Lender.</w:t>
              </w:r>
            </w:hyperlink>
          </w:p>
        </w:tc>
        <w:tc>
          <w:tcPr>
            <w:tcW w:w="60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Pr>
          <w:p>
            <w:pPr>
              <w:spacing w:after="0"/>
              <w:rPr>
                <w:sz w:val="24"/>
                <w:szCs w:val="24"/>
                <w:color w:val="auto"/>
              </w:rPr>
            </w:pPr>
          </w:p>
        </w:tc>
        <w:tc>
          <w:tcPr>
            <w:tcW w:w="9880" w:type="dxa"/>
            <w:vAlign w:val="bottom"/>
            <w:gridSpan w:val="21"/>
          </w:tcPr>
          <w:p>
            <w:pPr>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Amendment No. 1 to First Amended and Restated ABL Credit Agreement, dated as of May 22, 2018, among Academy, Ltd.,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740" w:type="dxa"/>
            <w:vAlign w:val="bottom"/>
            <w:gridSpan w:val="5"/>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Borrower, New Academy Holding Company, LLC, as Holdings, Associated Investors L.L.C. and Academy Managing Co., L.L.C, as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740" w:type="dxa"/>
            <w:vAlign w:val="bottom"/>
            <w:gridSpan w:val="5"/>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Texas Intermediate Holdcos, each of the Guarantors party thereto, each of the lenders party thereto and JPMorgan Chase Bank, N.A.,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the Administrative Agent, the Collateral Agent, the Letter of Credit Issuer and the Swingline Lender.</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740" w:type="dxa"/>
            <w:vAlign w:val="bottom"/>
            <w:gridSpan w:val="5"/>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Amended and Restated ABL Security Agreement, dated as of July 2, 2015, among Academy, Ltd., as Borrower, each of the subsidiaries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21"/>
          </w:tcPr>
          <w:p>
            <w:pPr>
              <w:spacing w:after="0"/>
              <w:rPr>
                <w:rFonts w:ascii="Times New Roman" w:cs="Times New Roman" w:eastAsia="Times New Roman" w:hAnsi="Times New Roman"/>
                <w:sz w:val="18"/>
                <w:szCs w:val="18"/>
                <w:u w:val="single" w:color="auto"/>
                <w:color w:val="0000EE"/>
              </w:rPr>
            </w:pPr>
            <w:hyperlink r:id="rId381">
              <w:r>
                <w:rPr>
                  <w:rFonts w:ascii="Times New Roman" w:cs="Times New Roman" w:eastAsia="Times New Roman" w:hAnsi="Times New Roman"/>
                  <w:sz w:val="18"/>
                  <w:szCs w:val="18"/>
                  <w:u w:val="single" w:color="auto"/>
                  <w:color w:val="0000EE"/>
                </w:rPr>
                <w:t>listed on the signature pages thereto, and JPMorgan Chase Bank, N.A., as collateral agent for the benefit of the secured parties.</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4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Amended and Restated ABL Pledge Agreement, dated July 2, 2015, among New Academy Holding Company, LLC, as Holdings,</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Associated Investors L.L.C. and Academy Managing Co., L.L.C, as Texas Intermediate Holdcos, Academy, Ltd., as Borrower, each of</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160" w:type="dxa"/>
            <w:vAlign w:val="bottom"/>
            <w:gridSpan w:val="14"/>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the subsidiaries listed on the signature pages thereto and JPMorgan Chase Bank, N.A., as collateral agent for the benefit of the secured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parties.</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5" w:right="4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tcPr>
          <w:p>
            <w:pPr>
              <w:spacing w:after="0"/>
              <w:rPr>
                <w:sz w:val="13"/>
                <w:szCs w:val="13"/>
                <w:color w:val="auto"/>
              </w:rPr>
            </w:pPr>
          </w:p>
        </w:tc>
        <w:tc>
          <w:tcPr>
            <w:tcW w:w="7840" w:type="dxa"/>
            <w:vAlign w:val="bottom"/>
            <w:gridSpan w:val="2"/>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6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84">
              <w:r>
                <w:rPr>
                  <w:rFonts w:ascii="Times New Roman" w:cs="Times New Roman" w:eastAsia="Times New Roman" w:hAnsi="Times New Roman"/>
                  <w:sz w:val="18"/>
                  <w:szCs w:val="18"/>
                  <w:u w:val="single" w:color="auto"/>
                  <w:color w:val="0000EE"/>
                </w:rPr>
                <w:t>Form of 2020 Omnibus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900" w:type="dxa"/>
            <w:vAlign w:val="bottom"/>
            <w:gridSpan w:val="3"/>
          </w:tcPr>
          <w:p>
            <w:pPr>
              <w:spacing w:after="0"/>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u w:val="single" w:color="auto"/>
                  <w:color w:val="0000EE"/>
                </w:rPr>
                <w:t>Form of Time-Based Option Agreement under 2020 Omnibus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86">
              <w:r>
                <w:rPr>
                  <w:rFonts w:ascii="Times New Roman" w:cs="Times New Roman" w:eastAsia="Times New Roman" w:hAnsi="Times New Roman"/>
                  <w:sz w:val="18"/>
                  <w:szCs w:val="18"/>
                  <w:u w:val="single" w:color="auto"/>
                  <w:color w:val="0000EE"/>
                </w:rPr>
                <w:t>Form of Non-Employee Director Restricted Stock Unit Agreement under 2020 Omnibus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87">
              <w:r>
                <w:rPr>
                  <w:rFonts w:ascii="Times New Roman" w:cs="Times New Roman" w:eastAsia="Times New Roman" w:hAnsi="Times New Roman"/>
                  <w:sz w:val="18"/>
                  <w:szCs w:val="18"/>
                  <w:u w:val="single" w:color="auto"/>
                  <w:color w:val="0000EE"/>
                </w:rPr>
                <w:t>Form of Performance-Based Restricted Stock Unit Agreement under 2020 Omnibus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3"/>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u w:val="single" w:color="auto"/>
                  <w:color w:val="0000EE"/>
                </w:rPr>
                <w:t>2011 Unit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89">
              <w:r>
                <w:rPr>
                  <w:rFonts w:ascii="Times New Roman" w:cs="Times New Roman" w:eastAsia="Times New Roman" w:hAnsi="Times New Roman"/>
                  <w:sz w:val="18"/>
                  <w:szCs w:val="18"/>
                  <w:u w:val="single" w:color="auto"/>
                  <w:color w:val="0000EE"/>
                </w:rPr>
                <w:t>Form of 2020 CEO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0">
              <w:r>
                <w:rPr>
                  <w:rFonts w:ascii="Times New Roman" w:cs="Times New Roman" w:eastAsia="Times New Roman" w:hAnsi="Times New Roman"/>
                  <w:sz w:val="18"/>
                  <w:szCs w:val="18"/>
                  <w:u w:val="single" w:color="auto"/>
                  <w:color w:val="0000EE"/>
                </w:rPr>
                <w:t>Form of 2020 Executive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1">
              <w:r>
                <w:rPr>
                  <w:rFonts w:ascii="Times New Roman" w:cs="Times New Roman" w:eastAsia="Times New Roman" w:hAnsi="Times New Roman"/>
                  <w:sz w:val="18"/>
                  <w:szCs w:val="18"/>
                  <w:u w:val="single" w:color="auto"/>
                  <w:color w:val="0000EE"/>
                </w:rPr>
                <w:t>Form of 2019 CEO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2">
              <w:r>
                <w:rPr>
                  <w:rFonts w:ascii="Times New Roman" w:cs="Times New Roman" w:eastAsia="Times New Roman" w:hAnsi="Times New Roman"/>
                  <w:sz w:val="18"/>
                  <w:szCs w:val="18"/>
                  <w:u w:val="single" w:color="auto"/>
                  <w:color w:val="0000EE"/>
                </w:rPr>
                <w:t>Form of 2019 Executive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3">
              <w:r>
                <w:rPr>
                  <w:rFonts w:ascii="Times New Roman" w:cs="Times New Roman" w:eastAsia="Times New Roman" w:hAnsi="Times New Roman"/>
                  <w:sz w:val="18"/>
                  <w:szCs w:val="18"/>
                  <w:u w:val="single" w:color="auto"/>
                  <w:color w:val="0000EE"/>
                </w:rPr>
                <w:t>Form of 2018 CEO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4">
              <w:r>
                <w:rPr>
                  <w:rFonts w:ascii="Times New Roman" w:cs="Times New Roman" w:eastAsia="Times New Roman" w:hAnsi="Times New Roman"/>
                  <w:sz w:val="18"/>
                  <w:szCs w:val="18"/>
                  <w:u w:val="single" w:color="auto"/>
                  <w:color w:val="0000EE"/>
                </w:rPr>
                <w:t>Form of 2018 Executive Option Agreement under 2011 Unit Incentive Plan.</w:t>
              </w:r>
            </w:hyperlink>
          </w:p>
        </w:tc>
        <w:tc>
          <w:tcPr>
            <w:tcW w:w="0" w:type="dxa"/>
            <w:vAlign w:val="bottom"/>
          </w:tcPr>
          <w:p>
            <w:pPr>
              <w:spacing w:after="0"/>
              <w:rPr>
                <w:sz w:val="1"/>
                <w:szCs w:val="1"/>
                <w:color w:val="auto"/>
              </w:rPr>
            </w:pPr>
          </w:p>
        </w:tc>
      </w:tr>
      <w:tr>
        <w:trPr>
          <w:trHeight w:val="3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5">
              <w:r>
                <w:rPr>
                  <w:rFonts w:ascii="Times New Roman" w:cs="Times New Roman" w:eastAsia="Times New Roman" w:hAnsi="Times New Roman"/>
                  <w:sz w:val="18"/>
                  <w:szCs w:val="18"/>
                  <w:u w:val="single" w:color="auto"/>
                  <w:color w:val="0000EE"/>
                </w:rPr>
                <w:t>Form of 2017 Executive Option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6">
              <w:r>
                <w:rPr>
                  <w:rFonts w:ascii="Times New Roman" w:cs="Times New Roman" w:eastAsia="Times New Roman" w:hAnsi="Times New Roman"/>
                  <w:sz w:val="18"/>
                  <w:szCs w:val="18"/>
                  <w:u w:val="single" w:color="auto"/>
                  <w:color w:val="0000EE"/>
                </w:rPr>
                <w:t>Form of 2016 Executive Option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7">
              <w:r>
                <w:rPr>
                  <w:rFonts w:ascii="Times New Roman" w:cs="Times New Roman" w:eastAsia="Times New Roman" w:hAnsi="Times New Roman"/>
                  <w:sz w:val="18"/>
                  <w:szCs w:val="18"/>
                  <w:u w:val="single" w:color="auto"/>
                  <w:color w:val="0000EE"/>
                </w:rPr>
                <w:t>Form of August 2020 Restricted Unit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8">
              <w:r>
                <w:rPr>
                  <w:rFonts w:ascii="Times New Roman" w:cs="Times New Roman" w:eastAsia="Times New Roman" w:hAnsi="Times New Roman"/>
                  <w:sz w:val="18"/>
                  <w:szCs w:val="18"/>
                  <w:u w:val="single" w:color="auto"/>
                  <w:color w:val="0000EE"/>
                </w:rPr>
                <w:t>Form of 2020 CEO Restricted Unit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99">
              <w:r>
                <w:rPr>
                  <w:rFonts w:ascii="Times New Roman" w:cs="Times New Roman" w:eastAsia="Times New Roman" w:hAnsi="Times New Roman"/>
                  <w:sz w:val="18"/>
                  <w:szCs w:val="18"/>
                  <w:u w:val="single" w:color="auto"/>
                  <w:color w:val="0000EE"/>
                </w:rPr>
                <w:t>Form of 2020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0">
              <w:r>
                <w:rPr>
                  <w:rFonts w:ascii="Times New Roman" w:cs="Times New Roman" w:eastAsia="Times New Roman" w:hAnsi="Times New Roman"/>
                  <w:sz w:val="18"/>
                  <w:szCs w:val="18"/>
                  <w:u w:val="single" w:color="auto"/>
                  <w:color w:val="0000EE"/>
                </w:rPr>
                <w:t>Form of 2019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9900" w:type="dxa"/>
            <w:vAlign w:val="bottom"/>
            <w:gridSpan w:val="3"/>
          </w:tcPr>
          <w:p>
            <w:pPr>
              <w:spacing w:after="0"/>
              <w:rPr>
                <w:rFonts w:ascii="Times New Roman" w:cs="Times New Roman" w:eastAsia="Times New Roman" w:hAnsi="Times New Roman"/>
                <w:sz w:val="18"/>
                <w:szCs w:val="18"/>
                <w:color w:val="0000EE"/>
              </w:rPr>
            </w:pPr>
            <w:hyperlink r:id="rId401">
              <w:r>
                <w:rPr>
                  <w:rFonts w:ascii="Times New Roman" w:cs="Times New Roman" w:eastAsia="Times New Roman" w:hAnsi="Times New Roman"/>
                  <w:sz w:val="18"/>
                  <w:szCs w:val="18"/>
                  <w:u w:val="single" w:color="auto"/>
                  <w:color w:val="0000EE"/>
                </w:rPr>
                <w:t>Form of 2018 CEO Restricted Unit Agreement under 2011 Unit Incentive Plan (as amended)</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9900" w:type="dxa"/>
            <w:vAlign w:val="bottom"/>
            <w:gridSpan w:val="3"/>
          </w:tcPr>
          <w:p>
            <w:pPr>
              <w:spacing w:after="0"/>
              <w:rPr>
                <w:rFonts w:ascii="Times New Roman" w:cs="Times New Roman" w:eastAsia="Times New Roman" w:hAnsi="Times New Roman"/>
                <w:sz w:val="18"/>
                <w:szCs w:val="18"/>
                <w:color w:val="0000EE"/>
              </w:rPr>
            </w:pPr>
            <w:hyperlink r:id="rId402">
              <w:r>
                <w:rPr>
                  <w:rFonts w:ascii="Times New Roman" w:cs="Times New Roman" w:eastAsia="Times New Roman" w:hAnsi="Times New Roman"/>
                  <w:sz w:val="18"/>
                  <w:szCs w:val="18"/>
                  <w:u w:val="single" w:color="auto"/>
                  <w:color w:val="0000EE"/>
                </w:rPr>
                <w:t>Form of Independent Non-Employee Director Restricted Unit Agreement under 2011 Unit Incentive Plan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3">
              <w:r>
                <w:rPr>
                  <w:rFonts w:ascii="Times New Roman" w:cs="Times New Roman" w:eastAsia="Times New Roman" w:hAnsi="Times New Roman"/>
                  <w:sz w:val="18"/>
                  <w:szCs w:val="18"/>
                  <w:u w:val="single" w:color="auto"/>
                  <w:color w:val="0000EE"/>
                </w:rPr>
                <w:t>Form of 2018 Executive Restricted Unit Agreement under 2011 Unit Incentive Plan.</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4">
              <w:r>
                <w:rPr>
                  <w:rFonts w:ascii="Times New Roman" w:cs="Times New Roman" w:eastAsia="Times New Roman" w:hAnsi="Times New Roman"/>
                  <w:sz w:val="18"/>
                  <w:szCs w:val="18"/>
                  <w:u w:val="single" w:color="auto"/>
                  <w:color w:val="0000EE"/>
                </w:rPr>
                <w:t>Ken C. Hicks Employment Agreement, dated August 2, 2018.</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5">
              <w:r>
                <w:rPr>
                  <w:rFonts w:ascii="Times New Roman" w:cs="Times New Roman" w:eastAsia="Times New Roman" w:hAnsi="Times New Roman"/>
                  <w:sz w:val="18"/>
                  <w:szCs w:val="18"/>
                  <w:u w:val="single" w:color="auto"/>
                  <w:color w:val="0000EE"/>
                </w:rPr>
                <w:t>Michael P. Mullican Employment Agreement, dated January 6, 2017 and amended on December 21, 2017.</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6">
              <w:r>
                <w:rPr>
                  <w:rFonts w:ascii="Times New Roman" w:cs="Times New Roman" w:eastAsia="Times New Roman" w:hAnsi="Times New Roman"/>
                  <w:sz w:val="18"/>
                  <w:szCs w:val="18"/>
                  <w:u w:val="single" w:color="auto"/>
                  <w:color w:val="0000EE"/>
                </w:rPr>
                <w:t>Steven (Steve) P. Lawrence Employment Agreement, dated January 29, 2019.</w:t>
              </w:r>
            </w:hyperlink>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7">
              <w:r>
                <w:rPr>
                  <w:rFonts w:ascii="Times New Roman" w:cs="Times New Roman" w:eastAsia="Times New Roman" w:hAnsi="Times New Roman"/>
                  <w:sz w:val="18"/>
                  <w:szCs w:val="18"/>
                  <w:u w:val="single" w:color="auto"/>
                  <w:color w:val="0000EE"/>
                </w:rPr>
                <w:t>Samuel (Sam) J. Johnson Employment Agreement, dated April 17, 2017.</w:t>
              </w:r>
            </w:hyperlink>
          </w:p>
        </w:tc>
        <w:tc>
          <w:tcPr>
            <w:tcW w:w="0" w:type="dxa"/>
            <w:vAlign w:val="bottom"/>
          </w:tcPr>
          <w:p>
            <w:pPr>
              <w:spacing w:after="0"/>
              <w:rPr>
                <w:sz w:val="1"/>
                <w:szCs w:val="1"/>
                <w:color w:val="auto"/>
              </w:rPr>
            </w:pPr>
          </w:p>
        </w:tc>
      </w:tr>
      <w:tr>
        <w:trPr>
          <w:trHeight w:val="28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9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Kenneth (Ken) D. Attaway Employment Agreement, dated July 1, 2009, as amended and restated on August 30, 2011 and further</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00" w:type="dxa"/>
            <w:vAlign w:val="bottom"/>
            <w:gridSpan w:val="3"/>
          </w:tcPr>
          <w:p>
            <w:pPr>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amended on August 6, 2012.</w:t>
              </w:r>
            </w:hyperlink>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09">
              <w:r>
                <w:rPr>
                  <w:rFonts w:ascii="Times New Roman" w:cs="Times New Roman" w:eastAsia="Times New Roman" w:hAnsi="Times New Roman"/>
                  <w:sz w:val="18"/>
                  <w:szCs w:val="18"/>
                  <w:u w:val="single" w:color="auto"/>
                  <w:color w:val="0000EE"/>
                </w:rPr>
                <w:t>Form of 2020 Employee Stock Purchase Plan</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10.35*</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0">
              <w:r>
                <w:rPr>
                  <w:rFonts w:ascii="Times New Roman" w:cs="Times New Roman" w:eastAsia="Times New Roman" w:hAnsi="Times New Roman"/>
                  <w:sz w:val="18"/>
                  <w:szCs w:val="18"/>
                  <w:u w:val="single" w:color="auto"/>
                  <w:color w:val="0000EE"/>
                </w:rPr>
                <w:t>Form of Stockholders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10.36*</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1">
              <w:r>
                <w:rPr>
                  <w:rFonts w:ascii="Times New Roman" w:cs="Times New Roman" w:eastAsia="Times New Roman" w:hAnsi="Times New Roman"/>
                  <w:sz w:val="18"/>
                  <w:szCs w:val="18"/>
                  <w:u w:val="single" w:color="auto"/>
                  <w:color w:val="0000EE"/>
                </w:rPr>
                <w:t>Monitoring Agreement, dated as of August 3, 2011, between Academy, Ltd. and Kohlberg Kravis Roberts &amp; Co. L.P.</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10.37*</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2">
              <w:r>
                <w:rPr>
                  <w:rFonts w:ascii="Times New Roman" w:cs="Times New Roman" w:eastAsia="Times New Roman" w:hAnsi="Times New Roman"/>
                  <w:sz w:val="18"/>
                  <w:szCs w:val="18"/>
                  <w:u w:val="single" w:color="auto"/>
                  <w:color w:val="0000EE"/>
                </w:rPr>
                <w:t>Form of Director and Officer Indemnification Agreement.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3">
              <w:r>
                <w:rPr>
                  <w:rFonts w:ascii="Times New Roman" w:cs="Times New Roman" w:eastAsia="Times New Roman" w:hAnsi="Times New Roman"/>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23.1**</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w:anchor="page299">
              <w:r>
                <w:rPr>
                  <w:rFonts w:ascii="Times New Roman" w:cs="Times New Roman" w:eastAsia="Times New Roman" w:hAnsi="Times New Roman"/>
                  <w:sz w:val="18"/>
                  <w:szCs w:val="18"/>
                  <w:u w:val="single" w:color="auto"/>
                  <w:color w:val="0000EE"/>
                </w:rPr>
                <w:t>Consent of Deloitte &amp; Touche LLP (with respect to the financial statements of New Academy Holding Company, LLC).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23.2**</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color w:val="0000EE"/>
              </w:rPr>
            </w:pPr>
            <w:hyperlink w:anchor="page300">
              <w:r>
                <w:rPr>
                  <w:rFonts w:ascii="Times New Roman" w:cs="Times New Roman" w:eastAsia="Times New Roman" w:hAnsi="Times New Roman"/>
                  <w:sz w:val="18"/>
                  <w:szCs w:val="18"/>
                  <w:u w:val="single" w:color="auto"/>
                  <w:color w:val="0000EE"/>
                </w:rPr>
                <w:t>Consent of Deloitte &amp; Touche LLP (with respect to the financial statements of Academy Sports and Outdoors, Inc.)</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374">
              <w:r>
                <w:rPr>
                  <w:rFonts w:ascii="Times New Roman" w:cs="Times New Roman" w:eastAsia="Times New Roman" w:hAnsi="Times New Roman"/>
                  <w:sz w:val="18"/>
                  <w:szCs w:val="18"/>
                  <w:u w:val="single" w:color="auto"/>
                  <w:color w:val="0000EE"/>
                </w:rPr>
                <w:t>Consent of Simpson Thacher &amp; Bartlett LLP (included as part of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4">
              <w:r>
                <w:rPr>
                  <w:rFonts w:ascii="Times New Roman" w:cs="Times New Roman" w:eastAsia="Times New Roman" w:hAnsi="Times New Roman"/>
                  <w:sz w:val="18"/>
                  <w:szCs w:val="18"/>
                  <w:u w:val="single" w:color="auto"/>
                  <w:color w:val="0000EE"/>
                </w:rPr>
                <w:t>Power of Attorney (included on signature pages to this Registration Statement).</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5">
              <w:r>
                <w:rPr>
                  <w:rFonts w:ascii="Times New Roman" w:cs="Times New Roman" w:eastAsia="Times New Roman" w:hAnsi="Times New Roman"/>
                  <w:sz w:val="18"/>
                  <w:szCs w:val="18"/>
                  <w:u w:val="single" w:color="auto"/>
                  <w:color w:val="0000EE"/>
                </w:rPr>
                <w:t>Consent of Allen I. Questrom to be named as a director nominee.</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20" w:type="dxa"/>
            <w:vAlign w:val="bottom"/>
          </w:tcPr>
          <w:p>
            <w:pPr>
              <w:spacing w:after="0"/>
              <w:rPr>
                <w:sz w:val="24"/>
                <w:szCs w:val="24"/>
                <w:color w:val="auto"/>
              </w:rPr>
            </w:pPr>
          </w:p>
        </w:tc>
        <w:tc>
          <w:tcPr>
            <w:tcW w:w="9900" w:type="dxa"/>
            <w:vAlign w:val="bottom"/>
            <w:gridSpan w:val="3"/>
          </w:tcPr>
          <w:p>
            <w:pPr>
              <w:spacing w:after="0"/>
              <w:rPr>
                <w:rFonts w:ascii="Times New Roman" w:cs="Times New Roman" w:eastAsia="Times New Roman" w:hAnsi="Times New Roman"/>
                <w:sz w:val="18"/>
                <w:szCs w:val="18"/>
                <w:u w:val="single" w:color="auto"/>
                <w:color w:val="0000EE"/>
              </w:rPr>
            </w:pPr>
            <w:hyperlink r:id="rId416">
              <w:r>
                <w:rPr>
                  <w:rFonts w:ascii="Times New Roman" w:cs="Times New Roman" w:eastAsia="Times New Roman" w:hAnsi="Times New Roman"/>
                  <w:sz w:val="18"/>
                  <w:szCs w:val="18"/>
                  <w:u w:val="single" w:color="auto"/>
                  <w:color w:val="0000EE"/>
                </w:rPr>
                <w:t>Consent of Jeffrey C. Tweedy to be named as a director nominee.</w:t>
              </w:r>
            </w:hyperlink>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20" w:right="9400" w:hanging="4"/>
        <w:spacing w:after="0" w:line="276" w:lineRule="auto"/>
        <w:tabs>
          <w:tab w:leader="none" w:pos="55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†Compensatory arrangements for director(s) and/or executive officer(s).</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Katy, Texas, on September 28, 2020.</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Ken C. Hicks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 President and Chief Executive</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September 28,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2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 C. Hicks</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 C. Hicks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P. Mullican</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P. Mullican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Heather A. Davis</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Heather A. Davis</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Brian T. Marley</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Vishal V. Patel</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319"/>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S. Simon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Nathaniel H. Taylor</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7"/>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Aileen X. Yan</w:t>
            </w:r>
          </w:p>
        </w:tc>
        <w:tc>
          <w:tcPr>
            <w:tcW w:w="22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24860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Ken C. Hicks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140"/>
          </w:cols>
          <w:pgMar w:left="320" w:top="455" w:right="4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consent to the use in this Registration Statement No. 333-248683 on Form S-1 of our report dated July 10, 2020 relating to the financial statements of New Academy Holding Company, LLC. We also consent to the reference to us under the heading “Experts” in such Registration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p>
      <w:pPr>
        <w:sectPr>
          <w:pgSz w:w="11900" w:h="16838" w:orient="portrait"/>
          <w:cols w:equalWidth="0" w:num="1">
            <w:col w:w="11020"/>
          </w:cols>
          <w:pgMar w:left="440" w:top="117" w:right="4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333-248683 on Form S-1 of our report dated July 10, 2020 relating to the financial statements of Academy Sports and Outdoors, Inc.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4FD6B4F"/>
    <w:multiLevelType w:val="hybridMultilevel"/>
    <w:lvl w:ilvl="0">
      <w:lvlJc w:val="left"/>
      <w:lvlText w:val="(%1)"/>
      <w:numFmt w:val="decimal"/>
      <w:start w:val="1"/>
    </w:lvl>
  </w:abstractNum>
  <w:abstractNum w:abstractNumId="1">
    <w:nsid w:val="5915FF32"/>
    <w:multiLevelType w:val="hybridMultilevel"/>
    <w:lvl w:ilvl="0">
      <w:lvlJc w:val="left"/>
      <w:lvlText w:val="(%1)"/>
      <w:numFmt w:val="decimal"/>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1)"/>
      <w:numFmt w:val="decimal"/>
      <w:start w:val="1"/>
    </w:lvl>
  </w:abstractNum>
  <w:abstractNum w:abstractNumId="5">
    <w:nsid w:val="17A1B582"/>
    <w:multiLevelType w:val="hybridMultilevel"/>
    <w:lvl w:ilvl="0">
      <w:lvlJc w:val="left"/>
      <w:lvlText w:val="%1)"/>
      <w:numFmt w:val="decimal"/>
      <w:start w:val="1"/>
    </w:lvl>
  </w:abstractNum>
  <w:abstractNum w:abstractNumId="6">
    <w:nsid w:val="4DF72E4E"/>
    <w:multiLevelType w:val="hybridMultilevel"/>
    <w:lvl w:ilvl="0">
      <w:lvlJc w:val="left"/>
      <w:lvlText w:val="%1)"/>
      <w:numFmt w:val="decimal"/>
      <w:start w:val="4"/>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
      <w:numFmt w:val="bullet"/>
      <w:start w:val="1"/>
    </w:lvl>
  </w:abstractNum>
  <w:abstractNum w:abstractNumId="10">
    <w:nsid w:val="5EC6AFD4"/>
    <w:multiLevelType w:val="hybridMultilevel"/>
    <w:lvl w:ilvl="0">
      <w:lvlJc w:val="left"/>
      <w:lvlText w:val="•"/>
      <w:numFmt w:val="bullet"/>
      <w:start w:val="1"/>
    </w:lvl>
  </w:abstractNum>
  <w:abstractNum w:abstractNumId="11">
    <w:nsid w:val="19E21BB2"/>
    <w:multiLevelType w:val="hybridMultilevel"/>
    <w:lvl w:ilvl="0">
      <w:lvlJc w:val="left"/>
      <w:lvlText w:val="•"/>
      <w:numFmt w:val="bullet"/>
      <w:start w:val="1"/>
    </w:lvl>
  </w:abstractNum>
  <w:abstractNum w:abstractNumId="12">
    <w:nsid w:val="75E0858A"/>
    <w:multiLevelType w:val="hybridMultilevel"/>
    <w:lvl w:ilvl="0">
      <w:lvlJc w:val="left"/>
      <w:lvlText w:val="•"/>
      <w:numFmt w:val="bullet"/>
      <w:start w:val="1"/>
    </w:lvl>
  </w:abstractNum>
  <w:abstractNum w:abstractNumId="13">
    <w:nsid w:val="57A61A29"/>
    <w:multiLevelType w:val="hybridMultilevel"/>
    <w:lvl w:ilvl="0">
      <w:lvlJc w:val="left"/>
      <w:lvlText w:val="•"/>
      <w:numFmt w:val="bullet"/>
      <w:start w:val="1"/>
    </w:lvl>
  </w:abstractNum>
  <w:abstractNum w:abstractNumId="14">
    <w:nsid w:val="5399C654"/>
    <w:multiLevelType w:val="hybridMultilevel"/>
    <w:lvl w:ilvl="0">
      <w:lvlJc w:val="left"/>
      <w:lvlText w:val="•"/>
      <w:numFmt w:val="bullet"/>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1)"/>
      <w:numFmt w:val="decimal"/>
      <w:start w:val="1"/>
    </w:lvl>
  </w:abstractNum>
  <w:abstractNum w:abstractNumId="17">
    <w:nsid w:val="B37E80A"/>
    <w:multiLevelType w:val="hybridMultilevel"/>
    <w:lvl w:ilvl="0">
      <w:lvlJc w:val="left"/>
      <w:lvlText w:val="•"/>
      <w:numFmt w:val="bullet"/>
      <w:start w:val="1"/>
    </w:lvl>
  </w:abstractNum>
  <w:abstractNum w:abstractNumId="18">
    <w:nsid w:val="2157F6BC"/>
    <w:multiLevelType w:val="hybridMultilevel"/>
    <w:lvl w:ilvl="0">
      <w:lvlJc w:val="left"/>
      <w:lvlText w:val="•"/>
      <w:numFmt w:val="bullet"/>
      <w:start w:val="1"/>
    </w:lvl>
  </w:abstractNum>
  <w:abstractNum w:abstractNumId="19">
    <w:nsid w:val="704E1DD5"/>
    <w:multiLevelType w:val="hybridMultilevel"/>
    <w:lvl w:ilvl="0">
      <w:lvlJc w:val="left"/>
      <w:lvlText w:val="(%1)"/>
      <w:numFmt w:val="lowerLetter"/>
      <w:start w:val="1"/>
    </w:lvl>
  </w:abstractNum>
  <w:abstractNum w:abstractNumId="20">
    <w:nsid w:val="57D2F10E"/>
    <w:multiLevelType w:val="hybridMultilevel"/>
    <w:lvl w:ilvl="0">
      <w:lvlJc w:val="left"/>
      <w:lvlText w:val="(%1)"/>
      <w:numFmt w:val="lowerLetter"/>
      <w:start w:val="4"/>
    </w:lvl>
  </w:abstractNum>
  <w:abstractNum w:abstractNumId="21">
    <w:nsid w:val="BFFAE18"/>
    <w:multiLevelType w:val="hybridMultilevel"/>
    <w:lvl w:ilvl="0">
      <w:lvlJc w:val="left"/>
      <w:lvlText w:val="•"/>
      <w:numFmt w:val="bullet"/>
      <w:start w:val="1"/>
    </w:lvl>
  </w:abstractNum>
  <w:abstractNum w:abstractNumId="22">
    <w:nsid w:val="E3E47A8"/>
    <w:multiLevelType w:val="hybridMultilevel"/>
    <w:lvl w:ilvl="0">
      <w:lvlJc w:val="left"/>
      <w:lvlText w:val="•"/>
      <w:numFmt w:val="bullet"/>
      <w:start w:val="1"/>
    </w:lvl>
  </w:abstractNum>
  <w:abstractNum w:abstractNumId="23">
    <w:nsid w:val="2E48F044"/>
    <w:multiLevelType w:val="hybridMultilevel"/>
    <w:lvl w:ilvl="0">
      <w:lvlJc w:val="left"/>
      <w:lvlText w:val="•"/>
      <w:numFmt w:val="bullet"/>
      <w:start w:val="1"/>
    </w:lvl>
  </w:abstractNum>
  <w:abstractNum w:abstractNumId="24">
    <w:nsid w:val="49D0FEAC"/>
    <w:multiLevelType w:val="hybridMultilevel"/>
    <w:lvl w:ilvl="0">
      <w:lvlJc w:val="left"/>
      <w:lvlText w:val="•"/>
      <w:numFmt w:val="bullet"/>
      <w:start w:val="1"/>
    </w:lvl>
  </w:abstractNum>
  <w:abstractNum w:abstractNumId="25">
    <w:nsid w:val="4BEE5A5B"/>
    <w:multiLevelType w:val="hybridMultilevel"/>
    <w:lvl w:ilvl="0">
      <w:lvlJc w:val="left"/>
      <w:lvlText w:val="•"/>
      <w:numFmt w:val="bullet"/>
      <w:start w:val="1"/>
    </w:lvl>
  </w:abstractNum>
  <w:abstractNum w:abstractNumId="26">
    <w:nsid w:val="5551B9F3"/>
    <w:multiLevelType w:val="hybridMultilevel"/>
    <w:lvl w:ilvl="0">
      <w:lvlJc w:val="left"/>
      <w:lvlText w:val="•"/>
      <w:numFmt w:val="bullet"/>
      <w:start w:val="1"/>
    </w:lvl>
  </w:abstractNum>
  <w:abstractNum w:abstractNumId="27">
    <w:nsid w:val="24F6AB8E"/>
    <w:multiLevelType w:val="hybridMultilevel"/>
    <w:lvl w:ilvl="0">
      <w:lvlJc w:val="left"/>
      <w:lvlText w:val="•"/>
      <w:numFmt w:val="bullet"/>
      <w:start w:val="1"/>
    </w:lvl>
  </w:abstractNum>
  <w:abstractNum w:abstractNumId="28">
    <w:nsid w:val="634C574C"/>
    <w:multiLevelType w:val="hybridMultilevel"/>
    <w:lvl w:ilvl="0">
      <w:lvlJc w:val="left"/>
      <w:lvlText w:val="•"/>
      <w:numFmt w:val="bullet"/>
      <w:start w:val="1"/>
    </w:lvl>
  </w:abstractNum>
  <w:abstractNum w:abstractNumId="29">
    <w:nsid w:val="24E99DD7"/>
    <w:multiLevelType w:val="hybridMultilevel"/>
    <w:lvl w:ilvl="0">
      <w:lvlJc w:val="left"/>
      <w:lvlText w:val="•"/>
      <w:numFmt w:val="bullet"/>
      <w:start w:val="1"/>
    </w:lvl>
  </w:abstractNum>
  <w:abstractNum w:abstractNumId="30">
    <w:nsid w:val="2A31B62D"/>
    <w:multiLevelType w:val="hybridMultilevel"/>
    <w:lvl w:ilvl="0">
      <w:lvlJc w:val="left"/>
      <w:lvlText w:val="•"/>
      <w:numFmt w:val="bullet"/>
      <w:start w:val="1"/>
    </w:lvl>
  </w:abstractNum>
  <w:abstractNum w:abstractNumId="31">
    <w:nsid w:val="1849C29B"/>
    <w:multiLevelType w:val="hybridMultilevel"/>
    <w:lvl w:ilvl="0">
      <w:lvlJc w:val="left"/>
      <w:lvlText w:val="•"/>
      <w:numFmt w:val="bullet"/>
      <w:start w:val="1"/>
    </w:lvl>
  </w:abstractNum>
  <w:abstractNum w:abstractNumId="32">
    <w:nsid w:val="7DFF9D09"/>
    <w:multiLevelType w:val="hybridMultilevel"/>
    <w:lvl w:ilvl="0">
      <w:lvlJc w:val="left"/>
      <w:lvlText w:val="•"/>
      <w:numFmt w:val="bullet"/>
      <w:start w:val="1"/>
    </w:lvl>
  </w:abstractNum>
  <w:abstractNum w:abstractNumId="33">
    <w:nsid w:val="754342"/>
    <w:multiLevelType w:val="hybridMultilevel"/>
    <w:lvl w:ilvl="0">
      <w:lvlJc w:val="left"/>
      <w:lvlText w:val="•"/>
      <w:numFmt w:val="bullet"/>
      <w:start w:val="1"/>
    </w:lvl>
  </w:abstractNum>
  <w:abstractNum w:abstractNumId="34">
    <w:nsid w:val="69E7F3E5"/>
    <w:multiLevelType w:val="hybridMultilevel"/>
    <w:lvl w:ilvl="0">
      <w:lvlJc w:val="left"/>
      <w:lvlText w:val="•"/>
      <w:numFmt w:val="bullet"/>
      <w:start w:val="1"/>
    </w:lvl>
  </w:abstractNum>
  <w:abstractNum w:abstractNumId="35">
    <w:nsid w:val="2A6DE806"/>
    <w:multiLevelType w:val="hybridMultilevel"/>
    <w:lvl w:ilvl="0">
      <w:lvlJc w:val="left"/>
      <w:lvlText w:val="•"/>
      <w:numFmt w:val="bullet"/>
      <w:start w:val="1"/>
    </w:lvl>
  </w:abstractNum>
  <w:abstractNum w:abstractNumId="36">
    <w:nsid w:val="1816F8C4"/>
    <w:multiLevelType w:val="hybridMultilevel"/>
    <w:lvl w:ilvl="0">
      <w:lvlJc w:val="left"/>
      <w:lvlText w:val="•"/>
      <w:numFmt w:val="bullet"/>
      <w:start w:val="1"/>
    </w:lvl>
  </w:abstractNum>
  <w:abstractNum w:abstractNumId="37">
    <w:nsid w:val="37DF2233"/>
    <w:multiLevelType w:val="hybridMultilevel"/>
    <w:lvl w:ilvl="0">
      <w:lvlJc w:val="left"/>
      <w:lvlText w:val="•"/>
      <w:numFmt w:val="bullet"/>
      <w:start w:val="1"/>
    </w:lvl>
  </w:abstractNum>
  <w:abstractNum w:abstractNumId="38">
    <w:nsid w:val="7AB49DAF"/>
    <w:multiLevelType w:val="hybridMultilevel"/>
    <w:lvl w:ilvl="0">
      <w:lvlJc w:val="left"/>
      <w:lvlText w:val="•"/>
      <w:numFmt w:val="bullet"/>
      <w:start w:val="1"/>
    </w:lvl>
  </w:abstractNum>
  <w:abstractNum w:abstractNumId="39">
    <w:nsid w:val="759F82CD"/>
    <w:multiLevelType w:val="hybridMultilevel"/>
    <w:lvl w:ilvl="0">
      <w:lvlJc w:val="left"/>
      <w:lvlText w:val="•"/>
      <w:numFmt w:val="bullet"/>
      <w:start w:val="1"/>
    </w:lvl>
  </w:abstractNum>
  <w:abstractNum w:abstractNumId="40">
    <w:nsid w:val="61E74EA3"/>
    <w:multiLevelType w:val="hybridMultilevel"/>
    <w:lvl w:ilvl="0">
      <w:lvlJc w:val="left"/>
      <w:lvlText w:val="(%1)"/>
      <w:numFmt w:val="lowerRoman"/>
      <w:start w:val="1"/>
    </w:lvl>
  </w:abstractNum>
  <w:abstractNum w:abstractNumId="41">
    <w:nsid w:val="597B4D84"/>
    <w:multiLevelType w:val="hybridMultilevel"/>
    <w:lvl w:ilvl="0">
      <w:lvlJc w:val="left"/>
      <w:lvlText w:val="•"/>
      <w:numFmt w:val="bullet"/>
      <w:start w:val="1"/>
    </w:lvl>
  </w:abstractNum>
  <w:abstractNum w:abstractNumId="42">
    <w:nsid w:val="F819E7F"/>
    <w:multiLevelType w:val="hybridMultilevel"/>
    <w:lvl w:ilvl="0">
      <w:lvlJc w:val="left"/>
      <w:lvlText w:val="•"/>
      <w:numFmt w:val="bullet"/>
      <w:start w:val="1"/>
    </w:lvl>
  </w:abstractNum>
  <w:abstractNum w:abstractNumId="43">
    <w:nsid w:val="57C7D42D"/>
    <w:multiLevelType w:val="hybridMultilevel"/>
    <w:lvl w:ilvl="0">
      <w:lvlJc w:val="left"/>
      <w:lvlText w:val="•"/>
      <w:numFmt w:val="bullet"/>
      <w:start w:val="1"/>
    </w:lvl>
  </w:abstractNum>
  <w:abstractNum w:abstractNumId="44">
    <w:nsid w:val="312167AD"/>
    <w:multiLevelType w:val="hybridMultilevel"/>
    <w:lvl w:ilvl="0">
      <w:lvlJc w:val="left"/>
      <w:lvlText w:val="(%1)"/>
      <w:numFmt w:val="decimal"/>
      <w:start w:val="1"/>
    </w:lvl>
  </w:abstractNum>
  <w:abstractNum w:abstractNumId="45">
    <w:nsid w:val="631B64D4"/>
    <w:multiLevelType w:val="hybridMultilevel"/>
    <w:lvl w:ilvl="0">
      <w:lvlJc w:val="left"/>
      <w:lvlText w:val="(%1)"/>
      <w:numFmt w:val="decimal"/>
      <w:start w:val="2"/>
    </w:lvl>
  </w:abstractNum>
  <w:abstractNum w:abstractNumId="46">
    <w:nsid w:val="78B5E776"/>
    <w:multiLevelType w:val="hybridMultilevel"/>
    <w:lvl w:ilvl="0">
      <w:lvlJc w:val="left"/>
      <w:lvlText w:val="(%1)"/>
      <w:numFmt w:val="decimal"/>
      <w:start w:val="1"/>
    </w:lvl>
  </w:abstractNum>
  <w:abstractNum w:abstractNumId="47">
    <w:nsid w:val="75486E47"/>
    <w:multiLevelType w:val="hybridMultilevel"/>
    <w:lvl w:ilvl="0">
      <w:lvlJc w:val="left"/>
      <w:lvlText w:val="(%1)"/>
      <w:numFmt w:val="decimal"/>
      <w:start w:val="3"/>
    </w:lvl>
  </w:abstractNum>
  <w:abstractNum w:abstractNumId="48">
    <w:nsid w:val="6E534CDE"/>
    <w:multiLevelType w:val="hybridMultilevel"/>
    <w:lvl w:ilvl="0">
      <w:lvlJc w:val="left"/>
      <w:lvlText w:val="(%1)"/>
      <w:numFmt w:val="decimal"/>
      <w:start w:val="5"/>
    </w:lvl>
  </w:abstractNum>
  <w:abstractNum w:abstractNumId="49">
    <w:nsid w:val="1A0DDE32"/>
    <w:multiLevelType w:val="hybridMultilevel"/>
    <w:lvl w:ilvl="0">
      <w:lvlJc w:val="left"/>
      <w:lvlText w:val="•"/>
      <w:numFmt w:val="bullet"/>
      <w:start w:val="1"/>
    </w:lvl>
  </w:abstractNum>
  <w:abstractNum w:abstractNumId="50">
    <w:nsid w:val="65968C1C"/>
    <w:multiLevelType w:val="hybridMultilevel"/>
    <w:lvl w:ilvl="0">
      <w:lvlJc w:val="left"/>
      <w:lvlText w:val="•"/>
      <w:numFmt w:val="bullet"/>
      <w:start w:val="1"/>
    </w:lvl>
  </w:abstractNum>
  <w:abstractNum w:abstractNumId="51">
    <w:nsid w:val="46263DEC"/>
    <w:multiLevelType w:val="hybridMultilevel"/>
    <w:lvl w:ilvl="0">
      <w:lvlJc w:val="left"/>
      <w:lvlText w:val="•"/>
      <w:numFmt w:val="bullet"/>
      <w:start w:val="1"/>
    </w:lvl>
  </w:abstractNum>
  <w:abstractNum w:abstractNumId="52">
    <w:nsid w:val="260D8C4A"/>
    <w:multiLevelType w:val="hybridMultilevel"/>
    <w:lvl w:ilvl="0">
      <w:lvlJc w:val="left"/>
      <w:lvlText w:val="•"/>
      <w:numFmt w:val="bullet"/>
      <w:start w:val="1"/>
    </w:lvl>
  </w:abstractNum>
  <w:abstractNum w:abstractNumId="53">
    <w:nsid w:val="73D4D3C4"/>
    <w:multiLevelType w:val="hybridMultilevel"/>
    <w:lvl w:ilvl="0">
      <w:lvlJc w:val="left"/>
      <w:lvlText w:val="•"/>
      <w:numFmt w:val="bullet"/>
      <w:start w:val="1"/>
    </w:lvl>
  </w:abstractNum>
  <w:abstractNum w:abstractNumId="54">
    <w:nsid w:val="746F2E30"/>
    <w:multiLevelType w:val="hybridMultilevel"/>
    <w:lvl w:ilvl="0">
      <w:lvlJc w:val="left"/>
      <w:lvlText w:val="•"/>
      <w:numFmt w:val="bullet"/>
      <w:start w:val="1"/>
    </w:lvl>
  </w:abstractNum>
  <w:abstractNum w:abstractNumId="55">
    <w:nsid w:val="6FDE8AF6"/>
    <w:multiLevelType w:val="hybridMultilevel"/>
    <w:lvl w:ilvl="0">
      <w:lvlJc w:val="left"/>
      <w:lvlText w:val="•"/>
      <w:numFmt w:val="bullet"/>
      <w:start w:val="1"/>
    </w:lvl>
  </w:abstractNum>
  <w:abstractNum w:abstractNumId="56">
    <w:nsid w:val="3FC32E20"/>
    <w:multiLevelType w:val="hybridMultilevel"/>
    <w:lvl w:ilvl="0">
      <w:lvlJc w:val="left"/>
      <w:lvlText w:val="(%1)"/>
      <w:numFmt w:val="lowerLetter"/>
      <w:start w:val="1"/>
    </w:lvl>
  </w:abstractNum>
  <w:abstractNum w:abstractNumId="57">
    <w:nsid w:val="49C0E823"/>
    <w:multiLevelType w:val="hybridMultilevel"/>
    <w:lvl w:ilvl="0">
      <w:lvlJc w:val="left"/>
      <w:lvlText w:val="(%1)"/>
      <w:numFmt w:val="lowerLetter"/>
      <w:start w:val="4"/>
    </w:lvl>
  </w:abstractNum>
  <w:abstractNum w:abstractNumId="58">
    <w:nsid w:val="14D53685"/>
    <w:multiLevelType w:val="hybridMultilevel"/>
    <w:lvl w:ilvl="0">
      <w:lvlJc w:val="left"/>
      <w:lvlText w:val="(%1)"/>
      <w:numFmt w:val="decimal"/>
      <w:start w:val="1"/>
    </w:lvl>
  </w:abstractNum>
  <w:abstractNum w:abstractNumId="59">
    <w:nsid w:val="230F856C"/>
    <w:multiLevelType w:val="hybridMultilevel"/>
    <w:lvl w:ilvl="0">
      <w:lvlJc w:val="left"/>
      <w:lvlText w:val="•"/>
      <w:numFmt w:val="bullet"/>
      <w:start w:val="1"/>
    </w:lvl>
  </w:abstractNum>
  <w:abstractNum w:abstractNumId="60">
    <w:nsid w:val="6EAA85FB"/>
    <w:multiLevelType w:val="hybridMultilevel"/>
    <w:lvl w:ilvl="0">
      <w:lvlJc w:val="left"/>
      <w:lvlText w:val="•"/>
      <w:numFmt w:val="bullet"/>
      <w:start w:val="1"/>
    </w:lvl>
  </w:abstractNum>
  <w:abstractNum w:abstractNumId="61">
    <w:nsid w:val="3F06ECB2"/>
    <w:multiLevelType w:val="hybridMultilevel"/>
    <w:lvl w:ilvl="0">
      <w:lvlJc w:val="left"/>
      <w:lvlText w:val="•"/>
      <w:numFmt w:val="bullet"/>
      <w:start w:val="1"/>
    </w:lvl>
  </w:abstractNum>
  <w:abstractNum w:abstractNumId="62">
    <w:nsid w:val="3B594807"/>
    <w:multiLevelType w:val="hybridMultilevel"/>
    <w:lvl w:ilvl="0">
      <w:lvlJc w:val="left"/>
      <w:lvlText w:val="•"/>
      <w:numFmt w:val="bullet"/>
      <w:start w:val="1"/>
    </w:lvl>
  </w:abstractNum>
  <w:abstractNum w:abstractNumId="63">
    <w:nsid w:val="6CAA2304"/>
    <w:multiLevelType w:val="hybridMultilevel"/>
    <w:lvl w:ilvl="0">
      <w:lvlJc w:val="left"/>
      <w:lvlText w:val="(%1)"/>
      <w:numFmt w:val="decimal"/>
      <w:start w:val="1"/>
    </w:lvl>
  </w:abstractNum>
  <w:abstractNum w:abstractNumId="64">
    <w:nsid w:val="3F7C2FF4"/>
    <w:multiLevelType w:val="hybridMultilevel"/>
    <w:lvl w:ilvl="0">
      <w:lvlJc w:val="left"/>
      <w:lvlText w:val="(%1)"/>
      <w:numFmt w:val="decimal"/>
      <w:start w:val="1"/>
    </w:lvl>
  </w:abstractNum>
  <w:abstractNum w:abstractNumId="65">
    <w:nsid w:val="25413BEC"/>
    <w:multiLevelType w:val="hybridMultilevel"/>
    <w:lvl w:ilvl="0">
      <w:lvlJc w:val="left"/>
      <w:lvlText w:val="(%1)"/>
      <w:numFmt w:val="decimal"/>
      <w:start w:val="1"/>
    </w:lvl>
  </w:abstractNum>
  <w:abstractNum w:abstractNumId="66">
    <w:nsid w:val="17180B0B"/>
    <w:multiLevelType w:val="hybridMultilevel"/>
    <w:lvl w:ilvl="0">
      <w:lvlJc w:val="left"/>
      <w:lvlText w:val="•"/>
      <w:numFmt w:val="bullet"/>
      <w:start w:val="1"/>
    </w:lvl>
  </w:abstractNum>
  <w:abstractNum w:abstractNumId="67">
    <w:nsid w:val="579328B9"/>
    <w:multiLevelType w:val="hybridMultilevel"/>
    <w:lvl w:ilvl="0">
      <w:lvlJc w:val="left"/>
      <w:lvlText w:val="•"/>
      <w:numFmt w:val="bullet"/>
      <w:start w:val="1"/>
    </w:lvl>
  </w:abstractNum>
  <w:abstractNum w:abstractNumId="68">
    <w:nsid w:val="5D205E20"/>
    <w:multiLevelType w:val="hybridMultilevel"/>
    <w:lvl w:ilvl="0">
      <w:lvlJc w:val="left"/>
      <w:lvlText w:val="•"/>
      <w:numFmt w:val="bullet"/>
      <w:start w:val="1"/>
    </w:lvl>
  </w:abstractNum>
  <w:abstractNum w:abstractNumId="69">
    <w:nsid w:val="11CCA8BA"/>
    <w:multiLevelType w:val="hybridMultilevel"/>
    <w:lvl w:ilvl="0">
      <w:lvlJc w:val="left"/>
      <w:lvlText w:val="•"/>
      <w:numFmt w:val="bullet"/>
      <w:start w:val="1"/>
    </w:lvl>
  </w:abstractNum>
  <w:abstractNum w:abstractNumId="70">
    <w:nsid w:val="4D32AB86"/>
    <w:multiLevelType w:val="hybridMultilevel"/>
    <w:lvl w:ilvl="0">
      <w:lvlJc w:val="left"/>
      <w:lvlText w:val="•"/>
      <w:numFmt w:val="bullet"/>
      <w:start w:val="1"/>
    </w:lvl>
  </w:abstractNum>
  <w:abstractNum w:abstractNumId="71">
    <w:nsid w:val="3F07ACC3"/>
    <w:multiLevelType w:val="hybridMultilevel"/>
    <w:lvl w:ilvl="0">
      <w:lvlJc w:val="left"/>
      <w:lvlText w:val="•"/>
      <w:numFmt w:val="bullet"/>
      <w:start w:val="1"/>
    </w:lvl>
  </w:abstractNum>
  <w:abstractNum w:abstractNumId="72">
    <w:nsid w:val="6B47F63E"/>
    <w:multiLevelType w:val="hybridMultilevel"/>
    <w:lvl w:ilvl="0">
      <w:lvlJc w:val="left"/>
      <w:lvlText w:val="•"/>
      <w:numFmt w:val="bullet"/>
      <w:start w:val="1"/>
    </w:lvl>
  </w:abstractNum>
  <w:abstractNum w:abstractNumId="73">
    <w:nsid w:val="5CB44A05"/>
    <w:multiLevelType w:val="hybridMultilevel"/>
    <w:lvl w:ilvl="0">
      <w:lvlJc w:val="left"/>
      <w:lvlText w:val="•"/>
      <w:numFmt w:val="bullet"/>
      <w:start w:val="1"/>
    </w:lvl>
  </w:abstractNum>
  <w:abstractNum w:abstractNumId="74">
    <w:nsid w:val="16CF80F1"/>
    <w:multiLevelType w:val="hybridMultilevel"/>
    <w:lvl w:ilvl="0">
      <w:lvlJc w:val="left"/>
      <w:lvlText w:val="•"/>
      <w:numFmt w:val="bullet"/>
      <w:start w:val="1"/>
    </w:lvl>
  </w:abstractNum>
  <w:abstractNum w:abstractNumId="75">
    <w:nsid w:val="1C695DEC"/>
    <w:multiLevelType w:val="hybridMultilevel"/>
    <w:lvl w:ilvl="0">
      <w:lvlJc w:val="left"/>
      <w:lvlText w:val="•"/>
      <w:numFmt w:val="bullet"/>
      <w:start w:val="1"/>
    </w:lvl>
  </w:abstractNum>
  <w:abstractNum w:abstractNumId="76">
    <w:nsid w:val="3FCFAED9"/>
    <w:multiLevelType w:val="hybridMultilevel"/>
    <w:lvl w:ilvl="0">
      <w:lvlJc w:val="left"/>
      <w:lvlText w:val="•"/>
      <w:numFmt w:val="bullet"/>
      <w:start w:val="1"/>
    </w:lvl>
  </w:abstractNum>
  <w:abstractNum w:abstractNumId="77">
    <w:nsid w:val="F856867"/>
    <w:multiLevelType w:val="hybridMultilevel"/>
    <w:lvl w:ilvl="0">
      <w:lvlJc w:val="left"/>
      <w:lvlText w:val="•"/>
      <w:numFmt w:val="bullet"/>
      <w:start w:val="1"/>
    </w:lvl>
  </w:abstractNum>
  <w:abstractNum w:abstractNumId="78">
    <w:nsid w:val="11B1CC33"/>
    <w:multiLevelType w:val="hybridMultilevel"/>
    <w:lvl w:ilvl="0">
      <w:lvlJc w:val="left"/>
      <w:lvlText w:val="•"/>
      <w:numFmt w:val="bullet"/>
      <w:start w:val="1"/>
    </w:lvl>
  </w:abstractNum>
  <w:abstractNum w:abstractNumId="79">
    <w:nsid w:val="2E22FBB7"/>
    <w:multiLevelType w:val="hybridMultilevel"/>
    <w:lvl w:ilvl="0">
      <w:lvlJc w:val="left"/>
      <w:lvlText w:val="•"/>
      <w:numFmt w:val="bullet"/>
      <w:start w:val="1"/>
    </w:lvl>
    <w:lvl w:ilvl="1">
      <w:lvlJc w:val="left"/>
      <w:lvlText w:val="•"/>
      <w:numFmt w:val="bullet"/>
      <w:start w:val="1"/>
    </w:lvl>
  </w:abstractNum>
  <w:abstractNum w:abstractNumId="80">
    <w:nsid w:val="29934699"/>
    <w:multiLevelType w:val="hybridMultilevel"/>
    <w:lvl w:ilvl="0">
      <w:lvlJc w:val="left"/>
      <w:lvlText w:val="•"/>
      <w:numFmt w:val="bullet"/>
      <w:start w:val="1"/>
    </w:lvl>
  </w:abstractNum>
  <w:abstractNum w:abstractNumId="81">
    <w:nsid w:val="77485850"/>
    <w:multiLevelType w:val="hybridMultilevel"/>
    <w:lvl w:ilvl="0">
      <w:lvlJc w:val="left"/>
      <w:lvlText w:val="•"/>
      <w:numFmt w:val="bullet"/>
      <w:start w:val="1"/>
    </w:lvl>
    <w:lvl w:ilvl="1">
      <w:lvlJc w:val="left"/>
      <w:lvlText w:val="•"/>
      <w:numFmt w:val="bullet"/>
      <w:start w:val="1"/>
    </w:lvl>
  </w:abstractNum>
  <w:abstractNum w:abstractNumId="82">
    <w:nsid w:val="744939A3"/>
    <w:multiLevelType w:val="hybridMultilevel"/>
    <w:lvl w:ilvl="0">
      <w:lvlJc w:val="left"/>
      <w:lvlText w:val="(%1)"/>
      <w:numFmt w:val="lowerRoman"/>
      <w:start w:val="3"/>
    </w:lvl>
  </w:abstractNum>
  <w:abstractNum w:abstractNumId="83">
    <w:nsid w:val="4FA0D2E3"/>
    <w:multiLevelType w:val="hybridMultilevel"/>
    <w:lvl w:ilvl="0">
      <w:lvlJc w:val="left"/>
      <w:lvlText w:val="(%1)"/>
      <w:numFmt w:val="decimal"/>
      <w:start w:val="1"/>
    </w:lvl>
  </w:abstractNum>
  <w:abstractNum w:abstractNumId="84">
    <w:nsid w:val="6B1D2C14"/>
    <w:multiLevelType w:val="hybridMultilevel"/>
    <w:lvl w:ilvl="0">
      <w:lvlJc w:val="left"/>
      <w:lvlText w:val="(%1)"/>
      <w:numFmt w:val="decimal"/>
      <w:start w:val="2"/>
    </w:lvl>
  </w:abstractNum>
  <w:abstractNum w:abstractNumId="85">
    <w:nsid w:val="68B867D3"/>
    <w:multiLevelType w:val="hybridMultilevel"/>
    <w:lvl w:ilvl="0">
      <w:lvlJc w:val="left"/>
      <w:lvlText w:val="•"/>
      <w:numFmt w:val="bullet"/>
      <w:start w:val="1"/>
    </w:lvl>
  </w:abstractNum>
  <w:abstractNum w:abstractNumId="86">
    <w:nsid w:val="3F7F5DD9"/>
    <w:multiLevelType w:val="hybridMultilevel"/>
    <w:lvl w:ilvl="0">
      <w:lvlJc w:val="left"/>
      <w:lvlText w:val="•"/>
      <w:numFmt w:val="bullet"/>
      <w:start w:val="1"/>
    </w:lvl>
  </w:abstractNum>
  <w:abstractNum w:abstractNumId="87">
    <w:nsid w:val="2AE05A34"/>
    <w:multiLevelType w:val="hybridMultilevel"/>
    <w:lvl w:ilvl="0">
      <w:lvlJc w:val="left"/>
      <w:lvlText w:val="•"/>
      <w:numFmt w:val="bullet"/>
      <w:start w:val="1"/>
    </w:lvl>
  </w:abstractNum>
  <w:abstractNum w:abstractNumId="88">
    <w:nsid w:val="32794FF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9">
    <w:nsid w:val="5454945E"/>
    <w:multiLevelType w:val="hybridMultilevel"/>
    <w:lvl w:ilvl="0">
      <w:lvlJc w:val="left"/>
      <w:lvlText w:val="•"/>
      <w:numFmt w:val="bullet"/>
      <w:start w:val="1"/>
    </w:lvl>
  </w:abstractNum>
  <w:abstractNum w:abstractNumId="90">
    <w:nsid w:val="4DEFDFA0"/>
    <w:multiLevelType w:val="hybridMultilevel"/>
    <w:lvl w:ilvl="0">
      <w:lvlJc w:val="left"/>
      <w:lvlText w:val="•"/>
      <w:numFmt w:val="bullet"/>
      <w:start w:val="1"/>
    </w:lvl>
  </w:abstractNum>
  <w:abstractNum w:abstractNumId="91">
    <w:nsid w:val="2123D5F2"/>
    <w:multiLevelType w:val="hybridMultilevel"/>
    <w:lvl w:ilvl="0">
      <w:lvlJc w:val="left"/>
      <w:lvlText w:val="•"/>
      <w:numFmt w:val="bullet"/>
      <w:start w:val="1"/>
    </w:lvl>
  </w:abstractNum>
  <w:abstractNum w:abstractNumId="92">
    <w:nsid w:val="135B8110"/>
    <w:multiLevelType w:val="hybridMultilevel"/>
    <w:lvl w:ilvl="0">
      <w:lvlJc w:val="left"/>
      <w:lvlText w:val="•"/>
      <w:numFmt w:val="bullet"/>
      <w:start w:val="1"/>
    </w:lvl>
  </w:abstractNum>
  <w:abstractNum w:abstractNumId="93">
    <w:nsid w:val="94927A8"/>
    <w:multiLevelType w:val="hybridMultilevel"/>
    <w:lvl w:ilvl="0">
      <w:lvlJc w:val="left"/>
      <w:lvlText w:val="•"/>
      <w:numFmt w:val="bullet"/>
      <w:start w:val="1"/>
    </w:lvl>
  </w:abstractNum>
  <w:abstractNum w:abstractNumId="94">
    <w:nsid w:val="DCDF8F6"/>
    <w:multiLevelType w:val="hybridMultilevel"/>
    <w:lvl w:ilvl="0">
      <w:lvlJc w:val="left"/>
      <w:lvlText w:val="•"/>
      <w:numFmt w:val="bullet"/>
      <w:start w:val="1"/>
    </w:lvl>
  </w:abstractNum>
  <w:abstractNum w:abstractNumId="95">
    <w:nsid w:val="52D7B105"/>
    <w:multiLevelType w:val="hybridMultilevel"/>
    <w:lvl w:ilvl="0">
      <w:lvlJc w:val="left"/>
      <w:lvlText w:val="•"/>
      <w:numFmt w:val="bullet"/>
      <w:start w:val="1"/>
    </w:lvl>
  </w:abstractNum>
  <w:abstractNum w:abstractNumId="96">
    <w:nsid w:val="2E8A6394"/>
    <w:multiLevelType w:val="hybridMultilevel"/>
    <w:lvl w:ilvl="0">
      <w:lvlJc w:val="left"/>
      <w:lvlText w:val="•"/>
      <w:numFmt w:val="bullet"/>
      <w:start w:val="1"/>
    </w:lvl>
  </w:abstractNum>
  <w:abstractNum w:abstractNumId="97">
    <w:nsid w:val="24E60401"/>
    <w:multiLevelType w:val="hybridMultilevel"/>
    <w:lvl w:ilvl="0">
      <w:lvlJc w:val="left"/>
      <w:lvlText w:val="•"/>
      <w:numFmt w:val="bullet"/>
      <w:start w:val="1"/>
    </w:lvl>
  </w:abstractNum>
  <w:abstractNum w:abstractNumId="98">
    <w:nsid w:val="2A6AD9BE"/>
    <w:multiLevelType w:val="hybridMultilevel"/>
    <w:lvl w:ilvl="0">
      <w:lvlJc w:val="left"/>
      <w:lvlText w:val="•"/>
      <w:numFmt w:val="bullet"/>
      <w:start w:val="1"/>
    </w:lvl>
    <w:lvl w:ilvl="1">
      <w:lvlJc w:val="left"/>
      <w:lvlText w:val="•"/>
      <w:numFmt w:val="bullet"/>
      <w:start w:val="1"/>
    </w:lvl>
  </w:abstractNum>
  <w:abstractNum w:abstractNumId="99">
    <w:nsid w:val="BAAC1B4"/>
    <w:multiLevelType w:val="hybridMultilevel"/>
    <w:lvl w:ilvl="0">
      <w:lvlJc w:val="left"/>
      <w:lvlText w:val="•"/>
      <w:numFmt w:val="bullet"/>
      <w:start w:val="1"/>
    </w:lvl>
    <w:lvl w:ilvl="1">
      <w:lvlJc w:val="left"/>
      <w:lvlText w:val="•"/>
      <w:numFmt w:val="bullet"/>
      <w:start w:val="1"/>
    </w:lvl>
  </w:abstractNum>
  <w:abstractNum w:abstractNumId="100">
    <w:nsid w:val="36B2ACBC"/>
    <w:multiLevelType w:val="hybridMultilevel"/>
    <w:lvl w:ilvl="0">
      <w:lvlJc w:val="left"/>
      <w:lvlText w:val="•"/>
      <w:numFmt w:val="bullet"/>
      <w:start w:val="1"/>
    </w:lvl>
  </w:abstractNum>
  <w:abstractNum w:abstractNumId="101">
    <w:nsid w:val="779D8544"/>
    <w:multiLevelType w:val="hybridMultilevel"/>
    <w:lvl w:ilvl="0">
      <w:lvlJc w:val="left"/>
      <w:lvlText w:val="•"/>
      <w:numFmt w:val="bullet"/>
      <w:start w:val="1"/>
    </w:lvl>
  </w:abstractNum>
  <w:abstractNum w:abstractNumId="102">
    <w:nsid w:val="4AB26E78"/>
    <w:multiLevelType w:val="hybridMultilevel"/>
    <w:lvl w:ilvl="0">
      <w:lvlJc w:val="left"/>
      <w:lvlText w:val="•"/>
      <w:numFmt w:val="bullet"/>
      <w:start w:val="1"/>
    </w:lvl>
    <w:lvl w:ilvl="1">
      <w:lvlJc w:val="left"/>
      <w:lvlText w:val="•"/>
      <w:numFmt w:val="bullet"/>
      <w:start w:val="1"/>
    </w:lvl>
  </w:abstractNum>
  <w:abstractNum w:abstractNumId="103">
    <w:nsid w:val="21FAA2FA"/>
    <w:multiLevelType w:val="hybridMultilevel"/>
    <w:lvl w:ilvl="0">
      <w:lvlJc w:val="left"/>
      <w:lvlText w:val="•"/>
      <w:numFmt w:val="bullet"/>
      <w:start w:val="1"/>
    </w:lvl>
    <w:lvl w:ilvl="1">
      <w:lvlJc w:val="left"/>
      <w:lvlText w:val="•"/>
      <w:numFmt w:val="bullet"/>
      <w:start w:val="1"/>
    </w:lvl>
  </w:abstractNum>
  <w:abstractNum w:abstractNumId="104">
    <w:nsid w:val="5451CF49"/>
    <w:multiLevelType w:val="hybridMultilevel"/>
    <w:lvl w:ilvl="0">
      <w:lvlJc w:val="left"/>
      <w:lvlText w:val="•"/>
      <w:numFmt w:val="bullet"/>
      <w:start w:val="1"/>
    </w:lvl>
    <w:lvl w:ilvl="1">
      <w:lvlJc w:val="left"/>
      <w:lvlText w:val="•"/>
      <w:numFmt w:val="bullet"/>
      <w:start w:val="1"/>
    </w:lvl>
  </w:abstractNum>
  <w:abstractNum w:abstractNumId="105">
    <w:nsid w:val="6181EF69"/>
    <w:multiLevelType w:val="hybridMultilevel"/>
    <w:lvl w:ilvl="0">
      <w:lvlJc w:val="left"/>
      <w:lvlText w:val="(%1)"/>
      <w:numFmt w:val="lowerRoman"/>
      <w:start w:val="10"/>
    </w:lvl>
  </w:abstractNum>
  <w:abstractNum w:abstractNumId="106">
    <w:nsid w:val="3E6400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7">
    <w:nsid w:val="14217E23"/>
    <w:multiLevelType w:val="hybridMultilevel"/>
    <w:lvl w:ilvl="0">
      <w:lvlJc w:val="left"/>
      <w:lvlText w:val="•"/>
      <w:numFmt w:val="bullet"/>
      <w:start w:val="1"/>
    </w:lvl>
    <w:lvl w:ilvl="1">
      <w:lvlJc w:val="left"/>
      <w:lvlText w:val="•"/>
      <w:numFmt w:val="bullet"/>
      <w:start w:val="1"/>
    </w:lvl>
  </w:abstractNum>
  <w:abstractNum w:abstractNumId="108">
    <w:nsid w:val="710757D0"/>
    <w:multiLevelType w:val="hybridMultilevel"/>
    <w:lvl w:ilvl="0">
      <w:lvlJc w:val="left"/>
      <w:lvlText w:val="•"/>
      <w:numFmt w:val="bullet"/>
      <w:start w:val="1"/>
    </w:lvl>
    <w:lvl w:ilvl="1">
      <w:lvlJc w:val="left"/>
      <w:lvlText w:val="•"/>
      <w:numFmt w:val="bullet"/>
      <w:start w:val="1"/>
    </w:lvl>
  </w:abstractNum>
  <w:abstractNum w:abstractNumId="109">
    <w:nsid w:val="5015CD1A"/>
    <w:multiLevelType w:val="hybridMultilevel"/>
    <w:lvl w:ilvl="0">
      <w:lvlJc w:val="left"/>
      <w:lvlText w:val="•"/>
      <w:numFmt w:val="bullet"/>
      <w:start w:val="1"/>
    </w:lvl>
  </w:abstractNum>
  <w:abstractNum w:abstractNumId="110">
    <w:nsid w:val="424479DA"/>
    <w:multiLevelType w:val="hybridMultilevel"/>
    <w:lvl w:ilvl="0">
      <w:lvlJc w:val="left"/>
      <w:lvlText w:val="•"/>
      <w:numFmt w:val="bullet"/>
      <w:start w:val="1"/>
    </w:lvl>
    <w:lvl w:ilvl="1">
      <w:lvlJc w:val="left"/>
      <w:lvlText w:val="•"/>
      <w:numFmt w:val="bullet"/>
      <w:start w:val="1"/>
    </w:lvl>
  </w:abstractNum>
  <w:abstractNum w:abstractNumId="111">
    <w:nsid w:val="1A9A9E69"/>
    <w:multiLevelType w:val="hybridMultilevel"/>
    <w:lvl w:ilvl="0">
      <w:lvlJc w:val="left"/>
      <w:lvlText w:val="•"/>
      <w:numFmt w:val="bullet"/>
      <w:start w:val="1"/>
    </w:lvl>
    <w:lvl w:ilvl="1">
      <w:lvlJc w:val="left"/>
      <w:lvlText w:val="•"/>
      <w:numFmt w:val="bullet"/>
      <w:start w:val="1"/>
    </w:lvl>
  </w:abstractNum>
  <w:abstractNum w:abstractNumId="112">
    <w:nsid w:val="475E256A"/>
    <w:multiLevelType w:val="hybridMultilevel"/>
    <w:lvl w:ilvl="0">
      <w:lvlJc w:val="left"/>
      <w:lvlText w:val="•"/>
      <w:numFmt w:val="bullet"/>
      <w:start w:val="1"/>
    </w:lvl>
    <w:lvl w:ilvl="1">
      <w:lvlJc w:val="left"/>
      <w:lvlText w:val="•"/>
      <w:numFmt w:val="bullet"/>
      <w:start w:val="1"/>
    </w:lvl>
  </w:abstractNum>
  <w:abstractNum w:abstractNumId="113">
    <w:nsid w:val="368DB37E"/>
    <w:multiLevelType w:val="hybridMultilevel"/>
    <w:lvl w:ilvl="0">
      <w:lvlJc w:val="left"/>
      <w:lvlText w:val="•"/>
      <w:numFmt w:val="bullet"/>
      <w:start w:val="1"/>
    </w:lvl>
    <w:lvl w:ilvl="1">
      <w:lvlJc w:val="left"/>
      <w:lvlText w:val="•"/>
      <w:numFmt w:val="bullet"/>
      <w:start w:val="1"/>
    </w:lvl>
  </w:abstractNum>
  <w:abstractNum w:abstractNumId="114">
    <w:nsid w:val="6A3B714C"/>
    <w:multiLevelType w:val="hybridMultilevel"/>
    <w:lvl w:ilvl="0">
      <w:lvlJc w:val="left"/>
      <w:lvlText w:val="•"/>
      <w:numFmt w:val="bullet"/>
      <w:start w:val="1"/>
    </w:lvl>
  </w:abstractNum>
  <w:abstractNum w:abstractNumId="115">
    <w:nsid w:val="327B517E"/>
    <w:multiLevelType w:val="hybridMultilevel"/>
    <w:lvl w:ilvl="0">
      <w:lvlJc w:val="left"/>
      <w:lvlText w:val="•"/>
      <w:numFmt w:val="bullet"/>
      <w:start w:val="1"/>
    </w:lvl>
  </w:abstractNum>
  <w:abstractNum w:abstractNumId="116">
    <w:nsid w:val="1F461B51"/>
    <w:multiLevelType w:val="hybridMultilevel"/>
    <w:lvl w:ilvl="0">
      <w:lvlJc w:val="left"/>
      <w:lvlText w:val="•"/>
      <w:numFmt w:val="bullet"/>
      <w:start w:val="1"/>
    </w:lvl>
    <w:lvl w:ilvl="1">
      <w:lvlJc w:val="left"/>
      <w:lvlText w:val="•"/>
      <w:numFmt w:val="bullet"/>
      <w:start w:val="1"/>
    </w:lvl>
  </w:abstractNum>
  <w:abstractNum w:abstractNumId="117">
    <w:nsid w:val="29BACF25"/>
    <w:multiLevelType w:val="hybridMultilevel"/>
    <w:lvl w:ilvl="0">
      <w:lvlJc w:val="left"/>
      <w:lvlText w:val="•"/>
      <w:numFmt w:val="bullet"/>
      <w:start w:val="1"/>
    </w:lvl>
    <w:lvl w:ilvl="1">
      <w:lvlJc w:val="left"/>
      <w:lvlText w:val="•"/>
      <w:numFmt w:val="bullet"/>
      <w:start w:val="1"/>
    </w:lvl>
  </w:abstractNum>
  <w:abstractNum w:abstractNumId="118">
    <w:nsid w:val="5D5BABB3"/>
    <w:multiLevelType w:val="hybridMultilevel"/>
    <w:lvl w:ilvl="0">
      <w:lvlJc w:val="left"/>
      <w:lvlText w:val="(%1)"/>
      <w:numFmt w:val="lowerRoman"/>
      <w:start w:val="1"/>
    </w:lvl>
  </w:abstractNum>
  <w:abstractNum w:abstractNumId="119">
    <w:nsid w:val="51BF6B48"/>
    <w:multiLevelType w:val="hybridMultilevel"/>
    <w:lvl w:ilvl="0">
      <w:lvlJc w:val="left"/>
      <w:lvlText w:val="(%1)"/>
      <w:numFmt w:val="decimal"/>
      <w:start w:val="1"/>
    </w:lvl>
    <w:lvl w:ilvl="1">
      <w:lvlJc w:val="left"/>
      <w:lvlText w:val="(%2)"/>
      <w:numFmt w:val="lowerRoman"/>
      <w:start w:val="1"/>
    </w:lvl>
  </w:abstractNum>
  <w:abstractNum w:abstractNumId="120">
    <w:nsid w:val="7E0F6384"/>
    <w:multiLevelType w:val="hybridMultilevel"/>
    <w:lvl w:ilvl="0">
      <w:lvlJc w:val="left"/>
      <w:lvlText w:val="(%1)"/>
      <w:numFmt w:val="lowerRoman"/>
      <w:start w:val="3"/>
    </w:lvl>
  </w:abstractNum>
  <w:abstractNum w:abstractNumId="121">
    <w:nsid w:val="2B4B8B53"/>
    <w:multiLevelType w:val="hybridMultilevel"/>
    <w:lvl w:ilvl="0">
      <w:lvlJc w:val="left"/>
      <w:lvlText w:val="(%1)"/>
      <w:numFmt w:val="decimal"/>
      <w:start w:val="7"/>
    </w:lvl>
  </w:abstractNum>
  <w:abstractNum w:abstractNumId="122">
    <w:nsid w:val="72E3413A"/>
    <w:multiLevelType w:val="hybridMultilevel"/>
    <w:lvl w:ilvl="0">
      <w:lvlJc w:val="left"/>
      <w:lvlText w:val="(%1)"/>
      <w:numFmt w:val="lowerRoman"/>
      <w:start w:val="4"/>
    </w:lvl>
  </w:abstractNum>
  <w:abstractNum w:abstractNumId="123">
    <w:nsid w:val="116AE494"/>
    <w:multiLevelType w:val="hybridMultilevel"/>
    <w:lvl w:ilvl="0">
      <w:lvlJc w:val="left"/>
      <w:lvlText w:val="(%1)"/>
      <w:numFmt w:val="lowerRoman"/>
      <w:start w:val="2"/>
    </w:lvl>
  </w:abstractNum>
  <w:abstractNum w:abstractNumId="124">
    <w:nsid w:val="3494B2FB"/>
    <w:multiLevelType w:val="hybridMultilevel"/>
    <w:lvl w:ilvl="0">
      <w:lvlJc w:val="left"/>
      <w:lvlText w:val="(%1)"/>
      <w:numFmt w:val="lowerRoman"/>
      <w:start w:val="2"/>
    </w:lvl>
  </w:abstractNum>
  <w:abstractNum w:abstractNumId="125">
    <w:nsid w:val="B13A31"/>
    <w:multiLevelType w:val="hybridMultilevel"/>
    <w:lvl w:ilvl="0">
      <w:lvlJc w:val="left"/>
      <w:lvlText w:val="(%1)"/>
      <w:numFmt w:val="decimal"/>
      <w:start w:val="1"/>
    </w:lvl>
  </w:abstractNum>
  <w:abstractNum w:abstractNumId="126">
    <w:nsid w:val="64429599"/>
    <w:multiLevelType w:val="hybridMultilevel"/>
    <w:lvl w:ilvl="0">
      <w:lvlJc w:val="left"/>
      <w:lvlText w:val="(%1)"/>
      <w:numFmt w:val="decimal"/>
      <w:start w:val="2"/>
    </w:lvl>
  </w:abstractNum>
  <w:abstractNum w:abstractNumId="127">
    <w:nsid w:val="631F1690"/>
    <w:multiLevelType w:val="hybridMultilevel"/>
    <w:lvl w:ilvl="0">
      <w:lvlJc w:val="left"/>
      <w:lvlText w:val="(%1)"/>
      <w:numFmt w:val="decimal"/>
      <w:start w:val="1"/>
    </w:lvl>
  </w:abstractNum>
  <w:abstractNum w:abstractNumId="128">
    <w:nsid w:val="25973E32"/>
    <w:multiLevelType w:val="hybridMultilevel"/>
    <w:lvl w:ilvl="0">
      <w:lvlJc w:val="left"/>
      <w:lvlText w:val="(%1)"/>
      <w:numFmt w:val="decimal"/>
      <w:start w:val="7"/>
    </w:lvl>
  </w:abstractNum>
  <w:abstractNum w:abstractNumId="129">
    <w:nsid w:val="EAD6F57"/>
    <w:multiLevelType w:val="hybridMultilevel"/>
    <w:lvl w:ilvl="0">
      <w:lvlJc w:val="left"/>
      <w:lvlText w:val="(%1)"/>
      <w:numFmt w:val="decimal"/>
      <w:start w:val="21"/>
    </w:lvl>
  </w:abstractNum>
  <w:abstractNum w:abstractNumId="130">
    <w:nsid w:val="6EC9D844"/>
    <w:multiLevelType w:val="hybridMultilevel"/>
    <w:lvl w:ilvl="0">
      <w:lvlJc w:val="left"/>
      <w:lvlText w:val="(%1)"/>
      <w:numFmt w:val="decimal"/>
      <w:start w:val="1"/>
    </w:lvl>
  </w:abstractNum>
  <w:abstractNum w:abstractNumId="131">
    <w:nsid w:val="5C49EAEE"/>
    <w:multiLevelType w:val="hybridMultilevel"/>
    <w:lvl w:ilvl="0">
      <w:lvlJc w:val="left"/>
      <w:lvlText w:val="(%1)"/>
      <w:numFmt w:val="lowerRoman"/>
      <w:start w:val="1"/>
    </w:lvl>
  </w:abstractNum>
  <w:abstractNum w:abstractNumId="132">
    <w:nsid w:val="64AF49B"/>
    <w:multiLevelType w:val="hybridMultilevel"/>
    <w:lvl w:ilvl="0">
      <w:lvlJc w:val="left"/>
      <w:lvlText w:val="(%1)"/>
      <w:numFmt w:val="lowerRoman"/>
      <w:start w:val="4"/>
    </w:lvl>
  </w:abstractNum>
  <w:abstractNum w:abstractNumId="133">
    <w:nsid w:val="397C46BC"/>
    <w:multiLevelType w:val="hybridMultilevel"/>
    <w:lvl w:ilvl="0">
      <w:lvlJc w:val="left"/>
      <w:lvlText w:val="(%1)"/>
      <w:numFmt w:val="lowerRoman"/>
      <w:start w:val="1"/>
    </w:lvl>
  </w:abstractNum>
  <w:abstractNum w:abstractNumId="134">
    <w:nsid w:val="7E448DE9"/>
    <w:multiLevelType w:val="hybridMultilevel"/>
    <w:lvl w:ilvl="0">
      <w:lvlJc w:val="left"/>
      <w:lvlText w:val="(%1)"/>
      <w:numFmt w:val="lowerRoman"/>
      <w:start w:val="1"/>
    </w:lvl>
  </w:abstractNum>
  <w:abstractNum w:abstractNumId="135">
    <w:nsid w:val="5A9CC3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6">
    <w:nsid w:val="1AFE3625"/>
    <w:multiLevelType w:val="hybridMultilevel"/>
    <w:lvl w:ilvl="0">
      <w:lvlJc w:val="left"/>
      <w:lvlText w:val="•"/>
      <w:numFmt w:val="bullet"/>
      <w:start w:val="1"/>
    </w:lvl>
    <w:lvl w:ilvl="1">
      <w:lvlJc w:val="left"/>
      <w:lvlText w:val="•"/>
      <w:numFmt w:val="bullet"/>
      <w:start w:val="1"/>
    </w:lvl>
  </w:abstractNum>
  <w:abstractNum w:abstractNumId="137">
    <w:nsid w:val="3CA88ECF"/>
    <w:multiLevelType w:val="hybridMultilevel"/>
    <w:lvl w:ilvl="0">
      <w:lvlJc w:val="left"/>
      <w:lvlText w:val="(%1)"/>
      <w:numFmt w:val="decimal"/>
      <w:start w:val="1"/>
    </w:lvl>
  </w:abstractNum>
  <w:abstractNum w:abstractNumId="138">
    <w:nsid w:val="6EBE4208"/>
    <w:multiLevelType w:val="hybridMultilevel"/>
    <w:lvl w:ilvl="0">
      <w:lvlJc w:val="left"/>
      <w:lvlText w:val="(%1)"/>
      <w:numFmt w:val="decimal"/>
      <w:start w:val="3"/>
    </w:lvl>
  </w:abstractNum>
  <w:abstractNum w:abstractNumId="139">
    <w:nsid w:val="C058DF5"/>
    <w:multiLevelType w:val="hybridMultilevel"/>
    <w:lvl w:ilvl="0">
      <w:lvlJc w:val="left"/>
      <w:lvlText w:val="(%1)"/>
      <w:numFmt w:val="decimal"/>
      <w:start w:val="8"/>
    </w:lvl>
  </w:abstractNum>
  <w:abstractNum w:abstractNumId="140">
    <w:nsid w:val="CBE5BE9"/>
    <w:multiLevelType w:val="hybridMultilevel"/>
    <w:lvl w:ilvl="0">
      <w:lvlJc w:val="left"/>
      <w:lvlText w:val="(%1)"/>
      <w:numFmt w:val="lowerRoman"/>
      <w:start w:val="1"/>
    </w:lvl>
  </w:abstractNum>
  <w:abstractNum w:abstractNumId="141">
    <w:nsid w:val="3102BBE2"/>
    <w:multiLevelType w:val="hybridMultilevel"/>
    <w:lvl w:ilvl="0">
      <w:lvlJc w:val="left"/>
      <w:lvlText w:val="(%1)"/>
      <w:numFmt w:val="lowerRoman"/>
      <w:start w:val="4"/>
    </w:lvl>
  </w:abstractNum>
  <w:abstractNum w:abstractNumId="142">
    <w:nsid w:val="26A02C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3">
    <w:nsid w:val="541C815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67906F60"/>
    <w:multiLevelType w:val="hybridMultilevel"/>
    <w:lvl w:ilvl="0">
      <w:lvlJc w:val="left"/>
      <w:lvlText w:val="(%1)"/>
      <w:numFmt w:val="decimal"/>
      <w:start w:val="1"/>
    </w:lvl>
  </w:abstractNum>
  <w:abstractNum w:abstractNumId="145">
    <w:nsid w:val="10DB9DAA"/>
    <w:multiLevelType w:val="hybridMultilevel"/>
    <w:lvl w:ilvl="0">
      <w:lvlJc w:val="left"/>
      <w:lvlText w:val="(%1)"/>
      <w:numFmt w:val="decimal"/>
      <w:start w:val="2"/>
    </w:lvl>
  </w:abstractNum>
  <w:abstractNum w:abstractNumId="146">
    <w:nsid w:val="697D2D2"/>
    <w:multiLevelType w:val="hybridMultilevel"/>
    <w:lvl w:ilvl="0">
      <w:lvlJc w:val="left"/>
      <w:lvlText w:val="(%1)"/>
      <w:numFmt w:val="decimal"/>
      <w:start w:val="7"/>
    </w:lvl>
  </w:abstractNum>
  <w:abstractNum w:abstractNumId="147">
    <w:nsid w:val="6D68AB2"/>
    <w:multiLevelType w:val="hybridMultilevel"/>
    <w:lvl w:ilvl="0">
      <w:lvlJc w:val="left"/>
      <w:lvlText w:val="(%1)"/>
      <w:numFmt w:val="lowerRoman"/>
      <w:start w:val="1"/>
    </w:lvl>
  </w:abstractNum>
  <w:abstractNum w:abstractNumId="148">
    <w:nsid w:val="3A966C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9">
    <w:nsid w:val="63F37E85"/>
    <w:multiLevelType w:val="hybridMultilevel"/>
    <w:lvl w:ilvl="0">
      <w:lvlJc w:val="left"/>
      <w:lvlText w:val="(%1)"/>
      <w:numFmt w:val="decimal"/>
      <w:start w:val="1"/>
    </w:lvl>
  </w:abstractNum>
  <w:abstractNum w:abstractNumId="150">
    <w:nsid w:val="5895F5FA"/>
    <w:multiLevelType w:val="hybridMultilevel"/>
    <w:lvl w:ilvl="0">
      <w:lvlJc w:val="left"/>
      <w:lvlText w:val="(%1)"/>
      <w:numFmt w:val="decimal"/>
      <w:start w:val="5"/>
    </w:lvl>
  </w:abstractNum>
  <w:abstractNum w:abstractNumId="151">
    <w:nsid w:val="38A5D054"/>
    <w:multiLevelType w:val="hybridMultilevel"/>
    <w:lvl w:ilvl="0">
      <w:lvlJc w:val="left"/>
      <w:lvlText w:val="(%1)"/>
      <w:numFmt w:val="lowerLetter"/>
      <w:start w:val="25"/>
    </w:lvl>
  </w:abstractNum>
  <w:abstractNum w:abstractNumId="152">
    <w:nsid w:val="F3F09D8"/>
    <w:multiLevelType w:val="hybridMultilevel"/>
    <w:lvl w:ilvl="0">
      <w:lvlJc w:val="left"/>
      <w:lvlText w:val="(%1)"/>
      <w:numFmt w:val="lowerRoman"/>
      <w:start w:val="1"/>
    </w:lvl>
  </w:abstractNum>
  <w:abstractNum w:abstractNumId="153">
    <w:nsid w:val="4B793735"/>
    <w:multiLevelType w:val="hybridMultilevel"/>
    <w:lvl w:ilvl="0">
      <w:lvlJc w:val="left"/>
      <w:lvlText w:val="(%1)"/>
      <w:numFmt w:val="lowerRoman"/>
      <w:start w:val="4"/>
    </w:lvl>
  </w:abstractNum>
  <w:abstractNum w:abstractNumId="154">
    <w:nsid w:val="4A10B4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5">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6">
    <w:nsid w:val="4C2A7166"/>
    <w:multiLevelType w:val="hybridMultilevel"/>
    <w:lvl w:ilvl="0">
      <w:lvlJc w:val="left"/>
      <w:lvlText w:val="(%1)"/>
      <w:numFmt w:val="decimal"/>
      <w:start w:val="1"/>
    </w:lvl>
  </w:abstractNum>
  <w:abstractNum w:abstractNumId="157">
    <w:nsid w:val="2E534A82"/>
    <w:multiLevelType w:val="hybridMultilevel"/>
    <w:lvl w:ilvl="0">
      <w:lvlJc w:val="left"/>
      <w:lvlText w:val="(%1)"/>
      <w:numFmt w:val="decimal"/>
      <w:start w:val="2"/>
    </w:lvl>
  </w:abstractNum>
  <w:abstractNum w:abstractNumId="158">
    <w:nsid w:val="26F2D364"/>
    <w:multiLevelType w:val="hybridMultilevel"/>
    <w:lvl w:ilvl="0">
      <w:lvlJc w:val="left"/>
      <w:lvlText w:val="(%1)"/>
      <w:numFmt w:val="decimal"/>
      <w:start w:val="8"/>
    </w:lvl>
  </w:abstractNum>
  <w:abstractNum w:abstractNumId="159">
    <w:nsid w:val="71C1AF98"/>
    <w:multiLevelType w:val="hybridMultilevel"/>
    <w:lvl w:ilvl="0">
      <w:lvlJc w:val="left"/>
      <w:lvlText w:val="(%1)"/>
      <w:numFmt w:val="lowerRoman"/>
      <w:start w:val="1"/>
    </w:lvl>
  </w:abstractNum>
  <w:abstractNum w:abstractNumId="160">
    <w:nsid w:val="3D00B9D9"/>
    <w:multiLevelType w:val="hybridMultilevel"/>
    <w:lvl w:ilvl="0">
      <w:lvlJc w:val="left"/>
      <w:lvlText w:val="(%1)"/>
      <w:numFmt w:val="lowerRoman"/>
      <w:start w:val="1"/>
    </w:lvl>
  </w:abstractNum>
  <w:abstractNum w:abstractNumId="161">
    <w:nsid w:val="15BCAB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2">
    <w:nsid w:val="4E0B9A87"/>
    <w:multiLevelType w:val="hybridMultilevel"/>
    <w:lvl w:ilvl="0">
      <w:lvlJc w:val="left"/>
      <w:lvlText w:val="•"/>
      <w:numFmt w:val="bullet"/>
      <w:start w:val="1"/>
    </w:lvl>
    <w:lvl w:ilvl="1">
      <w:lvlJc w:val="left"/>
      <w:lvlText w:val="•"/>
      <w:numFmt w:val="bullet"/>
      <w:start w:val="1"/>
    </w:lvl>
  </w:abstractNum>
  <w:abstractNum w:abstractNumId="163">
    <w:nsid w:val="434BAE75"/>
    <w:multiLevelType w:val="hybridMultilevel"/>
    <w:lvl w:ilvl="0">
      <w:lvlJc w:val="left"/>
      <w:lvlText w:val="(%1)"/>
      <w:numFmt w:val="decimal"/>
      <w:start w:val="1"/>
    </w:lvl>
  </w:abstractNum>
  <w:abstractNum w:abstractNumId="164">
    <w:nsid w:val="4F38F265"/>
    <w:multiLevelType w:val="hybridMultilevel"/>
    <w:lvl w:ilvl="0">
      <w:lvlJc w:val="left"/>
      <w:lvlText w:val="(%1)"/>
      <w:numFmt w:val="decimal"/>
      <w:start w:val="3"/>
    </w:lvl>
    <w:lvl w:ilvl="1">
      <w:lvlJc w:val="left"/>
      <w:lvlText w:val="(%2)"/>
      <w:numFmt w:val="upperLetter"/>
      <w:start w:val="1"/>
    </w:lvl>
  </w:abstractNum>
  <w:abstractNum w:abstractNumId="165">
    <w:nsid w:val="4C502870"/>
    <w:multiLevelType w:val="hybridMultilevel"/>
    <w:lvl w:ilvl="0">
      <w:lvlJc w:val="left"/>
      <w:lvlText w:val="%1"/>
      <w:numFmt w:val="decimal"/>
      <w:start w:val="1"/>
    </w:lvl>
    <w:lvl w:ilvl="1">
      <w:lvlJc w:val="left"/>
      <w:lvlText w:val="(%2)"/>
      <w:numFmt w:val="upperLetter"/>
      <w:start w:val="2"/>
    </w:lvl>
  </w:abstractNum>
  <w:abstractNum w:abstractNumId="166">
    <w:nsid w:val="1DE8725A"/>
    <w:multiLevelType w:val="hybridMultilevel"/>
    <w:lvl w:ilvl="0">
      <w:lvlJc w:val="left"/>
      <w:lvlText w:val="(%1)"/>
      <w:numFmt w:val="decimal"/>
      <w:start w:val="9"/>
    </w:lvl>
  </w:abstractNum>
  <w:abstractNum w:abstractNumId="167">
    <w:nsid w:val="6A37288A"/>
    <w:multiLevelType w:val="hybridMultilevel"/>
    <w:lvl w:ilvl="0">
      <w:lvlJc w:val="left"/>
      <w:lvlText w:val="(%1)"/>
      <w:numFmt w:val="decimal"/>
      <w:start w:val="1"/>
    </w:lvl>
  </w:abstractNum>
  <w:abstractNum w:abstractNumId="168">
    <w:nsid w:val="8F8B73F"/>
    <w:multiLevelType w:val="hybridMultilevel"/>
    <w:lvl w:ilvl="0">
      <w:lvlJc w:val="left"/>
      <w:lvlText w:val="•"/>
      <w:numFmt w:val="bullet"/>
      <w:start w:val="1"/>
    </w:lvl>
  </w:abstractNum>
  <w:abstractNum w:abstractNumId="169">
    <w:nsid w:val="CA6B462"/>
    <w:multiLevelType w:val="hybridMultilevel"/>
    <w:lvl w:ilvl="0">
      <w:lvlJc w:val="left"/>
      <w:lvlText w:val="•"/>
      <w:numFmt w:val="bullet"/>
      <w:start w:val="1"/>
    </w:lvl>
    <w:lvl w:ilvl="1">
      <w:lvlJc w:val="left"/>
      <w:lvlText w:val="o"/>
      <w:numFmt w:val="bullet"/>
      <w:start w:val="1"/>
    </w:lvl>
  </w:abstractNum>
  <w:abstractNum w:abstractNumId="170">
    <w:nsid w:val="763CB680"/>
    <w:multiLevelType w:val="hybridMultilevel"/>
    <w:lvl w:ilvl="0">
      <w:lvlJc w:val="left"/>
      <w:lvlText w:val="*"/>
      <w:numFmt w:val="bullet"/>
      <w:start w:val="1"/>
    </w:lvl>
  </w:abstractNum>
  <w:abstractNum w:abstractNumId="171">
    <w:nsid w:val="15B71329"/>
    <w:multiLevelType w:val="hybridMultilevel"/>
    <w:lvl w:ilvl="0">
      <w:lvlJc w:val="left"/>
      <w:lvlText w:val="(%1)"/>
      <w:numFmt w:val="decimal"/>
      <w:start w:val="1"/>
    </w:lvl>
  </w:abstractNum>
  <w:abstractNum w:abstractNumId="172">
    <w:nsid w:val="3DA97044"/>
    <w:multiLevelType w:val="hybridMultilevel"/>
    <w:lvl w:ilvl="0">
      <w:lvlJc w:val="left"/>
      <w:lvlText w:val="(%1)"/>
      <w:numFmt w:val="decimal"/>
      <w:start w:val="2"/>
    </w:lvl>
  </w:abstractNum>
  <w:abstractNum w:abstractNumId="173">
    <w:nsid w:val="1CDCE2DE"/>
    <w:multiLevelType w:val="hybridMultilevel"/>
    <w:lvl w:ilvl="0">
      <w:lvlJc w:val="left"/>
      <w:lvlText w:val="%1)"/>
      <w:numFmt w:val="decimal"/>
      <w:start w:val="1"/>
    </w:lvl>
  </w:abstractNum>
  <w:abstractNum w:abstractNumId="174">
    <w:nsid w:val="69D3947C"/>
    <w:multiLevelType w:val="hybridMultilevel"/>
    <w:lvl w:ilvl="0">
      <w:lvlJc w:val="left"/>
      <w:lvlText w:val="%1)"/>
      <w:numFmt w:val="decimal"/>
      <w:start w:val="6"/>
    </w:lvl>
  </w:abstractNum>
  <w:abstractNum w:abstractNumId="175">
    <w:nsid w:val="2539DFA5"/>
    <w:multiLevelType w:val="hybridMultilevel"/>
    <w:lvl w:ilvl="0">
      <w:lvlJc w:val="left"/>
      <w:lvlText w:val="•"/>
      <w:numFmt w:val="bullet"/>
      <w:start w:val="1"/>
    </w:lvl>
  </w:abstractNum>
  <w:abstractNum w:abstractNumId="176">
    <w:nsid w:val="2DB88089"/>
    <w:multiLevelType w:val="hybridMultilevel"/>
    <w:lvl w:ilvl="0">
      <w:lvlJc w:val="left"/>
      <w:lvlText w:val="•"/>
      <w:numFmt w:val="bullet"/>
      <w:start w:val="1"/>
    </w:lvl>
  </w:abstractNum>
  <w:abstractNum w:abstractNumId="177">
    <w:nsid w:val="706B674E"/>
    <w:multiLevelType w:val="hybridMultilevel"/>
    <w:lvl w:ilvl="0">
      <w:lvlJc w:val="left"/>
      <w:lvlText w:val="(%1)"/>
      <w:numFmt w:val="lowerRoman"/>
      <w:start w:val="1"/>
    </w:lvl>
  </w:abstractNum>
  <w:abstractNum w:abstractNumId="178">
    <w:nsid w:val="2C106A57"/>
    <w:multiLevelType w:val="hybridMultilevel"/>
    <w:lvl w:ilvl="0">
      <w:lvlJc w:val="left"/>
      <w:lvlText w:val="•"/>
      <w:numFmt w:val="bullet"/>
      <w:start w:val="1"/>
    </w:lvl>
  </w:abstractNum>
  <w:abstractNum w:abstractNumId="179">
    <w:nsid w:val="684EED59"/>
    <w:multiLevelType w:val="hybridMultilevel"/>
    <w:lvl w:ilvl="0">
      <w:lvlJc w:val="left"/>
      <w:lvlText w:val="•"/>
      <w:numFmt w:val="bullet"/>
      <w:start w:val="1"/>
    </w:lvl>
  </w:abstractNum>
  <w:abstractNum w:abstractNumId="180">
    <w:nsid w:val="545EE5D3"/>
    <w:multiLevelType w:val="hybridMultilevel"/>
    <w:lvl w:ilvl="0">
      <w:lvlJc w:val="left"/>
      <w:lvlText w:val="•"/>
      <w:numFmt w:val="bullet"/>
      <w:start w:val="1"/>
    </w:lvl>
  </w:abstractNum>
  <w:abstractNum w:abstractNumId="181">
    <w:nsid w:val="4A66051"/>
    <w:multiLevelType w:val="hybridMultilevel"/>
    <w:lvl w:ilvl="0">
      <w:lvlJc w:val="left"/>
      <w:lvlText w:val="•"/>
      <w:numFmt w:val="bullet"/>
      <w:start w:val="1"/>
    </w:lvl>
  </w:abstractNum>
  <w:abstractNum w:abstractNumId="182">
    <w:nsid w:val="20F4BDAD"/>
    <w:multiLevelType w:val="hybridMultilevel"/>
    <w:lvl w:ilvl="0">
      <w:lvlJc w:val="left"/>
      <w:lvlText w:val="•"/>
      <w:numFmt w:val="bullet"/>
      <w:start w:val="1"/>
    </w:lvl>
  </w:abstractNum>
  <w:abstractNum w:abstractNumId="183">
    <w:nsid w:val="639DEFAC"/>
    <w:multiLevelType w:val="hybridMultilevel"/>
    <w:lvl w:ilvl="0">
      <w:lvlJc w:val="left"/>
      <w:lvlText w:val="•"/>
      <w:numFmt w:val="bullet"/>
      <w:start w:val="1"/>
    </w:lvl>
  </w:abstractNum>
  <w:abstractNum w:abstractNumId="184">
    <w:nsid w:val="501F9786"/>
    <w:multiLevelType w:val="hybridMultilevel"/>
    <w:lvl w:ilvl="0">
      <w:lvlJc w:val="left"/>
      <w:lvlText w:val="•"/>
      <w:numFmt w:val="bullet"/>
      <w:start w:val="1"/>
    </w:lvl>
  </w:abstractNum>
  <w:abstractNum w:abstractNumId="185">
    <w:nsid w:val="6B057295"/>
    <w:multiLevelType w:val="hybridMultilevel"/>
    <w:lvl w:ilvl="0">
      <w:lvlJc w:val="left"/>
      <w:lvlText w:val="(%1)"/>
      <w:numFmt w:val="lowerLetter"/>
      <w:start w:val="1"/>
    </w:lvl>
  </w:abstractNum>
  <w:abstractNum w:abstractNumId="186">
    <w:nsid w:val="2771AC80"/>
    <w:multiLevelType w:val="hybridMultilevel"/>
    <w:lvl w:ilvl="0">
      <w:lvlJc w:val="left"/>
      <w:lvlText w:val="(%1)"/>
      <w:numFmt w:val="lowerLetter"/>
      <w:start w:val="1"/>
    </w:lvl>
  </w:abstractNum>
  <w:abstractNum w:abstractNumId="187">
    <w:nsid w:val="1C4A08EC"/>
    <w:multiLevelType w:val="hybridMultilevel"/>
    <w:lvl w:ilvl="0">
      <w:lvlJc w:val="left"/>
      <w:lvlText w:val="(%1)"/>
      <w:numFmt w:val="lowerLetter"/>
      <w:start w:val="2"/>
    </w:lvl>
  </w:abstractNum>
  <w:abstractNum w:abstractNumId="188">
    <w:nsid w:val="1958BD17"/>
    <w:multiLevelType w:val="hybridMultilevel"/>
    <w:lvl w:ilvl="0">
      <w:lvlJc w:val="left"/>
      <w:lvlText w:val="(%1)"/>
      <w:numFmt w:val="lowerRoman"/>
      <w:start w:val="1"/>
    </w:lvl>
  </w:abstractNum>
  <w:abstractNum w:abstractNumId="189">
    <w:nsid w:val="4E647FE4"/>
    <w:multiLevelType w:val="hybridMultilevel"/>
    <w:lvl w:ilvl="0">
      <w:lvlJc w:val="left"/>
      <w:lvlText w:val="(%1)"/>
      <w:numFmt w:val="lowerLetter"/>
      <w:start w:val="1"/>
    </w:lvl>
  </w:abstractNum>
  <w:abstractNum w:abstractNumId="190">
    <w:nsid w:val="E0BB885"/>
    <w:multiLevelType w:val="hybridMultilevel"/>
    <w:lvl w:ilvl="0">
      <w:lvlJc w:val="left"/>
      <w:lvlText w:val="(%1)"/>
      <w:numFmt w:val="lowerLetter"/>
      <w:start w:val="1"/>
    </w:lvl>
  </w:abstractNum>
  <w:abstractNum w:abstractNumId="191">
    <w:nsid w:val="565976F1"/>
    <w:multiLevelType w:val="hybridMultilevel"/>
    <w:lvl w:ilvl="0">
      <w:lvlJc w:val="left"/>
      <w:lvlText w:val="%1."/>
      <w:numFmt w:val="decimal"/>
      <w:start w:val="1"/>
    </w:lvl>
  </w:abstractNum>
  <w:abstractNum w:abstractNumId="192">
    <w:nsid w:val="64212B8C"/>
    <w:multiLevelType w:val="hybridMultilevel"/>
    <w:lvl w:ilvl="0">
      <w:lvlJc w:val="left"/>
      <w:lvlText w:val="%1."/>
      <w:numFmt w:val="decimal"/>
      <w:start w:val="2"/>
    </w:lvl>
  </w:abstractNum>
  <w:abstractNum w:abstractNumId="193">
    <w:nsid w:val="5C17530C"/>
    <w:multiLevelType w:val="hybridMultilevel"/>
    <w:lvl w:ilvl="0">
      <w:lvlJc w:val="left"/>
      <w:lvlText w:val="%1."/>
      <w:numFmt w:val="decimal"/>
      <w:start w:val="3"/>
    </w:lvl>
  </w:abstractNum>
  <w:abstractNum w:abstractNumId="194">
    <w:nsid w:val="19A52566"/>
    <w:multiLevelType w:val="hybridMultilevel"/>
    <w:lvl w:ilvl="0">
      <w:lvlJc w:val="left"/>
      <w:lvlText w:val="(%1)"/>
      <w:numFmt w:val="decimal"/>
      <w:start w:val="1"/>
    </w:lvl>
  </w:abstractNum>
  <w:abstractNum w:abstractNumId="195">
    <w:nsid w:val="335A1DF1"/>
    <w:multiLevelType w:val="hybridMultilevel"/>
    <w:lvl w:ilvl="0">
      <w:lvlJc w:val="left"/>
      <w:lvlText w:val="%1."/>
      <w:numFmt w:val="decimal"/>
      <w:start w:val="4"/>
    </w:lvl>
  </w:abstractNum>
  <w:abstractNum w:abstractNumId="196">
    <w:nsid w:val="28677B7C"/>
    <w:multiLevelType w:val="hybridMultilevel"/>
    <w:lvl w:ilvl="0">
      <w:lvlJc w:val="left"/>
      <w:lvlText w:val="%1."/>
      <w:numFmt w:val="decimal"/>
      <w:start w:val="5"/>
    </w:lvl>
  </w:abstractNum>
  <w:abstractNum w:abstractNumId="197">
    <w:nsid w:val="378D97C0"/>
    <w:multiLevelType w:val="hybridMultilevel"/>
    <w:lvl w:ilvl="0">
      <w:lvlJc w:val="left"/>
      <w:lvlText w:val="(%1)"/>
      <w:numFmt w:val="decimal"/>
      <w:start w:val="1"/>
    </w:lvl>
  </w:abstractNum>
  <w:abstractNum w:abstractNumId="198">
    <w:nsid w:val="1D91467C"/>
    <w:multiLevelType w:val="hybridMultilevel"/>
    <w:lvl w:ilvl="0">
      <w:lvlJc w:val="left"/>
      <w:lvlText w:val="%1."/>
      <w:numFmt w:val="decimal"/>
      <w:start w:val="6"/>
    </w:lvl>
  </w:abstractNum>
  <w:abstractNum w:abstractNumId="199">
    <w:nsid w:val="316032BB"/>
    <w:multiLevelType w:val="hybridMultilevel"/>
    <w:lvl w:ilvl="0">
      <w:lvlJc w:val="left"/>
      <w:lvlText w:val="•"/>
      <w:numFmt w:val="bullet"/>
      <w:start w:val="1"/>
    </w:lvl>
  </w:abstractNum>
  <w:abstractNum w:abstractNumId="200">
    <w:nsid w:val="44344C22"/>
    <w:multiLevelType w:val="hybridMultilevel"/>
    <w:lvl w:ilvl="0">
      <w:lvlJc w:val="left"/>
      <w:lvlText w:val="%1."/>
      <w:numFmt w:val="decimal"/>
      <w:start w:val="7"/>
    </w:lvl>
  </w:abstractNum>
  <w:abstractNum w:abstractNumId="201">
    <w:nsid w:val="13CDFCFC"/>
    <w:multiLevelType w:val="hybridMultilevel"/>
    <w:lvl w:ilvl="0">
      <w:lvlJc w:val="left"/>
      <w:lvlText w:val="%1."/>
      <w:numFmt w:val="decimal"/>
      <w:start w:val="8"/>
    </w:lvl>
  </w:abstractNum>
  <w:abstractNum w:abstractNumId="202">
    <w:nsid w:val="471745E4"/>
    <w:multiLevelType w:val="hybridMultilevel"/>
    <w:lvl w:ilvl="0">
      <w:lvlJc w:val="left"/>
      <w:lvlText w:val="(%1)"/>
      <w:numFmt w:val="decimal"/>
      <w:start w:val="1"/>
    </w:lvl>
  </w:abstractNum>
  <w:abstractNum w:abstractNumId="203">
    <w:nsid w:val="1DDBC66"/>
    <w:multiLevelType w:val="hybridMultilevel"/>
    <w:lvl w:ilvl="0">
      <w:lvlJc w:val="left"/>
      <w:lvlText w:val="%1."/>
      <w:numFmt w:val="decimal"/>
      <w:start w:val="9"/>
    </w:lvl>
  </w:abstractNum>
  <w:abstractNum w:abstractNumId="204">
    <w:nsid w:val="30AADFDA"/>
    <w:multiLevelType w:val="hybridMultilevel"/>
    <w:lvl w:ilvl="0">
      <w:lvlJc w:val="left"/>
      <w:lvlText w:val="%1."/>
      <w:numFmt w:val="decimal"/>
      <w:start w:val="10"/>
    </w:lvl>
  </w:abstractNum>
  <w:abstractNum w:abstractNumId="205">
    <w:nsid w:val="30EADA61"/>
    <w:multiLevelType w:val="hybridMultilevel"/>
    <w:lvl w:ilvl="0">
      <w:lvlJc w:val="left"/>
      <w:lvlText w:val="%1."/>
      <w:numFmt w:val="decimal"/>
      <w:start w:val="11"/>
    </w:lvl>
  </w:abstractNum>
  <w:abstractNum w:abstractNumId="206">
    <w:nsid w:val="27179C0B"/>
    <w:multiLevelType w:val="hybridMultilevel"/>
    <w:lvl w:ilvl="0">
      <w:lvlJc w:val="left"/>
      <w:lvlText w:val="%1."/>
      <w:numFmt w:val="decimal"/>
      <w:start w:val="12"/>
    </w:lvl>
  </w:abstractNum>
  <w:abstractNum w:abstractNumId="207">
    <w:nsid w:val="5E636063"/>
    <w:multiLevelType w:val="hybridMultilevel"/>
    <w:lvl w:ilvl="0">
      <w:lvlJc w:val="left"/>
      <w:lvlText w:val="%1."/>
      <w:numFmt w:val="decimal"/>
      <w:start w:val="13"/>
    </w:lvl>
  </w:abstractNum>
  <w:abstractNum w:abstractNumId="208">
    <w:nsid w:val="215641AF"/>
    <w:multiLevelType w:val="hybridMultilevel"/>
    <w:lvl w:ilvl="0">
      <w:lvlJc w:val="left"/>
      <w:lvlText w:val="%1."/>
      <w:numFmt w:val="decimal"/>
      <w:start w:val="14"/>
    </w:lvl>
  </w:abstractNum>
  <w:abstractNum w:abstractNumId="209">
    <w:nsid w:val="53280662"/>
    <w:multiLevelType w:val="hybridMultilevel"/>
    <w:lvl w:ilvl="0">
      <w:lvlJc w:val="left"/>
      <w:lvlText w:val="%1."/>
      <w:numFmt w:val="decimal"/>
      <w:start w:val="1"/>
    </w:lvl>
  </w:abstractNum>
  <w:abstractNum w:abstractNumId="210">
    <w:nsid w:val="46B24DBC"/>
    <w:multiLevelType w:val="hybridMultilevel"/>
    <w:lvl w:ilvl="0">
      <w:lvlJc w:val="left"/>
      <w:lvlText w:val="%1."/>
      <w:numFmt w:val="decimal"/>
      <w:start w:val="2"/>
    </w:lvl>
  </w:abstractNum>
  <w:abstractNum w:abstractNumId="211">
    <w:nsid w:val="75B52783"/>
    <w:multiLevelType w:val="hybridMultilevel"/>
    <w:lvl w:ilvl="0">
      <w:lvlJc w:val="left"/>
      <w:lvlText w:val="%1."/>
      <w:numFmt w:val="decimal"/>
      <w:start w:val="3"/>
    </w:lvl>
  </w:abstractNum>
  <w:abstractNum w:abstractNumId="212">
    <w:nsid w:val="57CE66B4"/>
    <w:multiLevelType w:val="hybridMultilevel"/>
    <w:lvl w:ilvl="0">
      <w:lvlJc w:val="left"/>
      <w:lvlText w:val="(%1)"/>
      <w:numFmt w:val="decimal"/>
      <w:start w:val="1"/>
    </w:lvl>
  </w:abstractNum>
  <w:abstractNum w:abstractNumId="213">
    <w:nsid w:val="67A70B69"/>
    <w:multiLevelType w:val="hybridMultilevel"/>
    <w:lvl w:ilvl="0">
      <w:lvlJc w:val="left"/>
      <w:lvlText w:val="%1."/>
      <w:numFmt w:val="decimal"/>
      <w:start w:val="4"/>
    </w:lvl>
  </w:abstractNum>
  <w:abstractNum w:abstractNumId="214">
    <w:nsid w:val="5953172F"/>
    <w:multiLevelType w:val="hybridMultilevel"/>
    <w:lvl w:ilvl="0">
      <w:lvlJc w:val="left"/>
      <w:lvlText w:val="(%1)"/>
      <w:numFmt w:val="decimal"/>
      <w:start w:val="1"/>
    </w:lvl>
  </w:abstractNum>
  <w:abstractNum w:abstractNumId="215">
    <w:nsid w:val="27EDFE3A"/>
    <w:multiLevelType w:val="hybridMultilevel"/>
    <w:lvl w:ilvl="0">
      <w:lvlJc w:val="left"/>
      <w:lvlText w:val="•"/>
      <w:numFmt w:val="bullet"/>
      <w:start w:val="1"/>
    </w:lvl>
  </w:abstractNum>
  <w:abstractNum w:abstractNumId="216">
    <w:nsid w:val="52AC7DFF"/>
    <w:multiLevelType w:val="hybridMultilevel"/>
    <w:lvl w:ilvl="0">
      <w:lvlJc w:val="left"/>
      <w:lvlText w:val="•"/>
      <w:numFmt w:val="bullet"/>
      <w:start w:val="1"/>
    </w:lvl>
  </w:abstractNum>
  <w:abstractNum w:abstractNumId="217">
    <w:nsid w:val="C4C3AF"/>
    <w:multiLevelType w:val="hybridMultilevel"/>
    <w:lvl w:ilvl="0">
      <w:lvlJc w:val="left"/>
      <w:lvlText w:val="%1."/>
      <w:numFmt w:val="decimal"/>
      <w:start w:val="5"/>
    </w:lvl>
  </w:abstractNum>
  <w:abstractNum w:abstractNumId="218">
    <w:nsid w:val="44380727"/>
    <w:multiLevelType w:val="hybridMultilevel"/>
    <w:lvl w:ilvl="0">
      <w:lvlJc w:val="left"/>
      <w:lvlText w:val="(%1)"/>
      <w:numFmt w:val="decimal"/>
      <w:start w:val="1"/>
    </w:lvl>
  </w:abstractNum>
  <w:abstractNum w:abstractNumId="219">
    <w:nsid w:val="6C053B16"/>
    <w:multiLevelType w:val="hybridMultilevel"/>
    <w:lvl w:ilvl="0">
      <w:lvlJc w:val="left"/>
      <w:lvlText w:val="%1."/>
      <w:numFmt w:val="decimal"/>
      <w:start w:val="6"/>
    </w:lvl>
  </w:abstractNum>
  <w:abstractNum w:abstractNumId="220">
    <w:nsid w:val="4F294393"/>
    <w:multiLevelType w:val="hybridMultilevel"/>
    <w:lvl w:ilvl="0">
      <w:lvlJc w:val="left"/>
      <w:lvlText w:val="•"/>
      <w:numFmt w:val="bullet"/>
      <w:start w:val="1"/>
    </w:lvl>
  </w:abstractNum>
  <w:abstractNum w:abstractNumId="221">
    <w:nsid w:val="5243BFAC"/>
    <w:multiLevelType w:val="hybridMultilevel"/>
    <w:lvl w:ilvl="0">
      <w:lvlJc w:val="left"/>
      <w:lvlText w:val="%1."/>
      <w:numFmt w:val="decimal"/>
      <w:start w:val="7"/>
    </w:lvl>
  </w:abstractNum>
  <w:abstractNum w:abstractNumId="222">
    <w:nsid w:val="425EB207"/>
    <w:multiLevelType w:val="hybridMultilevel"/>
    <w:lvl w:ilvl="0">
      <w:lvlJc w:val="left"/>
      <w:lvlText w:val="%1."/>
      <w:numFmt w:val="decimal"/>
      <w:start w:val="8"/>
    </w:lvl>
  </w:abstractNum>
  <w:abstractNum w:abstractNumId="223">
    <w:nsid w:val="334A6F1F"/>
    <w:multiLevelType w:val="hybridMultilevel"/>
    <w:lvl w:ilvl="0">
      <w:lvlJc w:val="left"/>
      <w:lvlText w:val="%1."/>
      <w:numFmt w:val="decimal"/>
      <w:start w:val="9"/>
    </w:lvl>
  </w:abstractNum>
  <w:abstractNum w:abstractNumId="224">
    <w:nsid w:val="2E5B12B8"/>
    <w:multiLevelType w:val="hybridMultilevel"/>
    <w:lvl w:ilvl="0">
      <w:lvlJc w:val="left"/>
      <w:lvlText w:val="%1."/>
      <w:numFmt w:val="decimal"/>
      <w:start w:val="10"/>
    </w:lvl>
  </w:abstractNum>
  <w:abstractNum w:abstractNumId="225">
    <w:nsid w:val="5C03D76D"/>
    <w:multiLevelType w:val="hybridMultilevel"/>
    <w:lvl w:ilvl="0">
      <w:lvlJc w:val="left"/>
      <w:lvlText w:val="(%1)"/>
      <w:numFmt w:val="decimal"/>
      <w:start w:val="1"/>
    </w:lvl>
  </w:abstractNum>
  <w:abstractNum w:abstractNumId="226">
    <w:nsid w:val="66A48D11"/>
    <w:multiLevelType w:val="hybridMultilevel"/>
    <w:lvl w:ilvl="0">
      <w:lvlJc w:val="left"/>
      <w:lvlText w:val="(%1)"/>
      <w:numFmt w:val="decimal"/>
      <w:start w:val="1"/>
    </w:lvl>
  </w:abstractNum>
  <w:abstractNum w:abstractNumId="227">
    <w:nsid w:val="56C28E34"/>
    <w:multiLevelType w:val="hybridMultilevel"/>
    <w:lvl w:ilvl="0">
      <w:lvlJc w:val="left"/>
      <w:lvlText w:val="%1."/>
      <w:numFmt w:val="decimal"/>
      <w:start w:val="11"/>
    </w:lvl>
  </w:abstractNum>
  <w:abstractNum w:abstractNumId="228">
    <w:nsid w:val="13916F2D"/>
    <w:multiLevelType w:val="hybridMultilevel"/>
    <w:lvl w:ilvl="0">
      <w:lvlJc w:val="left"/>
      <w:lvlText w:val="%1."/>
      <w:numFmt w:val="decimal"/>
      <w:start w:val="12"/>
    </w:lvl>
  </w:abstractNum>
  <w:abstractNum w:abstractNumId="229">
    <w:nsid w:val="435D38D"/>
    <w:multiLevelType w:val="hybridMultilevel"/>
    <w:lvl w:ilvl="0">
      <w:lvlJc w:val="left"/>
      <w:lvlText w:val="%1."/>
      <w:numFmt w:val="decimal"/>
      <w:start w:val="13"/>
    </w:lvl>
  </w:abstractNum>
  <w:abstractNum w:abstractNumId="230">
    <w:nsid w:val="822C0EF"/>
    <w:multiLevelType w:val="hybridMultilevel"/>
    <w:lvl w:ilvl="0">
      <w:lvlJc w:val="left"/>
      <w:lvlText w:val="%1."/>
      <w:numFmt w:val="decimal"/>
      <w:start w:val="14"/>
    </w:lvl>
  </w:abstractNum>
  <w:abstractNum w:abstractNumId="231">
    <w:nsid w:val="57C5BB4F"/>
    <w:multiLevelType w:val="hybridMultilevel"/>
    <w:lvl w:ilvl="0">
      <w:lvlJc w:val="left"/>
      <w:lvlText w:val="(%1)"/>
      <w:numFmt w:val="decimal"/>
      <w:start w:val="1"/>
    </w:lvl>
  </w:abstractNum>
  <w:abstractNum w:abstractNumId="232">
    <w:nsid w:val="1803D089"/>
    <w:multiLevelType w:val="hybridMultilevel"/>
    <w:lvl w:ilvl="0">
      <w:lvlJc w:val="left"/>
      <w:lvlText w:val="(%1)"/>
      <w:numFmt w:val="decimal"/>
      <w:start w:val="1"/>
    </w:lvl>
  </w:abstractNum>
  <w:abstractNum w:abstractNumId="233">
    <w:nsid w:val="4F3A06D4"/>
    <w:multiLevelType w:val="hybridMultilevel"/>
    <w:lvl w:ilvl="0">
      <w:lvlJc w:val="left"/>
      <w:lvlText w:val="(%1)"/>
      <w:numFmt w:val="decimal"/>
      <w:start w:val="1"/>
    </w:lvl>
  </w:abstractNum>
  <w:abstractNum w:abstractNumId="234">
    <w:nsid w:val="59A377B6"/>
    <w:multiLevelType w:val="hybridMultilevel"/>
    <w:lvl w:ilvl="0">
      <w:lvlJc w:val="left"/>
      <w:lvlText w:val="%1."/>
      <w:numFmt w:val="decimal"/>
      <w:start w:val="15"/>
    </w:lvl>
  </w:abstractNum>
  <w:abstractNum w:abstractNumId="235">
    <w:nsid w:val="48AEB063"/>
    <w:multiLevelType w:val="hybridMultilevel"/>
    <w:lvl w:ilvl="0">
      <w:lvlJc w:val="left"/>
      <w:lvlText w:val="%1."/>
      <w:numFmt w:val="decimal"/>
      <w:start w:val="16"/>
    </w:lvl>
  </w:abstractNum>
  <w:abstractNum w:abstractNumId="236">
    <w:nsid w:val="24E135"/>
    <w:multiLevelType w:val="hybridMultilevel"/>
    <w:lvl w:ilvl="0">
      <w:lvlJc w:val="left"/>
      <w:lvlText w:val="%1."/>
      <w:numFmt w:val="decimal"/>
      <w:start w:val="17"/>
    </w:lvl>
  </w:abstractNum>
  <w:abstractNum w:abstractNumId="237">
    <w:nsid w:val="BB13C1"/>
    <w:multiLevelType w:val="hybridMultilevel"/>
    <w:lvl w:ilvl="0">
      <w:lvlJc w:val="left"/>
      <w:lvlText w:val="(%1)"/>
      <w:numFmt w:val="decimal"/>
      <w:start w:val="1"/>
    </w:lvl>
  </w:abstractNum>
  <w:abstractNum w:abstractNumId="238">
    <w:nsid w:val="271210C7"/>
    <w:multiLevelType w:val="hybridMultilevel"/>
    <w:lvl w:ilvl="0">
      <w:lvlJc w:val="left"/>
      <w:lvlText w:val="%1."/>
      <w:numFmt w:val="decimal"/>
      <w:start w:val="18"/>
    </w:lvl>
  </w:abstractNum>
  <w:abstractNum w:abstractNumId="239">
    <w:nsid w:val="217B22E4"/>
    <w:multiLevelType w:val="hybridMultilevel"/>
    <w:lvl w:ilvl="0">
      <w:lvlJc w:val="left"/>
      <w:lvlText w:val="%1."/>
      <w:numFmt w:val="decimal"/>
      <w:start w:val="19"/>
    </w:lvl>
  </w:abstractNum>
  <w:abstractNum w:abstractNumId="240">
    <w:nsid w:val="53E31A24"/>
    <w:multiLevelType w:val="hybridMultilevel"/>
    <w:lvl w:ilvl="0">
      <w:lvlJc w:val="left"/>
      <w:lvlText w:val="%1."/>
      <w:numFmt w:val="decimal"/>
      <w:start w:val="1"/>
    </w:lvl>
  </w:abstractNum>
  <w:abstractNum w:abstractNumId="241">
    <w:nsid w:val="6DC45E83"/>
    <w:multiLevelType w:val="hybridMultilevel"/>
    <w:lvl w:ilvl="0">
      <w:lvlJc w:val="left"/>
      <w:lvlText w:val="%1."/>
      <w:numFmt w:val="decimal"/>
      <w:start w:val="2"/>
    </w:lvl>
  </w:abstractNum>
  <w:abstractNum w:abstractNumId="242">
    <w:nsid w:val="17304A67"/>
    <w:multiLevelType w:val="hybridMultilevel"/>
    <w:lvl w:ilvl="0">
      <w:lvlJc w:val="left"/>
      <w:lvlText w:val="%1."/>
      <w:numFmt w:val="decimal"/>
      <w:start w:val="3"/>
    </w:lvl>
  </w:abstractNum>
  <w:abstractNum w:abstractNumId="243">
    <w:nsid w:val="2BB180D8"/>
    <w:multiLevelType w:val="hybridMultilevel"/>
    <w:lvl w:ilvl="0">
      <w:lvlJc w:val="left"/>
      <w:lvlText w:val="%1."/>
      <w:numFmt w:val="decimal"/>
      <w:start w:val="4"/>
    </w:lvl>
  </w:abstractNum>
  <w:abstractNum w:abstractNumId="244">
    <w:nsid w:val="556B69ED"/>
    <w:multiLevelType w:val="hybridMultilevel"/>
    <w:lvl w:ilvl="0">
      <w:lvlJc w:val="left"/>
      <w:lvlText w:val="(%1)"/>
      <w:numFmt w:val="lowerLetter"/>
      <w:start w:val="2"/>
    </w:lvl>
  </w:abstractNum>
  <w:abstractNum w:abstractNumId="245">
    <w:nsid w:val="70836196"/>
    <w:multiLevelType w:val="hybridMultilevel"/>
    <w:lvl w:ilvl="0">
      <w:lvlJc w:val="left"/>
      <w:lvlText w:val="(%1)"/>
      <w:numFmt w:val="decimal"/>
      <w:start w:val="1"/>
    </w:lvl>
  </w:abstractNum>
  <w:abstractNum w:abstractNumId="246">
    <w:nsid w:val="539F7F12"/>
    <w:multiLevelType w:val="hybridMultilevel"/>
    <w:lvl w:ilvl="0">
      <w:lvlJc w:val="left"/>
      <w:lvlText w:val="(%1)"/>
      <w:numFmt w:val="upperLetter"/>
      <w:start w:val="1"/>
    </w:lvl>
  </w:abstractNum>
  <w:abstractNum w:abstractNumId="247">
    <w:nsid w:val="2817E7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83"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370" Type="http://schemas.openxmlformats.org/officeDocument/2006/relationships/hyperlink" Target="http://www.sec.gov/Archives/edgar/data/1817358/000119312520252290/d934024dex11.htm" TargetMode="External"/><Relationship Id="rId371" Type="http://schemas.openxmlformats.org/officeDocument/2006/relationships/hyperlink" Target="http://www.sec.gov/Archives/edgar/data/0001817358/000119312520242076/d934024dex31.htm" TargetMode="External"/><Relationship Id="rId372" Type="http://schemas.openxmlformats.org/officeDocument/2006/relationships/hyperlink" Target="http://www.sec.gov/Archives/edgar/data/0001817358/000119312520242076/d934024dex32.htm" TargetMode="External"/><Relationship Id="rId373" Type="http://schemas.openxmlformats.org/officeDocument/2006/relationships/hyperlink" Target="http://www.sec.gov/Archives/edgar/data/1817358/000119312520252290/d934024dex41.htm" TargetMode="External"/><Relationship Id="rId374" Type="http://schemas.openxmlformats.org/officeDocument/2006/relationships/hyperlink" Target="http://www.sec.gov/Archives/edgar/data/1817358/000119312520252290/d934024dex51.htm" TargetMode="External"/><Relationship Id="rId375" Type="http://schemas.openxmlformats.org/officeDocument/2006/relationships/hyperlink" Target="http://www.sec.gov/Archives/edgar/data/0001817358/000119312520242076/d934024dex101.htm" TargetMode="External"/><Relationship Id="rId376" Type="http://schemas.openxmlformats.org/officeDocument/2006/relationships/hyperlink" Target="http://www.sec.gov/Archives/edgar/data/0001817358/000119312520242076/d934024dex102.htm" TargetMode="External"/><Relationship Id="rId377" Type="http://schemas.openxmlformats.org/officeDocument/2006/relationships/hyperlink" Target="http://www.sec.gov/Archives/edgar/data/0001817358/000119312520242076/d934024dex103.htm" TargetMode="External"/><Relationship Id="rId378" Type="http://schemas.openxmlformats.org/officeDocument/2006/relationships/hyperlink" Target="http://www.sec.gov/Archives/edgar/data/0001817358/000119312520242076/d934024dex104.htm" TargetMode="External"/><Relationship Id="rId379" Type="http://schemas.openxmlformats.org/officeDocument/2006/relationships/hyperlink" Target="http://www.sec.gov/Archives/edgar/data/0001817358/000119312520242076/d934024dex105.htm" TargetMode="External"/><Relationship Id="rId380" Type="http://schemas.openxmlformats.org/officeDocument/2006/relationships/hyperlink" Target="http://www.sec.gov/Archives/edgar/data/0001817358/000119312520242076/d934024dex106.htm" TargetMode="External"/><Relationship Id="rId381" Type="http://schemas.openxmlformats.org/officeDocument/2006/relationships/hyperlink" Target="http://www.sec.gov/Archives/edgar/data/0001817358/000119312520242076/d934024dex107.htm" TargetMode="External"/><Relationship Id="rId382" Type="http://schemas.openxmlformats.org/officeDocument/2006/relationships/hyperlink" Target="http://www.sec.gov/Archives/edgar/data/0001817358/000119312520242076/d934024dex108.htm" TargetMode="External"/><Relationship Id="rId384" Type="http://schemas.openxmlformats.org/officeDocument/2006/relationships/hyperlink" Target="http://www.sec.gov/Archives/edgar/data/1817358/000119312520252290/d934024dex109.htm" TargetMode="External"/><Relationship Id="rId385" Type="http://schemas.openxmlformats.org/officeDocument/2006/relationships/hyperlink" Target="http://www.sec.gov/Archives/edgar/data/1817358/000119312520252290/d934024dex1010.htm" TargetMode="External"/><Relationship Id="rId386" Type="http://schemas.openxmlformats.org/officeDocument/2006/relationships/hyperlink" Target="http://www.sec.gov/Archives/edgar/data/1817358/000119312520252290/d934024dex1011.htm" TargetMode="External"/><Relationship Id="rId387" Type="http://schemas.openxmlformats.org/officeDocument/2006/relationships/hyperlink" Target="http://www.sec.gov/Archives/edgar/data/1817358/000119312520252290/d934024dex1012.htm" TargetMode="External"/><Relationship Id="rId388" Type="http://schemas.openxmlformats.org/officeDocument/2006/relationships/hyperlink" Target="http://www.sec.gov/Archives/edgar/data/1817358/000119312520242076/d934024dex1013.htm" TargetMode="External"/><Relationship Id="rId389" Type="http://schemas.openxmlformats.org/officeDocument/2006/relationships/hyperlink" Target="http://www.sec.gov/Archives/edgar/data/1817358/000119312520242076/d934024dex1014.htm" TargetMode="External"/><Relationship Id="rId390" Type="http://schemas.openxmlformats.org/officeDocument/2006/relationships/hyperlink" Target="http://www.sec.gov/Archives/edgar/data/1817358/000119312520242076/d934024dex1015.htm" TargetMode="External"/><Relationship Id="rId391" Type="http://schemas.openxmlformats.org/officeDocument/2006/relationships/hyperlink" Target="http://www.sec.gov/Archives/edgar/data/1817358/000119312520242076/d934024dex1016.htm" TargetMode="External"/><Relationship Id="rId392" Type="http://schemas.openxmlformats.org/officeDocument/2006/relationships/hyperlink" Target="http://www.sec.gov/Archives/edgar/data/1817358/000119312520242076/d934024dex1017.htm" TargetMode="External"/><Relationship Id="rId393" Type="http://schemas.openxmlformats.org/officeDocument/2006/relationships/hyperlink" Target="http://www.sec.gov/Archives/edgar/data/1817358/000119312520242076/d934024dex1018.htm" TargetMode="External"/><Relationship Id="rId394" Type="http://schemas.openxmlformats.org/officeDocument/2006/relationships/hyperlink" Target="http://www.sec.gov/Archives/edgar/data/1817358/000119312520242076/d934024dex1019.htm" TargetMode="External"/><Relationship Id="rId395" Type="http://schemas.openxmlformats.org/officeDocument/2006/relationships/hyperlink" Target="http://www.sec.gov/Archives/edgar/data/1817358/000119312520242076/d934024dex1020.htm" TargetMode="External"/><Relationship Id="rId396" Type="http://schemas.openxmlformats.org/officeDocument/2006/relationships/hyperlink" Target="http://www.sec.gov/Archives/edgar/data/1817358/000119312520242076/d934024dex1021.htm" TargetMode="External"/><Relationship Id="rId397" Type="http://schemas.openxmlformats.org/officeDocument/2006/relationships/hyperlink" Target="http://www.sec.gov/Archives/edgar/data/1817358/000119312520242076/d934024dex1022.htm" TargetMode="External"/><Relationship Id="rId398" Type="http://schemas.openxmlformats.org/officeDocument/2006/relationships/hyperlink" Target="http://www.sec.gov/Archives/edgar/data/1817358/000119312520242076/d934024dex1023.htm" TargetMode="External"/><Relationship Id="rId399" Type="http://schemas.openxmlformats.org/officeDocument/2006/relationships/hyperlink" Target="http://www.sec.gov/Archives/edgar/data/1817358/000119312520242076/d934024dex1024.htm" TargetMode="External"/><Relationship Id="rId400" Type="http://schemas.openxmlformats.org/officeDocument/2006/relationships/hyperlink" Target="http://www.sec.gov/Archives/edgar/data/1817358/000119312520242076/d934024dex1025.htm" TargetMode="External"/><Relationship Id="rId401" Type="http://schemas.openxmlformats.org/officeDocument/2006/relationships/hyperlink" Target="http://www.sec.gov/Archives/edgar/data/1817358/000119312520242076/d934024dex1026.htm" TargetMode="External"/><Relationship Id="rId402" Type="http://schemas.openxmlformats.org/officeDocument/2006/relationships/hyperlink" Target="http://www.sec.gov/Archives/edgar/data/1817358/000119312520242076/d934024dex1027.htm" TargetMode="External"/><Relationship Id="rId403" Type="http://schemas.openxmlformats.org/officeDocument/2006/relationships/hyperlink" Target="http://www.sec.gov/Archives/edgar/data/1817358/000119312520242076/d934024dex1028.htm" TargetMode="External"/><Relationship Id="rId404" Type="http://schemas.openxmlformats.org/officeDocument/2006/relationships/hyperlink" Target="http://www.sec.gov/Archives/edgar/data/1817358/000119312520242076/d934024dex1029.htm" TargetMode="External"/><Relationship Id="rId405" Type="http://schemas.openxmlformats.org/officeDocument/2006/relationships/hyperlink" Target="http://www.sec.gov/Archives/edgar/data/1817358/000119312520242076/d934024dex1030.htm" TargetMode="External"/><Relationship Id="rId406" Type="http://schemas.openxmlformats.org/officeDocument/2006/relationships/hyperlink" Target="http://www.sec.gov/Archives/edgar/data/1817358/000119312520242076/d934024dex1031.htm" TargetMode="External"/><Relationship Id="rId407" Type="http://schemas.openxmlformats.org/officeDocument/2006/relationships/hyperlink" Target="http://www.sec.gov/Archives/edgar/data/1817358/000119312520242076/d934024dex1032.htm" TargetMode="External"/><Relationship Id="rId408" Type="http://schemas.openxmlformats.org/officeDocument/2006/relationships/hyperlink" Target="http://www.sec.gov/Archives/edgar/data/1817358/000119312520242076/d934024dex1033.htm" TargetMode="External"/><Relationship Id="rId409" Type="http://schemas.openxmlformats.org/officeDocument/2006/relationships/hyperlink" Target="http://www.sec.gov/Archives/edgar/data/1817358/000119312520252290/d934024dex1034.htm" TargetMode="External"/><Relationship Id="rId410" Type="http://schemas.openxmlformats.org/officeDocument/2006/relationships/hyperlink" Target="http://www.sec.gov/Archives/edgar/data/1817358/000119312520252290/d934024dex1035.htm" TargetMode="External"/><Relationship Id="rId411" Type="http://schemas.openxmlformats.org/officeDocument/2006/relationships/hyperlink" Target="http://www.sec.gov/Archives/edgar/data/1817358/000119312520252290/d934024dex1036.htm" TargetMode="External"/><Relationship Id="rId412" Type="http://schemas.openxmlformats.org/officeDocument/2006/relationships/hyperlink" Target="http://www.sec.gov/Archives/edgar/data/1817358/000119312520252290/d934024dex1037.htm" TargetMode="External"/><Relationship Id="rId413" Type="http://schemas.openxmlformats.org/officeDocument/2006/relationships/hyperlink" Target="http://www.sec.gov/Archives/edgar/data/1817358/000119312520242076/d934024dex211.htm" TargetMode="External"/><Relationship Id="rId414" Type="http://schemas.openxmlformats.org/officeDocument/2006/relationships/hyperlink" Target="http://www.sec.gov/Archives/edgar/data/1817358/000119312520242076/d934024ds1.htm#poa" TargetMode="External"/><Relationship Id="rId415" Type="http://schemas.openxmlformats.org/officeDocument/2006/relationships/hyperlink" Target="http://www.sec.gov/Archives/edgar/data/1817358/000119312520252290/d934024dex991.htm" TargetMode="External"/><Relationship Id="rId416" Type="http://schemas.openxmlformats.org/officeDocument/2006/relationships/hyperlink" Target="http://www.sec.gov/Archives/edgar/data/1817358/000119312520252290/d934024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2020-09-28T14:45:21Z</dcterms:created>
  <dcterms:modified xsi:type="dcterms:W3CDTF">2020-09-28T14:45:21Z</dcterms:modified>
</cp:coreProperties>
</file>