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1402715</wp:posOffset>
            </wp:positionH>
            <wp:positionV relativeFrom="paragraph">
              <wp:posOffset>50800</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jc w:val="center"/>
        <w:ind w:left="4000" w:right="1360" w:hanging="2627"/>
        <w:spacing w:after="0" w:line="281" w:lineRule="auto"/>
        <w:tabs>
          <w:tab w:leader="none" w:pos="156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July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1560" w:hanging="193"/>
        <w:spacing w:after="0"/>
        <w:tabs>
          <w:tab w:leader="none" w:pos="15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3500"/>
        <w:spacing w:after="0"/>
        <w:rPr>
          <w:sz w:val="20"/>
          <w:szCs w:val="20"/>
          <w:color w:val="auto"/>
        </w:rPr>
      </w:pPr>
      <w:r>
        <w:rPr>
          <w:rFonts w:ascii="Arial" w:cs="Arial" w:eastAsia="Arial" w:hAnsi="Arial"/>
          <w:sz w:val="16"/>
          <w:szCs w:val="16"/>
          <w:b w:val="1"/>
          <w:bCs w:val="1"/>
          <w:color w:val="auto"/>
        </w:rPr>
        <w:t>For the transition period from ___________ to ___________</w:t>
      </w:r>
      <w:r>
        <w:rPr>
          <w:rFonts w:ascii="Arial" w:cs="Arial" w:eastAsia="Arial" w:hAnsi="Arial"/>
          <w:sz w:val="16"/>
          <w:szCs w:val="16"/>
          <w:color w:val="auto"/>
        </w:rPr>
        <w:t>.</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No. 001-39589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1402715</wp:posOffset>
            </wp:positionH>
            <wp:positionV relativeFrom="paragraph">
              <wp:posOffset>80645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174625</wp:posOffset>
            </wp:positionV>
            <wp:extent cx="182562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562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Academy Sports and Outdoors,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96" w:lineRule="exact"/>
        <w:rPr>
          <w:sz w:val="24"/>
          <w:szCs w:val="24"/>
          <w:color w:val="auto"/>
        </w:rPr>
      </w:pPr>
    </w:p>
    <w:p>
      <w:pPr>
        <w:ind w:left="1880"/>
        <w:spacing w:after="0"/>
        <w:tabs>
          <w:tab w:leader="none" w:pos="854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85-1800912</w:t>
      </w:r>
    </w:p>
    <w:p>
      <w:pPr>
        <w:spacing w:after="0" w:line="131" w:lineRule="exact"/>
        <w:rPr>
          <w:sz w:val="24"/>
          <w:szCs w:val="24"/>
          <w:color w:val="auto"/>
        </w:rPr>
      </w:pPr>
    </w:p>
    <w:p>
      <w:pPr>
        <w:ind w:left="1260"/>
        <w:spacing w:after="0"/>
        <w:tabs>
          <w:tab w:leader="none" w:pos="8400" w:val="left"/>
        </w:tabs>
        <w:rPr>
          <w:sz w:val="20"/>
          <w:szCs w:val="20"/>
          <w:color w:val="auto"/>
        </w:rPr>
      </w:pPr>
      <w:r>
        <w:rPr>
          <w:rFonts w:ascii="Arial" w:cs="Arial" w:eastAsia="Arial" w:hAnsi="Arial"/>
          <w:sz w:val="16"/>
          <w:szCs w:val="16"/>
          <w:i w:val="1"/>
          <w:iCs w:val="1"/>
          <w:color w:val="auto"/>
        </w:rPr>
        <w:t>(State or other jurisdiction of</w:t>
      </w:r>
      <w:r>
        <w:rPr>
          <w:sz w:val="20"/>
          <w:szCs w:val="20"/>
          <w:color w:val="auto"/>
        </w:rPr>
        <w:tab/>
      </w:r>
      <w:r>
        <w:rPr>
          <w:rFonts w:ascii="Arial" w:cs="Arial" w:eastAsia="Arial" w:hAnsi="Arial"/>
          <w:sz w:val="14"/>
          <w:szCs w:val="14"/>
          <w:i w:val="1"/>
          <w:iCs w:val="1"/>
          <w:color w:val="auto"/>
        </w:rPr>
        <w:t>(I.R.S. Employer</w:t>
      </w:r>
    </w:p>
    <w:p>
      <w:pPr>
        <w:spacing w:after="0" w:line="73" w:lineRule="exact"/>
        <w:rPr>
          <w:sz w:val="24"/>
          <w:szCs w:val="24"/>
          <w:color w:val="auto"/>
        </w:rPr>
      </w:pPr>
    </w:p>
    <w:p>
      <w:pPr>
        <w:ind w:left="1200"/>
        <w:spacing w:after="0"/>
        <w:tabs>
          <w:tab w:leader="none" w:pos="8340" w:val="left"/>
        </w:tabs>
        <w:rPr>
          <w:sz w:val="20"/>
          <w:szCs w:val="20"/>
          <w:color w:val="auto"/>
        </w:rPr>
      </w:pPr>
      <w:r>
        <w:rPr>
          <w:rFonts w:ascii="Arial" w:cs="Arial" w:eastAsia="Arial" w:hAnsi="Arial"/>
          <w:sz w:val="16"/>
          <w:szCs w:val="16"/>
          <w:i w:val="1"/>
          <w:iCs w:val="1"/>
          <w:color w:val="auto"/>
        </w:rPr>
        <w:t>incorporation or organization)</w:t>
      </w:r>
      <w:r>
        <w:rPr>
          <w:sz w:val="20"/>
          <w:szCs w:val="20"/>
          <w:color w:val="auto"/>
        </w:rPr>
        <w:tab/>
      </w:r>
      <w:r>
        <w:rPr>
          <w:rFonts w:ascii="Arial" w:cs="Arial" w:eastAsia="Arial" w:hAnsi="Arial"/>
          <w:sz w:val="15"/>
          <w:szCs w:val="15"/>
          <w:i w:val="1"/>
          <w:iCs w:val="1"/>
          <w:color w:val="auto"/>
        </w:rPr>
        <w:t>Identification No.)</w:t>
      </w:r>
    </w:p>
    <w:p>
      <w:pPr>
        <w:spacing w:after="0" w:line="109" w:lineRule="exact"/>
        <w:rPr>
          <w:sz w:val="24"/>
          <w:szCs w:val="24"/>
          <w:color w:val="auto"/>
        </w:rPr>
      </w:pPr>
    </w:p>
    <w:p>
      <w:pPr>
        <w:ind w:left="4740"/>
        <w:spacing w:after="0"/>
        <w:rPr>
          <w:sz w:val="20"/>
          <w:szCs w:val="20"/>
          <w:color w:val="auto"/>
        </w:rPr>
      </w:pPr>
      <w:r>
        <w:rPr>
          <w:rFonts w:ascii="Arial" w:cs="Arial" w:eastAsia="Arial" w:hAnsi="Arial"/>
          <w:sz w:val="16"/>
          <w:szCs w:val="16"/>
          <w:b w:val="1"/>
          <w:bCs w:val="1"/>
          <w:color w:val="auto"/>
        </w:rPr>
        <w:t>1800 North Mason Road</w:t>
      </w:r>
    </w:p>
    <w:p>
      <w:pPr>
        <w:spacing w:after="0" w:line="46" w:lineRule="exact"/>
        <w:rPr>
          <w:sz w:val="24"/>
          <w:szCs w:val="24"/>
          <w:color w:val="auto"/>
        </w:rPr>
      </w:pPr>
    </w:p>
    <w:p>
      <w:pPr>
        <w:ind w:left="4960"/>
        <w:spacing w:after="0"/>
        <w:rPr>
          <w:sz w:val="20"/>
          <w:szCs w:val="20"/>
          <w:color w:val="auto"/>
        </w:rPr>
      </w:pPr>
      <w:r>
        <w:rPr>
          <w:rFonts w:ascii="Arial" w:cs="Arial" w:eastAsia="Arial" w:hAnsi="Arial"/>
          <w:sz w:val="16"/>
          <w:szCs w:val="16"/>
          <w:b w:val="1"/>
          <w:bCs w:val="1"/>
          <w:color w:val="auto"/>
        </w:rPr>
        <w:t>Katy, Texas 77449</w:t>
      </w:r>
    </w:p>
    <w:p>
      <w:pPr>
        <w:spacing w:after="0" w:line="36" w:lineRule="exact"/>
        <w:rPr>
          <w:sz w:val="24"/>
          <w:szCs w:val="24"/>
          <w:color w:val="auto"/>
        </w:rPr>
      </w:pPr>
    </w:p>
    <w:p>
      <w:pPr>
        <w:ind w:left="3940"/>
        <w:spacing w:after="0"/>
        <w:rPr>
          <w:sz w:val="20"/>
          <w:szCs w:val="20"/>
          <w:color w:val="auto"/>
        </w:rPr>
      </w:pPr>
      <w:r>
        <w:rPr>
          <w:rFonts w:ascii="Arial" w:cs="Arial" w:eastAsia="Arial" w:hAnsi="Arial"/>
          <w:sz w:val="16"/>
          <w:szCs w:val="16"/>
          <w:i w:val="1"/>
          <w:iCs w:val="1"/>
          <w:color w:val="auto"/>
        </w:rPr>
        <w:t>(Address of principal executive offices) (Zip Code)</w:t>
      </w:r>
    </w:p>
    <w:p>
      <w:pPr>
        <w:spacing w:after="0" w:line="123" w:lineRule="exact"/>
        <w:rPr>
          <w:sz w:val="24"/>
          <w:szCs w:val="24"/>
          <w:color w:val="auto"/>
        </w:rPr>
      </w:pPr>
    </w:p>
    <w:p>
      <w:pPr>
        <w:ind w:left="5080"/>
        <w:spacing w:after="0"/>
        <w:rPr>
          <w:sz w:val="20"/>
          <w:szCs w:val="20"/>
          <w:color w:val="auto"/>
        </w:rPr>
      </w:pPr>
      <w:r>
        <w:rPr>
          <w:rFonts w:ascii="Arial" w:cs="Arial" w:eastAsia="Arial" w:hAnsi="Arial"/>
          <w:sz w:val="16"/>
          <w:szCs w:val="16"/>
          <w:b w:val="1"/>
          <w:bCs w:val="1"/>
          <w:color w:val="auto"/>
        </w:rPr>
        <w:t>(281) 646-5200</w:t>
      </w:r>
    </w:p>
    <w:p>
      <w:pPr>
        <w:spacing w:after="0" w:line="36" w:lineRule="exact"/>
        <w:rPr>
          <w:sz w:val="24"/>
          <w:szCs w:val="24"/>
          <w:color w:val="auto"/>
        </w:rPr>
      </w:pPr>
    </w:p>
    <w:p>
      <w:pPr>
        <w:ind w:left="380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123" w:lineRule="exact"/>
        <w:rPr>
          <w:sz w:val="24"/>
          <w:szCs w:val="24"/>
          <w:color w:val="auto"/>
        </w:rPr>
      </w:pPr>
    </w:p>
    <w:p>
      <w:pPr>
        <w:ind w:left="5080"/>
        <w:spacing w:after="0"/>
        <w:rPr>
          <w:sz w:val="20"/>
          <w:szCs w:val="20"/>
          <w:color w:val="auto"/>
        </w:rPr>
      </w:pPr>
      <w:r>
        <w:rPr>
          <w:rFonts w:ascii="Arial" w:cs="Arial" w:eastAsia="Arial" w:hAnsi="Arial"/>
          <w:sz w:val="16"/>
          <w:szCs w:val="16"/>
          <w:b w:val="1"/>
          <w:bCs w:val="1"/>
          <w:color w:val="auto"/>
        </w:rPr>
        <w:t>Not applicable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123" w:lineRule="exact"/>
        <w:rPr>
          <w:sz w:val="24"/>
          <w:szCs w:val="24"/>
          <w:color w:val="auto"/>
        </w:rPr>
      </w:pPr>
    </w:p>
    <w:tbl>
      <w:tblPr>
        <w:tblLayout w:type="fixed"/>
        <w:tblInd w:w="840" w:type="dxa"/>
        <w:tblCellMar>
          <w:top w:w="0" w:type="dxa"/>
          <w:left w:w="0" w:type="dxa"/>
          <w:bottom w:w="0" w:type="dxa"/>
          <w:right w:w="0" w:type="dxa"/>
        </w:tblCellMar>
      </w:tblPr>
      <w:tr>
        <w:trPr>
          <w:trHeight w:val="210"/>
        </w:trPr>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60" w:type="dxa"/>
            <w:vAlign w:val="bottom"/>
            <w:gridSpan w:val="4"/>
          </w:tcPr>
          <w:p>
            <w:pPr>
              <w:jc w:val="center"/>
              <w:ind w:right="277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182"/>
        </w:trPr>
        <w:tc>
          <w:tcPr>
            <w:tcW w:w="780" w:type="dxa"/>
            <w:vAlign w:val="bottom"/>
          </w:tcPr>
          <w:p>
            <w:pPr>
              <w:spacing w:after="0"/>
              <w:rPr>
                <w:sz w:val="15"/>
                <w:szCs w:val="15"/>
                <w:color w:val="auto"/>
              </w:rPr>
            </w:pPr>
          </w:p>
        </w:tc>
        <w:tc>
          <w:tcPr>
            <w:tcW w:w="1960" w:type="dxa"/>
            <w:vAlign w:val="bottom"/>
            <w:gridSpan w:val="2"/>
          </w:tcPr>
          <w:p>
            <w:pPr>
              <w:jc w:val="center"/>
              <w:ind w:right="780"/>
              <w:spacing w:after="0" w:line="181" w:lineRule="exact"/>
              <w:rPr>
                <w:sz w:val="20"/>
                <w:szCs w:val="20"/>
                <w:color w:val="auto"/>
              </w:rPr>
            </w:pPr>
            <w:r>
              <w:rPr>
                <w:rFonts w:ascii="Arial" w:cs="Arial" w:eastAsia="Arial" w:hAnsi="Arial"/>
                <w:sz w:val="16"/>
                <w:szCs w:val="16"/>
                <w:b w:val="1"/>
                <w:bCs w:val="1"/>
                <w:i w:val="1"/>
                <w:iCs w:val="1"/>
                <w:color w:val="auto"/>
                <w:w w:val="85"/>
              </w:rPr>
              <w:t>Title of each class</w:t>
            </w:r>
          </w:p>
        </w:tc>
        <w:tc>
          <w:tcPr>
            <w:tcW w:w="2620" w:type="dxa"/>
            <w:vAlign w:val="bottom"/>
            <w:gridSpan w:val="2"/>
          </w:tcPr>
          <w:p>
            <w:pPr>
              <w:jc w:val="center"/>
              <w:ind w:left="1299"/>
              <w:spacing w:after="0" w:line="181" w:lineRule="exact"/>
              <w:rPr>
                <w:sz w:val="20"/>
                <w:szCs w:val="20"/>
                <w:color w:val="auto"/>
              </w:rPr>
            </w:pPr>
            <w:r>
              <w:rPr>
                <w:rFonts w:ascii="Arial" w:cs="Arial" w:eastAsia="Arial" w:hAnsi="Arial"/>
                <w:sz w:val="16"/>
                <w:szCs w:val="16"/>
                <w:b w:val="1"/>
                <w:bCs w:val="1"/>
                <w:i w:val="1"/>
                <w:iCs w:val="1"/>
                <w:color w:val="auto"/>
                <w:w w:val="88"/>
              </w:rPr>
              <w:t>Trading Symbol(s)</w:t>
            </w:r>
          </w:p>
        </w:tc>
        <w:tc>
          <w:tcPr>
            <w:tcW w:w="4240" w:type="dxa"/>
            <w:vAlign w:val="bottom"/>
            <w:gridSpan w:val="2"/>
          </w:tcPr>
          <w:p>
            <w:pPr>
              <w:jc w:val="center"/>
              <w:ind w:left="1199"/>
              <w:spacing w:after="0" w:line="181" w:lineRule="exact"/>
              <w:rPr>
                <w:sz w:val="20"/>
                <w:szCs w:val="20"/>
                <w:color w:val="auto"/>
              </w:rPr>
            </w:pPr>
            <w:r>
              <w:rPr>
                <w:rFonts w:ascii="Arial" w:cs="Arial" w:eastAsia="Arial" w:hAnsi="Arial"/>
                <w:sz w:val="16"/>
                <w:szCs w:val="16"/>
                <w:b w:val="1"/>
                <w:bCs w:val="1"/>
                <w:i w:val="1"/>
                <w:iCs w:val="1"/>
                <w:color w:val="auto"/>
                <w:w w:val="87"/>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30"/>
        </w:trPr>
        <w:tc>
          <w:tcPr>
            <w:tcW w:w="2740" w:type="dxa"/>
            <w:vAlign w:val="bottom"/>
            <w:gridSpan w:val="3"/>
          </w:tcPr>
          <w:p>
            <w:pPr>
              <w:jc w:val="center"/>
              <w:spacing w:after="0"/>
              <w:rPr>
                <w:sz w:val="20"/>
                <w:szCs w:val="20"/>
                <w:color w:val="auto"/>
              </w:rPr>
            </w:pPr>
            <w:r>
              <w:rPr>
                <w:rFonts w:ascii="Arial" w:cs="Arial" w:eastAsia="Arial" w:hAnsi="Arial"/>
                <w:sz w:val="16"/>
                <w:szCs w:val="16"/>
                <w:color w:val="auto"/>
                <w:w w:val="91"/>
              </w:rPr>
              <w:t>Common Stock, par value $0.01 per share</w:t>
            </w:r>
          </w:p>
        </w:tc>
        <w:tc>
          <w:tcPr>
            <w:tcW w:w="13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4"/>
              </w:rPr>
              <w:t>ASO</w:t>
            </w:r>
          </w:p>
        </w:tc>
        <w:tc>
          <w:tcPr>
            <w:tcW w:w="12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w w:val="91"/>
              </w:rPr>
              <w:t>Nasdaq Global Select Market</w:t>
            </w:r>
          </w:p>
        </w:tc>
      </w:tr>
    </w:tbl>
    <w:p>
      <w:pPr>
        <w:spacing w:after="0" w:line="185"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7" w:lineRule="exact"/>
        <w:rPr>
          <w:sz w:val="24"/>
          <w:szCs w:val="24"/>
          <w:color w:val="auto"/>
        </w:rPr>
      </w:pPr>
    </w:p>
    <w:p>
      <w:pPr>
        <w:ind w:right="180"/>
        <w:spacing w:after="0" w:line="25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0"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220"/>
        <w:spacing w:after="0" w:line="184" w:lineRule="exact"/>
        <w:tabs>
          <w:tab w:leader="none" w:pos="67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50" w:lineRule="exact"/>
        <w:rPr>
          <w:sz w:val="24"/>
          <w:szCs w:val="24"/>
          <w:color w:val="auto"/>
        </w:rPr>
      </w:pPr>
    </w:p>
    <w:p>
      <w:pPr>
        <w:ind w:left="2220"/>
        <w:spacing w:after="0" w:line="184" w:lineRule="exact"/>
        <w:tabs>
          <w:tab w:leader="none" w:pos="6720" w:val="left"/>
        </w:tabs>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32" w:lineRule="exact"/>
        <w:rPr>
          <w:sz w:val="24"/>
          <w:szCs w:val="24"/>
          <w:color w:val="auto"/>
        </w:rPr>
      </w:pPr>
    </w:p>
    <w:p>
      <w:pPr>
        <w:ind w:left="67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6" w:lineRule="exact"/>
        <w:rPr>
          <w:sz w:val="24"/>
          <w:szCs w:val="24"/>
          <w:color w:val="auto"/>
        </w:rPr>
      </w:pPr>
    </w:p>
    <w:p>
      <w:pPr>
        <w:jc w:val="both"/>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color w:val="auto"/>
        </w:rPr>
        <w:t>As of September 1, 2021, Academy Sports and Outdoors, Inc. had 93,496,426 shares of common stock, par value $0.01 per share, outstanding.</w:t>
      </w:r>
    </w:p>
    <w:p>
      <w:pPr>
        <w:sectPr>
          <w:pgSz w:w="11900" w:h="16838" w:orient="portrait"/>
          <w:cols w:equalWidth="0" w:num="1">
            <w:col w:w="11160"/>
          </w:cols>
          <w:pgMar w:left="360" w:top="585" w:right="379" w:bottom="1440" w:gutter="0" w:footer="0" w:header="0"/>
        </w:sect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585" w:right="3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Page</w:t>
            </w: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15"/>
            <w:shd w:val="clear" w:color="auto" w:fill="CCEEFF"/>
          </w:tcPr>
          <w:p>
            <w:pPr>
              <w:spacing w:after="0" w:line="149" w:lineRule="exact"/>
              <w:rPr>
                <w:rFonts w:ascii="Arial" w:cs="Arial" w:eastAsia="Arial" w:hAnsi="Arial"/>
                <w:sz w:val="17"/>
                <w:szCs w:val="17"/>
                <w:color w:val="0000FF"/>
              </w:rPr>
            </w:pPr>
            <w:hyperlink w:anchor="page2">
              <w:r>
                <w:rPr>
                  <w:rFonts w:ascii="Arial" w:cs="Arial" w:eastAsia="Arial" w:hAnsi="Arial"/>
                  <w:sz w:val="17"/>
                  <w:szCs w:val="17"/>
                  <w:color w:val="0000FF"/>
                </w:rPr>
                <w:t>PART I. FINANCIAL INFORMATION</w:t>
              </w:r>
            </w:hyperlink>
          </w:p>
        </w:tc>
        <w:tc>
          <w:tcPr>
            <w:tcW w:w="520" w:type="dxa"/>
            <w:vAlign w:val="bottom"/>
            <w:tcBorders>
              <w:right w:val="single" w:sz="8" w:color="CCEEFF"/>
            </w:tcBorders>
            <w:gridSpan w:val="2"/>
            <w:shd w:val="clear" w:color="auto" w:fill="CCEEFF"/>
          </w:tcPr>
          <w:p>
            <w:pPr>
              <w:jc w:val="center"/>
              <w:ind w:left="230"/>
              <w:spacing w:after="0" w:line="156"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3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10"/>
          </w:tcPr>
          <w:p>
            <w:pPr>
              <w:spacing w:after="0" w:line="183" w:lineRule="exact"/>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7500" w:type="dxa"/>
            <w:vAlign w:val="bottom"/>
            <w:gridSpan w:val="4"/>
          </w:tcPr>
          <w:p>
            <w:pPr>
              <w:spacing w:after="0"/>
              <w:rPr>
                <w:sz w:val="15"/>
                <w:szCs w:val="15"/>
                <w:color w:val="auto"/>
              </w:rPr>
            </w:pPr>
          </w:p>
        </w:tc>
        <w:tc>
          <w:tcPr>
            <w:tcW w:w="520" w:type="dxa"/>
            <w:vAlign w:val="bottom"/>
            <w:gridSpan w:val="2"/>
          </w:tcPr>
          <w:p>
            <w:pPr>
              <w:jc w:val="center"/>
              <w:ind w:left="230"/>
              <w:spacing w:after="0" w:line="183"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0" w:type="dxa"/>
            <w:vAlign w:val="bottom"/>
            <w:gridSpan w:val="13"/>
            <w:shd w:val="clear" w:color="auto" w:fill="CCEEFF"/>
          </w:tcPr>
          <w:p>
            <w:pPr>
              <w:spacing w:after="0" w:line="189" w:lineRule="exact"/>
              <w:rPr>
                <w:rFonts w:ascii="Arial" w:cs="Arial" w:eastAsia="Arial" w:hAnsi="Arial"/>
                <w:sz w:val="18"/>
                <w:szCs w:val="18"/>
                <w:color w:val="0000FF"/>
                <w:w w:val="90"/>
              </w:rPr>
            </w:pPr>
            <w:hyperlink w:anchor="page25">
              <w:r>
                <w:rPr>
                  <w:rFonts w:ascii="Arial" w:cs="Arial" w:eastAsia="Arial" w:hAnsi="Arial"/>
                  <w:sz w:val="18"/>
                  <w:szCs w:val="18"/>
                  <w:color w:val="0000FF"/>
                  <w:w w:val="90"/>
                </w:rPr>
                <w:t>Item 2. Management's Discussion and Analysis of Financial Condition and Results of Operations</w:t>
              </w:r>
            </w:hyperlink>
          </w:p>
        </w:tc>
        <w:tc>
          <w:tcPr>
            <w:tcW w:w="316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26</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0" w:type="dxa"/>
            <w:vAlign w:val="bottom"/>
            <w:gridSpan w:val="13"/>
          </w:tcPr>
          <w:p>
            <w:pPr>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Item 3. Quantitative and Qualitative Disclosures About Market Risk</w:t>
              </w:r>
            </w:hyperlink>
          </w:p>
        </w:tc>
        <w:tc>
          <w:tcPr>
            <w:tcW w:w="3160" w:type="dxa"/>
            <w:vAlign w:val="bottom"/>
          </w:tcPr>
          <w:p>
            <w:pPr>
              <w:spacing w:after="0"/>
              <w:rPr>
                <w:sz w:val="16"/>
                <w:szCs w:val="16"/>
                <w:color w:val="auto"/>
              </w:rPr>
            </w:pPr>
          </w:p>
        </w:tc>
        <w:tc>
          <w:tcPr>
            <w:tcW w:w="840" w:type="dxa"/>
            <w:vAlign w:val="bottom"/>
            <w:gridSpan w:val="3"/>
          </w:tcPr>
          <w:p>
            <w:pPr>
              <w:jc w:val="center"/>
              <w:spacing w:after="0" w:line="189"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46</w:t>
              </w:r>
            </w:hyperlink>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4"/>
            <w:shd w:val="clear" w:color="auto" w:fill="CCEEFF"/>
          </w:tcPr>
          <w:p>
            <w:pPr>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Item 4. Controls and Procedures</w:t>
              </w:r>
            </w:hyperlink>
          </w:p>
        </w:tc>
        <w:tc>
          <w:tcPr>
            <w:tcW w:w="840" w:type="dxa"/>
            <w:vAlign w:val="bottom"/>
            <w:gridSpan w:val="3"/>
            <w:shd w:val="clear" w:color="auto" w:fill="CCEEFF"/>
          </w:tcPr>
          <w:p>
            <w:pPr>
              <w:jc w:val="center"/>
              <w:spacing w:after="0" w:line="189"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46</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5"/>
          </w:tcPr>
          <w:p>
            <w:pPr>
              <w:spacing w:after="0" w:line="189" w:lineRule="exact"/>
              <w:rPr>
                <w:rFonts w:ascii="Arial" w:cs="Arial" w:eastAsia="Arial" w:hAnsi="Arial"/>
                <w:sz w:val="18"/>
                <w:szCs w:val="18"/>
                <w:color w:val="0000FF"/>
              </w:rPr>
            </w:pPr>
            <w:hyperlink w:anchor="page47">
              <w:r>
                <w:rPr>
                  <w:rFonts w:ascii="Arial" w:cs="Arial" w:eastAsia="Arial" w:hAnsi="Arial"/>
                  <w:sz w:val="18"/>
                  <w:szCs w:val="18"/>
                  <w:color w:val="0000FF"/>
                </w:rPr>
                <w:t>PART II. OTHER INFORMATION</w:t>
              </w:r>
            </w:hyperlink>
          </w:p>
        </w:tc>
        <w:tc>
          <w:tcPr>
            <w:tcW w:w="840" w:type="dxa"/>
            <w:vAlign w:val="bottom"/>
            <w:gridSpan w:val="3"/>
          </w:tcPr>
          <w:p>
            <w:pPr>
              <w:jc w:val="center"/>
              <w:spacing w:after="0" w:line="189"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47</w:t>
              </w:r>
            </w:hyperlink>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rFonts w:ascii="Arial" w:cs="Arial" w:eastAsia="Arial" w:hAnsi="Arial"/>
                <w:sz w:val="18"/>
                <w:szCs w:val="18"/>
                <w:color w:val="0000FF"/>
                <w:w w:val="94"/>
              </w:rPr>
            </w:pPr>
            <w:hyperlink w:anchor="page47">
              <w:r>
                <w:rPr>
                  <w:rFonts w:ascii="Arial" w:cs="Arial" w:eastAsia="Arial" w:hAnsi="Arial"/>
                  <w:sz w:val="18"/>
                  <w:szCs w:val="18"/>
                  <w:color w:val="0000FF"/>
                  <w:w w:val="94"/>
                </w:rPr>
                <w:t>Item 1.</w:t>
              </w:r>
            </w:hyperlink>
          </w:p>
        </w:tc>
        <w:tc>
          <w:tcPr>
            <w:tcW w:w="1360" w:type="dxa"/>
            <w:vAlign w:val="bottom"/>
            <w:gridSpan w:val="5"/>
            <w:shd w:val="clear" w:color="auto" w:fill="CCEEFF"/>
          </w:tcPr>
          <w:p>
            <w:pPr>
              <w:ind w:left="20"/>
              <w:spacing w:after="0" w:line="189" w:lineRule="exact"/>
              <w:rPr>
                <w:rFonts w:ascii="Arial" w:cs="Arial" w:eastAsia="Arial" w:hAnsi="Arial"/>
                <w:sz w:val="18"/>
                <w:szCs w:val="18"/>
                <w:color w:val="0000FF"/>
                <w:w w:val="88"/>
              </w:rPr>
            </w:pPr>
            <w:hyperlink w:anchor="page47">
              <w:r>
                <w:rPr>
                  <w:rFonts w:ascii="Arial" w:cs="Arial" w:eastAsia="Arial" w:hAnsi="Arial"/>
                  <w:sz w:val="18"/>
                  <w:szCs w:val="18"/>
                  <w:color w:val="0000FF"/>
                  <w:w w:val="88"/>
                </w:rPr>
                <w:t>Legal Proceedings</w:t>
              </w:r>
            </w:hyperlink>
          </w:p>
        </w:tc>
        <w:tc>
          <w:tcPr>
            <w:tcW w:w="8260" w:type="dxa"/>
            <w:vAlign w:val="bottom"/>
            <w:gridSpan w:val="8"/>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6"/>
          </w:tcPr>
          <w:p>
            <w:pPr>
              <w:spacing w:after="0" w:line="189" w:lineRule="exact"/>
              <w:rPr>
                <w:rFonts w:ascii="Arial" w:cs="Arial" w:eastAsia="Arial" w:hAnsi="Arial"/>
                <w:sz w:val="18"/>
                <w:szCs w:val="18"/>
                <w:color w:val="0000FF"/>
              </w:rPr>
            </w:pPr>
            <w:hyperlink w:anchor="page47">
              <w:r>
                <w:rPr>
                  <w:rFonts w:ascii="Arial" w:cs="Arial" w:eastAsia="Arial" w:hAnsi="Arial"/>
                  <w:sz w:val="18"/>
                  <w:szCs w:val="18"/>
                  <w:color w:val="0000FF"/>
                </w:rPr>
                <w:t>Item 1A. Risk Factors</w:t>
              </w:r>
            </w:hyperlink>
          </w:p>
        </w:tc>
        <w:tc>
          <w:tcPr>
            <w:tcW w:w="8260" w:type="dxa"/>
            <w:vAlign w:val="bottom"/>
            <w:gridSpan w:val="8"/>
          </w:tcPr>
          <w:p>
            <w:pPr>
              <w:spacing w:after="0"/>
              <w:rPr>
                <w:sz w:val="16"/>
                <w:szCs w:val="16"/>
                <w:color w:val="auto"/>
              </w:rPr>
            </w:pPr>
          </w:p>
        </w:tc>
        <w:tc>
          <w:tcPr>
            <w:tcW w:w="840" w:type="dxa"/>
            <w:vAlign w:val="bottom"/>
            <w:gridSpan w:val="3"/>
          </w:tcPr>
          <w:p>
            <w:pPr>
              <w:jc w:val="center"/>
              <w:spacing w:after="0" w:line="189"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47</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rFonts w:ascii="Arial" w:cs="Arial" w:eastAsia="Arial" w:hAnsi="Arial"/>
                <w:sz w:val="18"/>
                <w:szCs w:val="18"/>
                <w:color w:val="0000FF"/>
                <w:w w:val="94"/>
              </w:rPr>
            </w:pPr>
            <w:hyperlink w:anchor="page48">
              <w:r>
                <w:rPr>
                  <w:rFonts w:ascii="Arial" w:cs="Arial" w:eastAsia="Arial" w:hAnsi="Arial"/>
                  <w:sz w:val="18"/>
                  <w:szCs w:val="18"/>
                  <w:color w:val="0000FF"/>
                  <w:w w:val="94"/>
                </w:rPr>
                <w:t>Item 2.</w:t>
              </w:r>
            </w:hyperlink>
          </w:p>
        </w:tc>
        <w:tc>
          <w:tcPr>
            <w:tcW w:w="9620" w:type="dxa"/>
            <w:vAlign w:val="bottom"/>
            <w:gridSpan w:val="13"/>
            <w:shd w:val="clear" w:color="auto" w:fill="CCEEFF"/>
          </w:tcPr>
          <w:p>
            <w:pPr>
              <w:ind w:left="2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Unregistered Sales of Equity Securities and Use of Proceeds</w:t>
              </w:r>
            </w:hyperlink>
          </w:p>
        </w:tc>
        <w:tc>
          <w:tcPr>
            <w:tcW w:w="840" w:type="dxa"/>
            <w:vAlign w:val="bottom"/>
            <w:gridSpan w:val="3"/>
            <w:shd w:val="clear" w:color="auto" w:fill="CCEEFF"/>
          </w:tcPr>
          <w:p>
            <w:pPr>
              <w:jc w:val="center"/>
              <w:spacing w:after="0" w:line="189"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rFonts w:ascii="Arial" w:cs="Arial" w:eastAsia="Arial" w:hAnsi="Arial"/>
                <w:sz w:val="18"/>
                <w:szCs w:val="18"/>
                <w:color w:val="0000FF"/>
                <w:w w:val="94"/>
              </w:rPr>
            </w:pPr>
            <w:hyperlink w:anchor="page48">
              <w:r>
                <w:rPr>
                  <w:rFonts w:ascii="Arial" w:cs="Arial" w:eastAsia="Arial" w:hAnsi="Arial"/>
                  <w:sz w:val="18"/>
                  <w:szCs w:val="18"/>
                  <w:color w:val="0000FF"/>
                  <w:w w:val="94"/>
                </w:rPr>
                <w:t>Item 5.</w:t>
              </w:r>
            </w:hyperlink>
          </w:p>
        </w:tc>
        <w:tc>
          <w:tcPr>
            <w:tcW w:w="4360" w:type="dxa"/>
            <w:vAlign w:val="bottom"/>
            <w:gridSpan w:val="10"/>
          </w:tcPr>
          <w:p>
            <w:pPr>
              <w:ind w:left="20"/>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Other Information</w:t>
              </w:r>
            </w:hyperlink>
          </w:p>
        </w:tc>
        <w:tc>
          <w:tcPr>
            <w:tcW w:w="5260" w:type="dxa"/>
            <w:vAlign w:val="bottom"/>
            <w:gridSpan w:val="3"/>
          </w:tcPr>
          <w:p>
            <w:pPr>
              <w:spacing w:after="0"/>
              <w:rPr>
                <w:sz w:val="16"/>
                <w:szCs w:val="16"/>
                <w:color w:val="auto"/>
              </w:rPr>
            </w:pPr>
          </w:p>
        </w:tc>
        <w:tc>
          <w:tcPr>
            <w:tcW w:w="840" w:type="dxa"/>
            <w:vAlign w:val="bottom"/>
            <w:gridSpan w:val="3"/>
          </w:tcPr>
          <w:p>
            <w:pPr>
              <w:jc w:val="center"/>
              <w:spacing w:after="0" w:line="189"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48</w:t>
              </w:r>
            </w:hyperlink>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rFonts w:ascii="Arial" w:cs="Arial" w:eastAsia="Arial" w:hAnsi="Arial"/>
                <w:sz w:val="18"/>
                <w:szCs w:val="18"/>
                <w:color w:val="0000FF"/>
                <w:w w:val="94"/>
              </w:rPr>
            </w:pPr>
            <w:hyperlink w:anchor="page49">
              <w:r>
                <w:rPr>
                  <w:rFonts w:ascii="Arial" w:cs="Arial" w:eastAsia="Arial" w:hAnsi="Arial"/>
                  <w:sz w:val="18"/>
                  <w:szCs w:val="18"/>
                  <w:color w:val="0000FF"/>
                  <w:w w:val="94"/>
                </w:rPr>
                <w:t>Item 6.</w:t>
              </w:r>
            </w:hyperlink>
          </w:p>
        </w:tc>
        <w:tc>
          <w:tcPr>
            <w:tcW w:w="620" w:type="dxa"/>
            <w:vAlign w:val="bottom"/>
            <w:gridSpan w:val="2"/>
            <w:shd w:val="clear" w:color="auto" w:fill="CCEEFF"/>
          </w:tcPr>
          <w:p>
            <w:pPr>
              <w:ind w:left="20"/>
              <w:spacing w:after="0" w:line="189" w:lineRule="exact"/>
              <w:rPr>
                <w:rFonts w:ascii="Arial" w:cs="Arial" w:eastAsia="Arial" w:hAnsi="Arial"/>
                <w:sz w:val="18"/>
                <w:szCs w:val="18"/>
                <w:color w:val="0000FF"/>
                <w:w w:val="91"/>
              </w:rPr>
            </w:pPr>
            <w:hyperlink w:anchor="page49">
              <w:r>
                <w:rPr>
                  <w:rFonts w:ascii="Arial" w:cs="Arial" w:eastAsia="Arial" w:hAnsi="Arial"/>
                  <w:sz w:val="18"/>
                  <w:szCs w:val="18"/>
                  <w:color w:val="0000FF"/>
                  <w:w w:val="91"/>
                </w:rPr>
                <w:t>Exhibits</w:t>
              </w:r>
            </w:hyperlink>
          </w:p>
        </w:tc>
        <w:tc>
          <w:tcPr>
            <w:tcW w:w="9000" w:type="dxa"/>
            <w:vAlign w:val="bottom"/>
            <w:gridSpan w:val="11"/>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50</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5"/>
          </w:tcPr>
          <w:p>
            <w:pPr>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SIGNATURES</w:t>
              </w:r>
            </w:hyperlink>
          </w:p>
        </w:tc>
        <w:tc>
          <w:tcPr>
            <w:tcW w:w="840" w:type="dxa"/>
            <w:vAlign w:val="bottom"/>
            <w:gridSpan w:val="3"/>
          </w:tcPr>
          <w:p>
            <w:pPr>
              <w:jc w:val="center"/>
              <w:spacing w:after="0" w:line="189"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51</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6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ind w:left="120"/>
              <w:spacing w:after="0"/>
              <w:rPr>
                <w:sz w:val="20"/>
                <w:szCs w:val="20"/>
                <w:color w:val="auto"/>
              </w:rPr>
            </w:pPr>
            <w:r>
              <w:rPr>
                <w:rFonts w:ascii="Arial" w:cs="Arial" w:eastAsia="Arial" w:hAnsi="Arial"/>
                <w:sz w:val="17"/>
                <w:szCs w:val="17"/>
                <w:b w:val="1"/>
                <w:bCs w:val="1"/>
                <w:color w:val="auto"/>
              </w:rPr>
              <w:t>July 31, 2021</w:t>
            </w:r>
          </w:p>
        </w:tc>
        <w:tc>
          <w:tcPr>
            <w:tcW w:w="16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17"/>
                <w:szCs w:val="17"/>
                <w:b w:val="1"/>
                <w:bCs w:val="1"/>
                <w:color w:val="auto"/>
              </w:rPr>
              <w:t>January 30, 2021</w:t>
            </w:r>
          </w:p>
        </w:tc>
        <w:tc>
          <w:tcPr>
            <w:tcW w:w="200" w:type="dxa"/>
            <w:vAlign w:val="bottom"/>
          </w:tcPr>
          <w:p>
            <w:pPr>
              <w:spacing w:after="0"/>
              <w:rPr>
                <w:sz w:val="19"/>
                <w:szCs w:val="19"/>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b w:val="1"/>
                <w:bCs w:val="1"/>
                <w:color w:val="auto"/>
                <w:w w:val="94"/>
              </w:rPr>
              <w:t>August 1, 2020</w:t>
            </w:r>
          </w:p>
        </w:tc>
        <w:tc>
          <w:tcPr>
            <w:tcW w:w="0" w:type="dxa"/>
            <w:vAlign w:val="bottom"/>
          </w:tcPr>
          <w:p>
            <w:pPr>
              <w:spacing w:after="0"/>
              <w:rPr>
                <w:sz w:val="1"/>
                <w:szCs w:val="1"/>
                <w:color w:val="auto"/>
              </w:rPr>
            </w:pPr>
          </w:p>
        </w:tc>
      </w:tr>
      <w:tr>
        <w:trPr>
          <w:trHeight w:val="198"/>
        </w:trPr>
        <w:tc>
          <w:tcPr>
            <w:tcW w:w="6180" w:type="dxa"/>
            <w:vAlign w:val="bottom"/>
            <w:tcBorders>
              <w:top w:val="single" w:sz="8" w:color="CCEEFF"/>
            </w:tcBorders>
            <w:shd w:val="clear" w:color="auto" w:fill="CCEEFF"/>
          </w:tcPr>
          <w:p>
            <w:pPr>
              <w:ind w:left="2740"/>
              <w:spacing w:after="0"/>
              <w:rPr>
                <w:sz w:val="20"/>
                <w:szCs w:val="20"/>
                <w:color w:val="auto"/>
              </w:rPr>
            </w:pPr>
            <w:r>
              <w:rPr>
                <w:rFonts w:ascii="Arial" w:cs="Arial" w:eastAsia="Arial" w:hAnsi="Arial"/>
                <w:sz w:val="17"/>
                <w:szCs w:val="17"/>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Arial" w:cs="Arial" w:eastAsia="Arial" w:hAnsi="Arial"/>
                <w:sz w:val="17"/>
                <w:szCs w:val="17"/>
                <w:b w:val="1"/>
                <w:bCs w:val="1"/>
                <w:color w:val="auto"/>
              </w:rPr>
              <w:t>CURRENT ASSETS: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553,825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377,604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884,029</w:t>
            </w:r>
          </w:p>
        </w:tc>
        <w:tc>
          <w:tcPr>
            <w:tcW w:w="0" w:type="dxa"/>
            <w:vAlign w:val="bottom"/>
          </w:tcPr>
          <w:p>
            <w:pPr>
              <w:spacing w:after="0"/>
              <w:rPr>
                <w:sz w:val="1"/>
                <w:szCs w:val="1"/>
                <w:color w:val="auto"/>
              </w:rPr>
            </w:pPr>
          </w:p>
        </w:tc>
      </w:tr>
      <w:tr>
        <w:trPr>
          <w:trHeight w:val="162"/>
        </w:trPr>
        <w:tc>
          <w:tcPr>
            <w:tcW w:w="6180" w:type="dxa"/>
            <w:vAlign w:val="bottom"/>
          </w:tcPr>
          <w:p>
            <w:pPr>
              <w:ind w:left="240"/>
              <w:spacing w:after="0" w:line="162" w:lineRule="exact"/>
              <w:rPr>
                <w:sz w:val="20"/>
                <w:szCs w:val="20"/>
                <w:color w:val="auto"/>
              </w:rPr>
            </w:pPr>
            <w:r>
              <w:rPr>
                <w:rFonts w:ascii="Arial" w:cs="Arial" w:eastAsia="Arial" w:hAnsi="Arial"/>
                <w:sz w:val="17"/>
                <w:szCs w:val="17"/>
                <w:color w:val="auto"/>
                <w:w w:val="99"/>
              </w:rPr>
              <w:t>Accounts receivable - less allowance for doubtful accounts of $822, $1,172 and</w:t>
            </w: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10,791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17,306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7"/>
                <w:szCs w:val="17"/>
                <w:color w:val="auto"/>
              </w:rPr>
              <w:t>9,181</w:t>
            </w:r>
          </w:p>
        </w:tc>
        <w:tc>
          <w:tcPr>
            <w:tcW w:w="0" w:type="dxa"/>
            <w:vAlign w:val="bottom"/>
          </w:tcPr>
          <w:p>
            <w:pPr>
              <w:spacing w:after="0"/>
              <w:rPr>
                <w:sz w:val="1"/>
                <w:szCs w:val="1"/>
                <w:color w:val="auto"/>
              </w:rPr>
            </w:pPr>
          </w:p>
        </w:tc>
      </w:tr>
      <w:tr>
        <w:trPr>
          <w:trHeight w:val="216"/>
        </w:trPr>
        <w:tc>
          <w:tcPr>
            <w:tcW w:w="6180" w:type="dxa"/>
            <w:vAlign w:val="bottom"/>
          </w:tcPr>
          <w:p>
            <w:pPr>
              <w:ind w:left="240"/>
              <w:spacing w:after="0"/>
              <w:rPr>
                <w:sz w:val="20"/>
                <w:szCs w:val="20"/>
                <w:color w:val="auto"/>
              </w:rPr>
            </w:pPr>
            <w:r>
              <w:rPr>
                <w:rFonts w:ascii="Arial" w:cs="Arial" w:eastAsia="Arial" w:hAnsi="Arial"/>
                <w:sz w:val="17"/>
                <w:szCs w:val="17"/>
                <w:color w:val="auto"/>
              </w:rPr>
              <w:t>$3,323, respectively</w:t>
            </w: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Merchandise inventories, net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1,115,020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990,034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899,086</w:t>
            </w:r>
          </w:p>
        </w:tc>
        <w:tc>
          <w:tcPr>
            <w:tcW w:w="0" w:type="dxa"/>
            <w:vAlign w:val="bottom"/>
          </w:tcPr>
          <w:p>
            <w:pPr>
              <w:spacing w:after="0"/>
              <w:rPr>
                <w:sz w:val="1"/>
                <w:szCs w:val="1"/>
                <w:color w:val="auto"/>
              </w:rPr>
            </w:pPr>
          </w:p>
        </w:tc>
      </w:tr>
      <w:tr>
        <w:trPr>
          <w:trHeight w:val="216"/>
        </w:trPr>
        <w:tc>
          <w:tcPr>
            <w:tcW w:w="6180" w:type="dxa"/>
            <w:vAlign w:val="bottom"/>
          </w:tcPr>
          <w:p>
            <w:pPr>
              <w:ind w:left="24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39,050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28,313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30,495</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Assets held for sale</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1,763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1,763</w:t>
            </w:r>
          </w:p>
        </w:tc>
        <w:tc>
          <w:tcPr>
            <w:tcW w:w="0" w:type="dxa"/>
            <w:vAlign w:val="bottom"/>
          </w:tcPr>
          <w:p>
            <w:pPr>
              <w:spacing w:after="0"/>
              <w:rPr>
                <w:sz w:val="1"/>
                <w:szCs w:val="1"/>
                <w:color w:val="auto"/>
              </w:rPr>
            </w:pPr>
          </w:p>
        </w:tc>
      </w:tr>
      <w:tr>
        <w:trPr>
          <w:trHeight w:val="210"/>
        </w:trPr>
        <w:tc>
          <w:tcPr>
            <w:tcW w:w="6180" w:type="dxa"/>
            <w:vAlign w:val="bottom"/>
          </w:tcPr>
          <w:p>
            <w:pPr>
              <w:ind w:left="460"/>
              <w:spacing w:after="0"/>
              <w:rPr>
                <w:sz w:val="20"/>
                <w:szCs w:val="20"/>
                <w:color w:val="auto"/>
              </w:rPr>
            </w:pPr>
            <w:r>
              <w:rPr>
                <w:rFonts w:ascii="Arial" w:cs="Arial" w:eastAsia="Arial" w:hAnsi="Arial"/>
                <w:sz w:val="17"/>
                <w:szCs w:val="17"/>
                <w:b w:val="1"/>
                <w:bCs w:val="1"/>
                <w:color w:val="auto"/>
              </w:rPr>
              <w:t>Total current assets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1,720,449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1,415,020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1,824,554</w:t>
            </w:r>
          </w:p>
        </w:tc>
        <w:tc>
          <w:tcPr>
            <w:tcW w:w="0" w:type="dxa"/>
            <w:vAlign w:val="bottom"/>
          </w:tcPr>
          <w:p>
            <w:pPr>
              <w:spacing w:after="0"/>
              <w:rPr>
                <w:sz w:val="1"/>
                <w:szCs w:val="1"/>
                <w:color w:val="auto"/>
              </w:rPr>
            </w:pPr>
          </w:p>
        </w:tc>
      </w:tr>
      <w:tr>
        <w:trPr>
          <w:trHeight w:val="94"/>
        </w:trPr>
        <w:tc>
          <w:tcPr>
            <w:tcW w:w="6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Arial" w:cs="Arial" w:eastAsia="Arial" w:hAnsi="Arial"/>
                <w:sz w:val="17"/>
                <w:szCs w:val="17"/>
                <w:b w:val="1"/>
                <w:bCs w:val="1"/>
                <w:color w:val="auto"/>
              </w:rPr>
              <w:t>PROPERTY AND EQUIPMENT, NET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362,784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378,260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396,559</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RIGHT-OF-USE ASSETS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1,105,272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1,143,699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1,171,736</w:t>
            </w: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Arial" w:cs="Arial" w:eastAsia="Arial" w:hAnsi="Arial"/>
                <w:sz w:val="17"/>
                <w:szCs w:val="17"/>
                <w:b w:val="1"/>
                <w:bCs w:val="1"/>
                <w:color w:val="auto"/>
              </w:rPr>
              <w:t>TRADE NAME</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577,000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577,000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577,000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GOODWILL</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861,920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861,920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861,920</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OTHER NONCURRENT ASSETS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6,602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11,079</w:t>
            </w:r>
          </w:p>
        </w:tc>
        <w:tc>
          <w:tcPr>
            <w:tcW w:w="0" w:type="dxa"/>
            <w:vAlign w:val="bottom"/>
          </w:tcPr>
          <w:p>
            <w:pPr>
              <w:spacing w:after="0"/>
              <w:rPr>
                <w:sz w:val="1"/>
                <w:szCs w:val="1"/>
                <w:color w:val="auto"/>
              </w:rPr>
            </w:pPr>
          </w:p>
        </w:tc>
      </w:tr>
      <w:tr>
        <w:trPr>
          <w:trHeight w:val="234"/>
        </w:trPr>
        <w:tc>
          <w:tcPr>
            <w:tcW w:w="6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Total assets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4,634,027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4,384,482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4,842,848</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6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LIABILITIES AND STOCKHOLDERS' / PARTNERS' EQUITY</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Accounts payable</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816,427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791,404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726,666</w:t>
            </w:r>
          </w:p>
        </w:tc>
        <w:tc>
          <w:tcPr>
            <w:tcW w:w="0" w:type="dxa"/>
            <w:vAlign w:val="bottom"/>
          </w:tcPr>
          <w:p>
            <w:pPr>
              <w:spacing w:after="0"/>
              <w:rPr>
                <w:sz w:val="1"/>
                <w:szCs w:val="1"/>
                <w:color w:val="auto"/>
              </w:rPr>
            </w:pPr>
          </w:p>
        </w:tc>
      </w:tr>
      <w:tr>
        <w:trPr>
          <w:trHeight w:val="216"/>
        </w:trPr>
        <w:tc>
          <w:tcPr>
            <w:tcW w:w="6180" w:type="dxa"/>
            <w:vAlign w:val="bottom"/>
          </w:tcPr>
          <w:p>
            <w:pPr>
              <w:ind w:left="240"/>
              <w:spacing w:after="0"/>
              <w:rPr>
                <w:sz w:val="20"/>
                <w:szCs w:val="20"/>
                <w:color w:val="auto"/>
              </w:rPr>
            </w:pPr>
            <w:r>
              <w:rPr>
                <w:rFonts w:ascii="Arial" w:cs="Arial" w:eastAsia="Arial" w:hAnsi="Arial"/>
                <w:sz w:val="17"/>
                <w:szCs w:val="17"/>
                <w:color w:val="auto"/>
              </w:rPr>
              <w:t>Accrued expenses and other current liabilities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277,157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291,351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245,072</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Current lease liabilities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84,981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76,485</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Current maturities of long-term debt</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3,000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18,250</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460"/>
              <w:spacing w:after="0"/>
              <w:rPr>
                <w:sz w:val="20"/>
                <w:szCs w:val="20"/>
                <w:color w:val="auto"/>
              </w:rPr>
            </w:pPr>
            <w:r>
              <w:rPr>
                <w:rFonts w:ascii="Arial" w:cs="Arial" w:eastAsia="Arial" w:hAnsi="Arial"/>
                <w:sz w:val="17"/>
                <w:szCs w:val="17"/>
                <w:b w:val="1"/>
                <w:bCs w:val="1"/>
                <w:color w:val="auto"/>
              </w:rPr>
              <w:t>Total current liabilities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1,181,565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1,167,093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1,066,473</w:t>
            </w:r>
          </w:p>
        </w:tc>
        <w:tc>
          <w:tcPr>
            <w:tcW w:w="0" w:type="dxa"/>
            <w:vAlign w:val="bottom"/>
          </w:tcPr>
          <w:p>
            <w:pPr>
              <w:spacing w:after="0"/>
              <w:rPr>
                <w:sz w:val="1"/>
                <w:szCs w:val="1"/>
                <w:color w:val="auto"/>
              </w:rPr>
            </w:pPr>
          </w:p>
        </w:tc>
      </w:tr>
      <w:tr>
        <w:trPr>
          <w:trHeight w:val="95"/>
        </w:trPr>
        <w:tc>
          <w:tcPr>
            <w:tcW w:w="6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LONG-TERM DEBT, NET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684,103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781,489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1,412,800</w:t>
            </w: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Arial" w:cs="Arial" w:eastAsia="Arial" w:hAnsi="Arial"/>
                <w:sz w:val="17"/>
                <w:szCs w:val="17"/>
                <w:b w:val="1"/>
                <w:bCs w:val="1"/>
                <w:color w:val="auto"/>
              </w:rPr>
              <w:t>LONG-TERM LEASE LIABILITIES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1,107,709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1,150,088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1,181,819</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LIABILITIES, NET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185,765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27,267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35,126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29,683</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460"/>
              <w:spacing w:after="0"/>
              <w:rPr>
                <w:sz w:val="20"/>
                <w:szCs w:val="20"/>
                <w:color w:val="auto"/>
              </w:rPr>
            </w:pPr>
            <w:r>
              <w:rPr>
                <w:rFonts w:ascii="Arial" w:cs="Arial" w:eastAsia="Arial" w:hAnsi="Arial"/>
                <w:sz w:val="17"/>
                <w:szCs w:val="17"/>
                <w:b w:val="1"/>
                <w:bCs w:val="1"/>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3,186,409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3,272,499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3,690,775</w:t>
            </w:r>
          </w:p>
        </w:tc>
        <w:tc>
          <w:tcPr>
            <w:tcW w:w="0" w:type="dxa"/>
            <w:vAlign w:val="bottom"/>
          </w:tcPr>
          <w:p>
            <w:pPr>
              <w:spacing w:after="0"/>
              <w:rPr>
                <w:sz w:val="1"/>
                <w:szCs w:val="1"/>
                <w:color w:val="auto"/>
              </w:rPr>
            </w:pPr>
          </w:p>
        </w:tc>
      </w:tr>
      <w:tr>
        <w:trPr>
          <w:trHeight w:val="34"/>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 13)</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REDEEMABLE MEMBERSHIP UNITS</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2,977</w:t>
            </w:r>
          </w:p>
        </w:tc>
        <w:tc>
          <w:tcPr>
            <w:tcW w:w="0" w:type="dxa"/>
            <w:vAlign w:val="bottom"/>
          </w:tcPr>
          <w:p>
            <w:pPr>
              <w:spacing w:after="0"/>
              <w:rPr>
                <w:sz w:val="1"/>
                <w:szCs w:val="1"/>
                <w:color w:val="auto"/>
              </w:rPr>
            </w:pPr>
          </w:p>
        </w:tc>
      </w:tr>
      <w:tr>
        <w:trPr>
          <w:trHeight w:val="54"/>
        </w:trPr>
        <w:tc>
          <w:tcPr>
            <w:tcW w:w="6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 xml:space="preserve">STOCKHOLDERS' / PARTNERS' EQUITY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180" w:type="dxa"/>
            <w:vAlign w:val="bottom"/>
          </w:tcPr>
          <w:p>
            <w:pPr>
              <w:ind w:left="240"/>
              <w:spacing w:after="0" w:line="162" w:lineRule="exact"/>
              <w:rPr>
                <w:sz w:val="20"/>
                <w:szCs w:val="20"/>
                <w:color w:val="auto"/>
              </w:rPr>
            </w:pPr>
            <w:r>
              <w:rPr>
                <w:rFonts w:ascii="Arial" w:cs="Arial" w:eastAsia="Arial" w:hAnsi="Arial"/>
                <w:sz w:val="17"/>
                <w:szCs w:val="17"/>
                <w:color w:val="auto"/>
                <w:w w:val="96"/>
              </w:rPr>
              <w:t>Preferred stock, $0.01 par value, authorized 50,000,000 shares; none issued and</w:t>
            </w:r>
          </w:p>
        </w:tc>
        <w:tc>
          <w:tcPr>
            <w:tcW w:w="220" w:type="dxa"/>
            <w:vAlign w:val="bottom"/>
          </w:tcPr>
          <w:p>
            <w:pPr>
              <w:spacing w:after="0"/>
              <w:rPr>
                <w:sz w:val="14"/>
                <w:szCs w:val="14"/>
                <w:color w:val="auto"/>
              </w:rPr>
            </w:pPr>
          </w:p>
        </w:tc>
        <w:tc>
          <w:tcPr>
            <w:tcW w:w="1480" w:type="dxa"/>
            <w:vAlign w:val="bottom"/>
            <w:gridSpan w:val="2"/>
            <w:vMerge w:val="restart"/>
          </w:tcPr>
          <w:p>
            <w:pPr>
              <w:jc w:val="right"/>
              <w:ind w:right="14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4"/>
                <w:szCs w:val="14"/>
                <w:color w:val="auto"/>
              </w:rPr>
            </w:pPr>
          </w:p>
        </w:tc>
        <w:tc>
          <w:tcPr>
            <w:tcW w:w="15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180" w:type="dxa"/>
            <w:vAlign w:val="bottom"/>
          </w:tcPr>
          <w:p>
            <w:pPr>
              <w:ind w:left="240"/>
              <w:spacing w:after="0"/>
              <w:rPr>
                <w:sz w:val="20"/>
                <w:szCs w:val="20"/>
                <w:color w:val="auto"/>
              </w:rPr>
            </w:pPr>
            <w:r>
              <w:rPr>
                <w:rFonts w:ascii="Arial" w:cs="Arial" w:eastAsia="Arial" w:hAnsi="Arial"/>
                <w:sz w:val="17"/>
                <w:szCs w:val="17"/>
                <w:color w:val="auto"/>
              </w:rPr>
              <w:t>outstanding</w:t>
            </w:r>
          </w:p>
        </w:tc>
        <w:tc>
          <w:tcPr>
            <w:tcW w:w="2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240"/>
              <w:spacing w:after="0" w:line="162" w:lineRule="exact"/>
              <w:rPr>
                <w:sz w:val="20"/>
                <w:szCs w:val="20"/>
                <w:color w:val="auto"/>
              </w:rPr>
            </w:pPr>
            <w:r>
              <w:rPr>
                <w:rFonts w:ascii="Arial" w:cs="Arial" w:eastAsia="Arial" w:hAnsi="Arial"/>
                <w:sz w:val="17"/>
                <w:szCs w:val="17"/>
                <w:color w:val="auto"/>
              </w:rPr>
              <w:t>Partners' equity, membership units authorized, issued and outstanding were</w:t>
            </w:r>
          </w:p>
        </w:tc>
        <w:tc>
          <w:tcPr>
            <w:tcW w:w="22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1,157,435</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72,478,106 as of August 1, 2020</w:t>
            </w:r>
          </w:p>
        </w:tc>
        <w:tc>
          <w:tcPr>
            <w:tcW w:w="22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180" w:type="dxa"/>
            <w:vAlign w:val="bottom"/>
          </w:tcPr>
          <w:p>
            <w:pPr>
              <w:ind w:left="240"/>
              <w:spacing w:after="0" w:line="162" w:lineRule="exact"/>
              <w:rPr>
                <w:sz w:val="20"/>
                <w:szCs w:val="20"/>
                <w:color w:val="auto"/>
              </w:rPr>
            </w:pPr>
            <w:r>
              <w:rPr>
                <w:rFonts w:ascii="Arial" w:cs="Arial" w:eastAsia="Arial" w:hAnsi="Arial"/>
                <w:sz w:val="17"/>
                <w:szCs w:val="17"/>
                <w:color w:val="auto"/>
                <w:w w:val="96"/>
              </w:rPr>
              <w:t>Common stock, $0.01 par value, authorized 300,000,000 shares; 92,883,540 and</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tcPr>
          <w:p>
            <w:pPr>
              <w:ind w:left="240"/>
              <w:spacing w:after="0" w:line="162" w:lineRule="exact"/>
              <w:rPr>
                <w:sz w:val="20"/>
                <w:szCs w:val="20"/>
                <w:color w:val="auto"/>
              </w:rPr>
            </w:pPr>
            <w:r>
              <w:rPr>
                <w:rFonts w:ascii="Arial" w:cs="Arial" w:eastAsia="Arial" w:hAnsi="Arial"/>
                <w:sz w:val="17"/>
                <w:szCs w:val="17"/>
                <w:color w:val="auto"/>
              </w:rPr>
              <w:t>91,114,475 issued and outstanding as of July 31, 2021 and January 30, 2021,</w:t>
            </w: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929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911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180" w:type="dxa"/>
            <w:vAlign w:val="bottom"/>
          </w:tcPr>
          <w:p>
            <w:pPr>
              <w:ind w:left="240"/>
              <w:spacing w:after="0"/>
              <w:rPr>
                <w:sz w:val="20"/>
                <w:szCs w:val="20"/>
                <w:color w:val="auto"/>
              </w:rPr>
            </w:pPr>
            <w:r>
              <w:rPr>
                <w:rFonts w:ascii="Arial" w:cs="Arial" w:eastAsia="Arial" w:hAnsi="Arial"/>
                <w:sz w:val="17"/>
                <w:szCs w:val="17"/>
                <w:color w:val="auto"/>
              </w:rPr>
              <w:t>respectively.</w:t>
            </w: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187,746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127,228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180" w:type="dxa"/>
            <w:vAlign w:val="bottom"/>
          </w:tcPr>
          <w:p>
            <w:pPr>
              <w:ind w:left="240"/>
              <w:spacing w:after="0"/>
              <w:rPr>
                <w:sz w:val="20"/>
                <w:szCs w:val="20"/>
                <w:color w:val="auto"/>
              </w:rPr>
            </w:pPr>
            <w:r>
              <w:rPr>
                <w:rFonts w:ascii="Arial" w:cs="Arial" w:eastAsia="Arial" w:hAnsi="Arial"/>
                <w:sz w:val="17"/>
                <w:szCs w:val="17"/>
                <w:color w:val="auto"/>
              </w:rPr>
              <w:t>Retained earnings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1,260,805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987,168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(1,862)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(8,339)</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CCEEFF"/>
            </w:tcBorders>
          </w:tcPr>
          <w:p>
            <w:pPr>
              <w:ind w:left="460"/>
              <w:spacing w:after="0"/>
              <w:rPr>
                <w:sz w:val="20"/>
                <w:szCs w:val="20"/>
                <w:color w:val="auto"/>
              </w:rPr>
            </w:pPr>
            <w:r>
              <w:rPr>
                <w:rFonts w:ascii="Arial" w:cs="Arial" w:eastAsia="Arial" w:hAnsi="Arial"/>
                <w:sz w:val="17"/>
                <w:szCs w:val="17"/>
                <w:b w:val="1"/>
                <w:bCs w:val="1"/>
                <w:color w:val="auto"/>
              </w:rPr>
              <w:t>Stockholders' / partners' equity</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1,447,618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1,111,983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1,149,096</w:t>
            </w:r>
          </w:p>
        </w:tc>
        <w:tc>
          <w:tcPr>
            <w:tcW w:w="0" w:type="dxa"/>
            <w:vAlign w:val="bottom"/>
          </w:tcPr>
          <w:p>
            <w:pPr>
              <w:spacing w:after="0"/>
              <w:rPr>
                <w:sz w:val="1"/>
                <w:szCs w:val="1"/>
                <w:color w:val="auto"/>
              </w:rPr>
            </w:pPr>
          </w:p>
        </w:tc>
      </w:tr>
      <w:tr>
        <w:trPr>
          <w:trHeight w:val="234"/>
        </w:trPr>
        <w:tc>
          <w:tcPr>
            <w:tcW w:w="6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Total liabilities and stockholders' / partners' equity</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4,634,027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4,384,482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4,842,848</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See Retrospective Presentation of Ownership Exchange in Note 2.</w:t>
      </w:r>
    </w:p>
    <w:p>
      <w:pPr>
        <w:jc w:val="center"/>
        <w:ind w:right="-1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5"/>
          </w:tcPr>
          <w:p>
            <w:pPr>
              <w:ind w:left="580"/>
              <w:spacing w:after="0"/>
              <w:rPr>
                <w:sz w:val="20"/>
                <w:szCs w:val="20"/>
                <w:color w:val="auto"/>
              </w:rPr>
            </w:pPr>
            <w:r>
              <w:rPr>
                <w:rFonts w:ascii="Arial" w:cs="Arial" w:eastAsia="Arial" w:hAnsi="Arial"/>
                <w:sz w:val="18"/>
                <w:szCs w:val="18"/>
                <w:b w:val="1"/>
                <w:bCs w:val="1"/>
                <w:color w:val="auto"/>
              </w:rPr>
              <w:t>Thirteen Weeks Ended</w:t>
            </w:r>
          </w:p>
        </w:tc>
        <w:tc>
          <w:tcPr>
            <w:tcW w:w="200" w:type="dxa"/>
            <w:vAlign w:val="bottom"/>
          </w:tcPr>
          <w:p>
            <w:pPr>
              <w:spacing w:after="0"/>
              <w:rPr>
                <w:sz w:val="20"/>
                <w:szCs w:val="20"/>
                <w:color w:val="auto"/>
              </w:rPr>
            </w:pPr>
          </w:p>
        </w:tc>
        <w:tc>
          <w:tcPr>
            <w:tcW w:w="31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July 31, 2021</w:t>
            </w: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August 1, 2020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July 31, 2021</w:t>
            </w: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August 1, 2020</w:t>
            </w:r>
          </w:p>
        </w:tc>
        <w:tc>
          <w:tcPr>
            <w:tcW w:w="0" w:type="dxa"/>
            <w:vAlign w:val="bottom"/>
          </w:tcPr>
          <w:p>
            <w:pPr>
              <w:spacing w:after="0"/>
              <w:rPr>
                <w:sz w:val="1"/>
                <w:szCs w:val="1"/>
                <w:color w:val="auto"/>
              </w:rPr>
            </w:pP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1,791,530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1,606,420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3,371,863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2,742,721</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1,149,034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1,109,919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2,165,666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1,948,275</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642,496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1,206,197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794,446</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387,938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312,713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712,565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596,636</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254,558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183,788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493,632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197,810</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12,157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23,566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26,706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48,088</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(GAIN) LOSS ON EARLY RETIREMENT OF DEBT, NET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465,819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159,174</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97,513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190,510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167,676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368,306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157,656</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4540" w:type="dxa"/>
            <w:vAlign w:val="bottom"/>
          </w:tcPr>
          <w:p>
            <w:pPr>
              <w:ind w:left="46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WEIGHTED AVERAGE COMMON SHARES</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46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92,627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72,478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92,357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72,476</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95,891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96,391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74,487</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60" w:hanging="128"/>
        <w:spacing w:after="0"/>
        <w:tabs>
          <w:tab w:leader="none" w:pos="460" w:val="left"/>
        </w:tabs>
        <w:numPr>
          <w:ilvl w:val="0"/>
          <w:numId w:val="4"/>
        </w:numPr>
        <w:rPr>
          <w:rFonts w:ascii="Arial" w:cs="Arial" w:eastAsia="Arial" w:hAnsi="Arial"/>
          <w:sz w:val="15"/>
          <w:szCs w:val="15"/>
          <w:color w:val="auto"/>
          <w:vertAlign w:val="superscript"/>
        </w:rPr>
      </w:pPr>
      <w:r>
        <w:rPr>
          <w:rFonts w:ascii="Arial" w:cs="Arial" w:eastAsia="Arial" w:hAnsi="Arial"/>
          <w:sz w:val="11"/>
          <w:szCs w:val="11"/>
          <w:color w:val="auto"/>
        </w:rPr>
        <w:t>See Retrospective Presentation of Ownership Exchange in Note 2.</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5"/>
          </w:tcPr>
          <w:p>
            <w:pPr>
              <w:ind w:left="560"/>
              <w:spacing w:after="0"/>
              <w:rPr>
                <w:sz w:val="20"/>
                <w:szCs w:val="20"/>
                <w:color w:val="auto"/>
              </w:rPr>
            </w:pPr>
            <w:r>
              <w:rPr>
                <w:rFonts w:ascii="Arial" w:cs="Arial" w:eastAsia="Arial" w:hAnsi="Arial"/>
                <w:sz w:val="18"/>
                <w:szCs w:val="18"/>
                <w:b w:val="1"/>
                <w:bCs w:val="1"/>
                <w:color w:val="auto"/>
              </w:rPr>
              <w:t>Thirteen Weeks Ended</w:t>
            </w:r>
          </w:p>
        </w:tc>
        <w:tc>
          <w:tcPr>
            <w:tcW w:w="200" w:type="dxa"/>
            <w:vAlign w:val="bottom"/>
          </w:tcPr>
          <w:p>
            <w:pPr>
              <w:spacing w:after="0"/>
              <w:rPr>
                <w:sz w:val="20"/>
                <w:szCs w:val="20"/>
                <w:color w:val="auto"/>
              </w:rPr>
            </w:pPr>
          </w:p>
        </w:tc>
        <w:tc>
          <w:tcPr>
            <w:tcW w:w="30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Twenty-Six Weeks Ended</w:t>
            </w:r>
          </w:p>
        </w:tc>
      </w:tr>
      <w:tr>
        <w:trPr>
          <w:trHeight w:val="223"/>
        </w:trPr>
        <w:tc>
          <w:tcPr>
            <w:tcW w:w="4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July 31, 2021</w:t>
            </w: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August 1, 2020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July 31, 2021</w:t>
            </w: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August 1, 2020</w:t>
            </w: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45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190,510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167,676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368,306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157,656</w:t>
            </w:r>
          </w:p>
        </w:tc>
      </w:tr>
      <w:tr>
        <w:trPr>
          <w:trHeight w:val="230"/>
        </w:trPr>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loss on interest rate swaps</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w:t>
            </w:r>
          </w:p>
        </w:tc>
      </w:tr>
      <w:tr>
        <w:trPr>
          <w:trHeight w:val="229"/>
        </w:trPr>
        <w:tc>
          <w:tcPr>
            <w:tcW w:w="4520" w:type="dxa"/>
            <w:vAlign w:val="bottom"/>
          </w:tcPr>
          <w:p>
            <w:pPr>
              <w:ind w:left="240"/>
              <w:spacing w:after="0"/>
              <w:rPr>
                <w:sz w:val="20"/>
                <w:szCs w:val="20"/>
                <w:color w:val="auto"/>
              </w:rPr>
            </w:pPr>
            <w:r>
              <w:rPr>
                <w:rFonts w:ascii="Arial" w:cs="Arial" w:eastAsia="Arial" w:hAnsi="Arial"/>
                <w:sz w:val="18"/>
                <w:szCs w:val="18"/>
                <w:color w:val="auto"/>
              </w:rPr>
              <w:t>Recognized interest expense on interest rate swaps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699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1,895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4,767</w:t>
            </w:r>
          </w:p>
        </w:tc>
      </w:tr>
      <w:tr>
        <w:trPr>
          <w:trHeight w:val="229"/>
        </w:trPr>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expense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191,046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169,944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369,768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157,383</w:t>
            </w:r>
          </w:p>
        </w:tc>
      </w:tr>
      <w:tr>
        <w:trPr>
          <w:trHeight w:val="20"/>
        </w:trPr>
        <w:tc>
          <w:tcPr>
            <w:tcW w:w="4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93"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PARTNERS' /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1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4"/>
              </w:rPr>
              <w:t>Redeemable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Membership</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8"/>
            <w:vMerge w:val="restart"/>
          </w:tcPr>
          <w:p>
            <w:pPr>
              <w:jc w:val="center"/>
              <w:ind w:right="300"/>
              <w:spacing w:after="0"/>
              <w:rPr>
                <w:sz w:val="20"/>
                <w:szCs w:val="20"/>
                <w:color w:val="auto"/>
              </w:rPr>
            </w:pPr>
            <w:r>
              <w:rPr>
                <w:rFonts w:ascii="Arial" w:cs="Arial" w:eastAsia="Arial" w:hAnsi="Arial"/>
                <w:sz w:val="14"/>
                <w:szCs w:val="14"/>
                <w:b w:val="1"/>
                <w:bCs w:val="1"/>
                <w:color w:val="auto"/>
                <w:w w:val="94"/>
              </w:rPr>
              <w:t>Partners' / Stockholders' Equity</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Units /</w:t>
            </w:r>
          </w:p>
        </w:tc>
        <w:tc>
          <w:tcPr>
            <w:tcW w:w="0" w:type="dxa"/>
            <w:vAlign w:val="bottom"/>
          </w:tcPr>
          <w:p>
            <w:pPr>
              <w:spacing w:after="0"/>
              <w:rPr>
                <w:sz w:val="1"/>
                <w:szCs w:val="1"/>
                <w:color w:val="auto"/>
              </w:rPr>
            </w:pPr>
          </w:p>
        </w:tc>
      </w:tr>
      <w:tr>
        <w:trPr>
          <w:trHeight w:val="188"/>
        </w:trPr>
        <w:tc>
          <w:tcPr>
            <w:tcW w:w="2080" w:type="dxa"/>
            <w:vAlign w:val="bottom"/>
          </w:tcPr>
          <w:p>
            <w:pPr>
              <w:spacing w:after="0"/>
              <w:rPr>
                <w:sz w:val="16"/>
                <w:szCs w:val="16"/>
                <w:color w:val="auto"/>
              </w:rPr>
            </w:pPr>
          </w:p>
        </w:tc>
        <w:tc>
          <w:tcPr>
            <w:tcW w:w="13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Membership Units</w:t>
            </w:r>
          </w:p>
        </w:tc>
        <w:tc>
          <w:tcPr>
            <w:tcW w:w="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8"/>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70"/>
        </w:trPr>
        <w:tc>
          <w:tcPr>
            <w:tcW w:w="2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1"/>
                <w:szCs w:val="11"/>
                <w:color w:val="auto"/>
              </w:rPr>
            </w:pPr>
          </w:p>
        </w:tc>
        <w:tc>
          <w:tcPr>
            <w:tcW w:w="9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Partners'</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Partners' Equity</w:t>
            </w:r>
          </w:p>
        </w:tc>
        <w:tc>
          <w:tcPr>
            <w:tcW w:w="150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Comprehensive</w:t>
            </w:r>
          </w:p>
        </w:tc>
        <w:tc>
          <w:tcPr>
            <w:tcW w:w="10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/Stockholders'</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5"/>
            <w:vMerge w:val="continue"/>
          </w:tcPr>
          <w:p>
            <w:pPr>
              <w:spacing w:after="0"/>
              <w:rPr>
                <w:sz w:val="16"/>
                <w:szCs w:val="16"/>
                <w:color w:val="auto"/>
              </w:rPr>
            </w:pPr>
          </w:p>
        </w:tc>
        <w:tc>
          <w:tcPr>
            <w:tcW w:w="150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Earnings</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5"/>
                <w:szCs w:val="15"/>
                <w:color w:val="auto"/>
              </w:rPr>
            </w:pP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Units</w:t>
            </w:r>
          </w:p>
        </w:tc>
        <w:tc>
          <w:tcPr>
            <w:tcW w:w="76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70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Units</w:t>
            </w:r>
          </w:p>
        </w:tc>
        <w:tc>
          <w:tcPr>
            <w:tcW w:w="6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7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Units / Shares</w:t>
            </w:r>
          </w:p>
        </w:tc>
        <w:tc>
          <w:tcPr>
            <w:tcW w:w="0" w:type="dxa"/>
            <w:vAlign w:val="bottom"/>
          </w:tcPr>
          <w:p>
            <w:pPr>
              <w:spacing w:after="0"/>
              <w:rPr>
                <w:sz w:val="1"/>
                <w:szCs w:val="1"/>
                <w:color w:val="auto"/>
              </w:rPr>
            </w:pPr>
          </w:p>
        </w:tc>
      </w:tr>
      <w:tr>
        <w:trPr>
          <w:trHeight w:val="184"/>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5"/>
              </w:rPr>
              <w:t>Balances as of January 30, 2021</w:t>
            </w:r>
          </w:p>
        </w:tc>
        <w:tc>
          <w:tcPr>
            <w:tcW w:w="6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91,114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127,228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987,168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(3,324)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1,111,983</w:t>
            </w: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91,114</w:t>
            </w:r>
          </w:p>
        </w:tc>
        <w:tc>
          <w:tcPr>
            <w:tcW w:w="0" w:type="dxa"/>
            <w:vAlign w:val="bottom"/>
          </w:tcPr>
          <w:p>
            <w:pPr>
              <w:spacing w:after="0"/>
              <w:rPr>
                <w:sz w:val="1"/>
                <w:szCs w:val="1"/>
                <w:color w:val="auto"/>
              </w:rPr>
            </w:pPr>
          </w:p>
        </w:tc>
      </w:tr>
      <w:tr>
        <w:trPr>
          <w:trHeight w:val="179"/>
        </w:trPr>
        <w:tc>
          <w:tcPr>
            <w:tcW w:w="208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177,796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177,796</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Equity compensation</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5,874</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80" w:type="dxa"/>
            <w:vAlign w:val="bottom"/>
          </w:tcPr>
          <w:p>
            <w:pPr>
              <w:ind w:left="240"/>
              <w:spacing w:after="0" w:line="135" w:lineRule="exact"/>
              <w:rPr>
                <w:sz w:val="20"/>
                <w:szCs w:val="20"/>
                <w:color w:val="auto"/>
              </w:rPr>
            </w:pPr>
            <w:r>
              <w:rPr>
                <w:rFonts w:ascii="Arial" w:cs="Arial" w:eastAsia="Arial" w:hAnsi="Arial"/>
                <w:sz w:val="14"/>
                <w:szCs w:val="14"/>
                <w:color w:val="auto"/>
              </w:rPr>
              <w:t>Settlement of vested</w:t>
            </w:r>
          </w:p>
        </w:tc>
        <w:tc>
          <w:tcPr>
            <w:tcW w:w="70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480" w:type="dxa"/>
            <w:vAlign w:val="bottom"/>
            <w:gridSpan w:val="2"/>
            <w:vMerge w:val="restart"/>
          </w:tcPr>
          <w:p>
            <w:pPr>
              <w:ind w:left="20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6"/>
        </w:trPr>
        <w:tc>
          <w:tcPr>
            <w:tcW w:w="2080" w:type="dxa"/>
            <w:vAlign w:val="bottom"/>
          </w:tcPr>
          <w:p>
            <w:pPr>
              <w:ind w:left="240"/>
              <w:spacing w:after="0"/>
              <w:rPr>
                <w:sz w:val="20"/>
                <w:szCs w:val="20"/>
                <w:color w:val="auto"/>
              </w:rPr>
            </w:pPr>
            <w:r>
              <w:rPr>
                <w:rFonts w:ascii="Arial" w:cs="Arial" w:eastAsia="Arial" w:hAnsi="Arial"/>
                <w:sz w:val="14"/>
                <w:szCs w:val="14"/>
                <w:color w:val="auto"/>
              </w:rPr>
              <w:t>Restricted Stock Units</w:t>
            </w:r>
          </w:p>
        </w:tc>
        <w:tc>
          <w:tcPr>
            <w:tcW w:w="7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w w:val="95"/>
              </w:rPr>
              <w:t>Share-Based Award Payments</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adjustment for forfeitures</w:t>
            </w:r>
          </w:p>
        </w:tc>
        <w:tc>
          <w:tcPr>
            <w:tcW w:w="7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tcPr>
          <w:p>
            <w:pPr>
              <w:ind w:left="240"/>
              <w:spacing w:after="0"/>
              <w:rPr>
                <w:sz w:val="20"/>
                <w:szCs w:val="20"/>
                <w:color w:val="auto"/>
              </w:rPr>
            </w:pPr>
            <w:r>
              <w:rPr>
                <w:rFonts w:ascii="Arial" w:cs="Arial" w:eastAsia="Arial" w:hAnsi="Arial"/>
                <w:sz w:val="14"/>
                <w:szCs w:val="14"/>
                <w:color w:val="auto"/>
              </w:rPr>
              <w:t>Stock option exercises</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17,230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17,257</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2,686</w:t>
            </w: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Recognized interest expense</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on interest rate swaps (net of</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tax impact of $270)</w:t>
            </w:r>
          </w:p>
        </w:tc>
        <w:tc>
          <w:tcPr>
            <w:tcW w:w="7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Balances as of May 1, 2021</w:t>
            </w:r>
          </w:p>
        </w:tc>
        <w:tc>
          <w:tcPr>
            <w:tcW w:w="6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93,887</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939</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150,370</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1,164,964</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(2,398)</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1,313,875</w:t>
            </w:r>
          </w:p>
        </w:tc>
        <w:tc>
          <w:tcPr>
            <w:tcW w:w="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93,887</w:t>
            </w:r>
          </w:p>
        </w:tc>
        <w:tc>
          <w:tcPr>
            <w:tcW w:w="0" w:type="dxa"/>
            <w:vAlign w:val="bottom"/>
          </w:tcPr>
          <w:p>
            <w:pPr>
              <w:spacing w:after="0"/>
              <w:rPr>
                <w:sz w:val="1"/>
                <w:szCs w:val="1"/>
                <w:color w:val="auto"/>
              </w:rPr>
            </w:pPr>
          </w:p>
        </w:tc>
      </w:tr>
      <w:tr>
        <w:trPr>
          <w:trHeight w:val="186"/>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190,510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190,510</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080" w:type="dxa"/>
            <w:vAlign w:val="bottom"/>
          </w:tcPr>
          <w:p>
            <w:pPr>
              <w:ind w:left="240"/>
              <w:spacing w:after="0"/>
              <w:rPr>
                <w:sz w:val="20"/>
                <w:szCs w:val="20"/>
                <w:color w:val="auto"/>
              </w:rPr>
            </w:pPr>
            <w:r>
              <w:rPr>
                <w:rFonts w:ascii="Arial" w:cs="Arial" w:eastAsia="Arial" w:hAnsi="Arial"/>
                <w:sz w:val="14"/>
                <w:szCs w:val="14"/>
                <w:color w:val="auto"/>
              </w:rPr>
              <w:t>Equity compensation</w:t>
            </w:r>
          </w:p>
        </w:tc>
        <w:tc>
          <w:tcPr>
            <w:tcW w:w="700" w:type="dxa"/>
            <w:vAlign w:val="bottom"/>
            <w:gridSpan w:val="2"/>
          </w:tcPr>
          <w:p>
            <w:pPr>
              <w:ind w:left="42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ind w:left="4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480" w:type="dxa"/>
            <w:vAlign w:val="bottom"/>
            <w:gridSpan w:val="2"/>
          </w:tcPr>
          <w:p>
            <w:pPr>
              <w:ind w:left="20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27,331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27,331</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6"/>
        </w:trPr>
        <w:tc>
          <w:tcPr>
            <w:tcW w:w="2080" w:type="dxa"/>
            <w:vAlign w:val="bottom"/>
            <w:shd w:val="clear" w:color="auto" w:fill="CCEEFF"/>
          </w:tcPr>
          <w:p>
            <w:pPr>
              <w:ind w:left="240"/>
              <w:spacing w:after="0" w:line="137" w:lineRule="exact"/>
              <w:rPr>
                <w:sz w:val="20"/>
                <w:szCs w:val="20"/>
                <w:color w:val="auto"/>
              </w:rPr>
            </w:pPr>
            <w:r>
              <w:rPr>
                <w:rFonts w:ascii="Arial" w:cs="Arial" w:eastAsia="Arial" w:hAnsi="Arial"/>
                <w:sz w:val="14"/>
                <w:szCs w:val="14"/>
                <w:color w:val="auto"/>
                <w:w w:val="98"/>
              </w:rPr>
              <w:t>Repurchase of common stock</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(3,230)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(5,299)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(94,669)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(100,000)</w:t>
            </w:r>
          </w:p>
        </w:tc>
        <w:tc>
          <w:tcPr>
            <w:tcW w:w="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(3,230)</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 retirement</w:t>
            </w:r>
          </w:p>
        </w:tc>
        <w:tc>
          <w:tcPr>
            <w:tcW w:w="7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40"/>
              <w:spacing w:after="0" w:line="135" w:lineRule="exact"/>
              <w:rPr>
                <w:sz w:val="20"/>
                <w:szCs w:val="20"/>
                <w:color w:val="auto"/>
              </w:rPr>
            </w:pPr>
            <w:r>
              <w:rPr>
                <w:rFonts w:ascii="Arial" w:cs="Arial" w:eastAsia="Arial" w:hAnsi="Arial"/>
                <w:sz w:val="14"/>
                <w:szCs w:val="14"/>
                <w:color w:val="auto"/>
              </w:rPr>
              <w:t>Settlement of vested</w:t>
            </w:r>
          </w:p>
        </w:tc>
        <w:tc>
          <w:tcPr>
            <w:tcW w:w="7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836</w:t>
            </w:r>
          </w:p>
        </w:tc>
        <w:tc>
          <w:tcPr>
            <w:tcW w:w="0" w:type="dxa"/>
            <w:vAlign w:val="bottom"/>
          </w:tcPr>
          <w:p>
            <w:pPr>
              <w:spacing w:after="0"/>
              <w:rPr>
                <w:sz w:val="1"/>
                <w:szCs w:val="1"/>
                <w:color w:val="auto"/>
              </w:rPr>
            </w:pPr>
          </w:p>
        </w:tc>
      </w:tr>
      <w:tr>
        <w:trPr>
          <w:trHeight w:val="186"/>
        </w:trPr>
        <w:tc>
          <w:tcPr>
            <w:tcW w:w="2080" w:type="dxa"/>
            <w:vAlign w:val="bottom"/>
          </w:tcPr>
          <w:p>
            <w:pPr>
              <w:ind w:left="240"/>
              <w:spacing w:after="0"/>
              <w:rPr>
                <w:sz w:val="20"/>
                <w:szCs w:val="20"/>
                <w:color w:val="auto"/>
              </w:rPr>
            </w:pPr>
            <w:r>
              <w:rPr>
                <w:rFonts w:ascii="Arial" w:cs="Arial" w:eastAsia="Arial" w:hAnsi="Arial"/>
                <w:sz w:val="14"/>
                <w:szCs w:val="14"/>
                <w:color w:val="auto"/>
              </w:rPr>
              <w:t>Restricted Stock Units</w:t>
            </w:r>
          </w:p>
        </w:tc>
        <w:tc>
          <w:tcPr>
            <w:tcW w:w="7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Issuance of common stock</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under employee stock</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945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945</w:t>
            </w:r>
          </w:p>
        </w:tc>
        <w:tc>
          <w:tcPr>
            <w:tcW w:w="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 plan</w:t>
            </w:r>
          </w:p>
        </w:tc>
        <w:tc>
          <w:tcPr>
            <w:tcW w:w="7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80" w:type="dxa"/>
            <w:vAlign w:val="bottom"/>
          </w:tcPr>
          <w:p>
            <w:pPr>
              <w:ind w:left="240"/>
              <w:spacing w:after="0"/>
              <w:rPr>
                <w:sz w:val="20"/>
                <w:szCs w:val="20"/>
                <w:color w:val="auto"/>
              </w:rPr>
            </w:pPr>
            <w:r>
              <w:rPr>
                <w:rFonts w:ascii="Arial" w:cs="Arial" w:eastAsia="Arial" w:hAnsi="Arial"/>
                <w:sz w:val="14"/>
                <w:szCs w:val="14"/>
                <w:color w:val="auto"/>
              </w:rPr>
              <w:t>Stock option exercises</w:t>
            </w:r>
          </w:p>
        </w:tc>
        <w:tc>
          <w:tcPr>
            <w:tcW w:w="700" w:type="dxa"/>
            <w:vAlign w:val="bottom"/>
            <w:gridSpan w:val="2"/>
          </w:tcPr>
          <w:p>
            <w:pPr>
              <w:ind w:left="42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ind w:left="4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480" w:type="dxa"/>
            <w:vAlign w:val="bottom"/>
            <w:gridSpan w:val="2"/>
          </w:tcPr>
          <w:p>
            <w:pPr>
              <w:ind w:left="20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1,356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14,407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14,421</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1,356</w:t>
            </w:r>
          </w:p>
        </w:tc>
        <w:tc>
          <w:tcPr>
            <w:tcW w:w="0" w:type="dxa"/>
            <w:vAlign w:val="bottom"/>
          </w:tcPr>
          <w:p>
            <w:pPr>
              <w:spacing w:after="0"/>
              <w:rPr>
                <w:sz w:val="1"/>
                <w:szCs w:val="1"/>
                <w:color w:val="auto"/>
              </w:rPr>
            </w:pPr>
          </w:p>
        </w:tc>
      </w:tr>
      <w:tr>
        <w:trPr>
          <w:trHeight w:val="136"/>
        </w:trPr>
        <w:tc>
          <w:tcPr>
            <w:tcW w:w="2080" w:type="dxa"/>
            <w:vAlign w:val="bottom"/>
            <w:shd w:val="clear" w:color="auto" w:fill="CCEEFF"/>
          </w:tcPr>
          <w:p>
            <w:pPr>
              <w:ind w:left="240"/>
              <w:spacing w:after="0" w:line="137" w:lineRule="exact"/>
              <w:rPr>
                <w:sz w:val="20"/>
                <w:szCs w:val="20"/>
                <w:color w:val="auto"/>
              </w:rPr>
            </w:pPr>
            <w:r>
              <w:rPr>
                <w:rFonts w:ascii="Arial" w:cs="Arial" w:eastAsia="Arial" w:hAnsi="Arial"/>
                <w:sz w:val="14"/>
                <w:szCs w:val="14"/>
                <w:color w:val="auto"/>
              </w:rPr>
              <w:t>Recognized interest expense</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on interest rate swaps (net of</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536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536</w:t>
            </w:r>
          </w:p>
        </w:tc>
        <w:tc>
          <w:tcPr>
            <w:tcW w:w="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tax impact of $163)</w:t>
            </w:r>
          </w:p>
        </w:tc>
        <w:tc>
          <w:tcPr>
            <w:tcW w:w="7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Balances as of July 31, 2021</w:t>
            </w:r>
          </w:p>
        </w:tc>
        <w:tc>
          <w:tcPr>
            <w:tcW w:w="6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92,884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187,746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1,260,805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(1,862)</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1,447,618</w:t>
            </w:r>
          </w:p>
        </w:tc>
        <w:tc>
          <w:tcPr>
            <w:tcW w:w="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92,884</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Condensed 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PARTNERS' /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46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Redeemable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Membership</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460" w:type="dxa"/>
            <w:vAlign w:val="bottom"/>
            <w:gridSpan w:val="5"/>
            <w:vMerge w:val="continue"/>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380" w:type="dxa"/>
            <w:vAlign w:val="bottom"/>
            <w:gridSpan w:val="10"/>
            <w:vMerge w:val="restart"/>
          </w:tcPr>
          <w:p>
            <w:pPr>
              <w:ind w:left="80"/>
              <w:spacing w:after="0"/>
              <w:rPr>
                <w:sz w:val="20"/>
                <w:szCs w:val="20"/>
                <w:color w:val="auto"/>
              </w:rPr>
            </w:pPr>
            <w:r>
              <w:rPr>
                <w:rFonts w:ascii="Arial" w:cs="Arial" w:eastAsia="Arial" w:hAnsi="Arial"/>
                <w:sz w:val="14"/>
                <w:szCs w:val="14"/>
                <w:b w:val="1"/>
                <w:bCs w:val="1"/>
                <w:color w:val="auto"/>
              </w:rPr>
              <w:t>Partners' / Stockholders' Equity</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Units /</w:t>
            </w:r>
          </w:p>
        </w:tc>
        <w:tc>
          <w:tcPr>
            <w:tcW w:w="0" w:type="dxa"/>
            <w:vAlign w:val="bottom"/>
          </w:tcPr>
          <w:p>
            <w:pPr>
              <w:spacing w:after="0"/>
              <w:rPr>
                <w:sz w:val="1"/>
                <w:szCs w:val="1"/>
                <w:color w:val="auto"/>
              </w:rPr>
            </w:pPr>
          </w:p>
        </w:tc>
      </w:tr>
      <w:tr>
        <w:trPr>
          <w:trHeight w:val="188"/>
        </w:trPr>
        <w:tc>
          <w:tcPr>
            <w:tcW w:w="2080" w:type="dxa"/>
            <w:vAlign w:val="bottom"/>
          </w:tcPr>
          <w:p>
            <w:pPr>
              <w:spacing w:after="0"/>
              <w:rPr>
                <w:sz w:val="16"/>
                <w:szCs w:val="16"/>
                <w:color w:val="auto"/>
              </w:rPr>
            </w:pPr>
          </w:p>
        </w:tc>
        <w:tc>
          <w:tcPr>
            <w:tcW w:w="138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Membership Units</w:t>
            </w:r>
          </w:p>
        </w:tc>
        <w:tc>
          <w:tcPr>
            <w:tcW w:w="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10"/>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97"/>
        </w:trPr>
        <w:tc>
          <w:tcPr>
            <w:tcW w:w="2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7"/>
              </w:rPr>
              <w:t>Partners' /</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Partners' Equity</w:t>
            </w:r>
          </w:p>
        </w:tc>
        <w:tc>
          <w:tcPr>
            <w:tcW w:w="11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Paid-In</w:t>
            </w:r>
          </w:p>
        </w:tc>
        <w:tc>
          <w:tcPr>
            <w:tcW w:w="760" w:type="dxa"/>
            <w:vAlign w:val="bottom"/>
            <w:gridSpan w:val="3"/>
            <w:vMerge w:val="continue"/>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Comprehensive</w:t>
            </w:r>
          </w:p>
        </w:tc>
        <w:tc>
          <w:tcPr>
            <w:tcW w:w="9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w w:val="99"/>
              </w:rPr>
              <w:t>Stockholders'</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5"/>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7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Earnings</w:t>
            </w: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700" w:type="dxa"/>
            <w:vAlign w:val="bottom"/>
            <w:gridSpan w:val="2"/>
          </w:tcPr>
          <w:p>
            <w:pPr>
              <w:ind w:left="80"/>
              <w:spacing w:after="0" w:line="185" w:lineRule="exact"/>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18"/>
                <w:szCs w:val="18"/>
                <w:b w:val="1"/>
                <w:bCs w:val="1"/>
                <w:color w:val="auto"/>
                <w:vertAlign w:val="superscript"/>
              </w:rPr>
              <w:t>(1)</w:t>
            </w:r>
          </w:p>
        </w:tc>
        <w:tc>
          <w:tcPr>
            <w:tcW w:w="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tcBorders>
            <w:gridSpan w:val="2"/>
          </w:tcPr>
          <w:p>
            <w:pPr>
              <w:ind w:left="80"/>
              <w:spacing w:after="0" w:line="185" w:lineRule="exact"/>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18"/>
                <w:szCs w:val="18"/>
                <w:b w:val="1"/>
                <w:bCs w:val="1"/>
                <w:color w:val="auto"/>
                <w:vertAlign w:val="superscript"/>
              </w:rPr>
              <w:t>(1)</w:t>
            </w: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640" w:type="dxa"/>
            <w:vAlign w:val="bottom"/>
            <w:tcBorders>
              <w:top w:val="single" w:sz="8" w:color="auto"/>
            </w:tcBorders>
          </w:tcPr>
          <w:p>
            <w:pPr>
              <w:ind w:left="40"/>
              <w:spacing w:after="0" w:line="185" w:lineRule="exact"/>
              <w:rPr>
                <w:sz w:val="20"/>
                <w:szCs w:val="20"/>
                <w:color w:val="auto"/>
              </w:rPr>
            </w:pPr>
            <w:r>
              <w:rPr>
                <w:rFonts w:ascii="Arial" w:cs="Arial" w:eastAsia="Arial" w:hAnsi="Arial"/>
                <w:sz w:val="14"/>
                <w:szCs w:val="14"/>
                <w:b w:val="1"/>
                <w:bCs w:val="1"/>
                <w:color w:val="auto"/>
                <w:w w:val="88"/>
              </w:rPr>
              <w:t xml:space="preserve">Shares </w:t>
            </w:r>
            <w:r>
              <w:rPr>
                <w:rFonts w:ascii="Arial" w:cs="Arial" w:eastAsia="Arial" w:hAnsi="Arial"/>
                <w:sz w:val="18"/>
                <w:szCs w:val="18"/>
                <w:b w:val="1"/>
                <w:bCs w:val="1"/>
                <w:color w:val="auto"/>
                <w:w w:val="88"/>
                <w:vertAlign w:val="superscript"/>
              </w:rPr>
              <w:t>(1)</w:t>
            </w: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4"/>
                <w:szCs w:val="14"/>
                <w:b w:val="1"/>
                <w:bCs w:val="1"/>
                <w:color w:val="auto"/>
                <w:w w:val="89"/>
              </w:rPr>
              <w:t xml:space="preserve">Units / Shares </w:t>
            </w:r>
            <w:r>
              <w:rPr>
                <w:rFonts w:ascii="Arial" w:cs="Arial" w:eastAsia="Arial" w:hAnsi="Arial"/>
                <w:sz w:val="18"/>
                <w:szCs w:val="18"/>
                <w:b w:val="1"/>
                <w:bCs w:val="1"/>
                <w:color w:val="auto"/>
                <w:w w:val="89"/>
                <w:vertAlign w:val="superscript"/>
              </w:rPr>
              <w:t>(1)</w:t>
            </w:r>
          </w:p>
        </w:tc>
        <w:tc>
          <w:tcPr>
            <w:tcW w:w="0" w:type="dxa"/>
            <w:vAlign w:val="bottom"/>
          </w:tcPr>
          <w:p>
            <w:pPr>
              <w:spacing w:after="0"/>
              <w:rPr>
                <w:sz w:val="1"/>
                <w:szCs w:val="1"/>
                <w:color w:val="auto"/>
              </w:rPr>
            </w:pPr>
          </w:p>
        </w:tc>
      </w:tr>
      <w:tr>
        <w:trPr>
          <w:trHeight w:val="183"/>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6"/>
              </w:rPr>
              <w:t>Balances as of February 1, 2020</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2,818</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72,306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996,285</w:t>
            </w: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988,219</w:t>
            </w: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72,468</w:t>
            </w:r>
          </w:p>
        </w:tc>
        <w:tc>
          <w:tcPr>
            <w:tcW w:w="0" w:type="dxa"/>
            <w:vAlign w:val="bottom"/>
          </w:tcPr>
          <w:p>
            <w:pPr>
              <w:spacing w:after="0"/>
              <w:rPr>
                <w:sz w:val="1"/>
                <w:szCs w:val="1"/>
                <w:color w:val="auto"/>
              </w:rPr>
            </w:pPr>
          </w:p>
        </w:tc>
      </w:tr>
      <w:tr>
        <w:trPr>
          <w:trHeight w:val="179"/>
        </w:trPr>
        <w:tc>
          <w:tcPr>
            <w:tcW w:w="2080" w:type="dxa"/>
            <w:vAlign w:val="bottom"/>
          </w:tcPr>
          <w:p>
            <w:pPr>
              <w:ind w:left="240"/>
              <w:spacing w:after="0"/>
              <w:rPr>
                <w:sz w:val="20"/>
                <w:szCs w:val="20"/>
                <w:color w:val="auto"/>
              </w:rPr>
            </w:pPr>
            <w:r>
              <w:rPr>
                <w:rFonts w:ascii="Arial" w:cs="Arial" w:eastAsia="Arial" w:hAnsi="Arial"/>
                <w:sz w:val="14"/>
                <w:szCs w:val="14"/>
                <w:color w:val="auto"/>
              </w:rPr>
              <w:t>Net loss</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(10,020)</w:t>
            </w:r>
          </w:p>
        </w:tc>
        <w:tc>
          <w:tcPr>
            <w:tcW w:w="100" w:type="dxa"/>
            <w:vAlign w:val="bottom"/>
          </w:tcPr>
          <w:p>
            <w:pPr>
              <w:spacing w:after="0"/>
              <w:rPr>
                <w:sz w:val="15"/>
                <w:szCs w:val="15"/>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(10,020)</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Equity compensation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80" w:type="dxa"/>
            <w:vAlign w:val="bottom"/>
          </w:tcPr>
          <w:p>
            <w:pPr>
              <w:ind w:left="240"/>
              <w:spacing w:after="0" w:line="135" w:lineRule="exact"/>
              <w:rPr>
                <w:sz w:val="20"/>
                <w:szCs w:val="20"/>
                <w:color w:val="auto"/>
              </w:rPr>
            </w:pPr>
            <w:r>
              <w:rPr>
                <w:rFonts w:ascii="Arial" w:cs="Arial" w:eastAsia="Arial" w:hAnsi="Arial"/>
                <w:sz w:val="14"/>
                <w:szCs w:val="14"/>
                <w:color w:val="auto"/>
              </w:rPr>
              <w:t>Adjustment to Redeemable</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40"/>
              <w:spacing w:after="0" w:line="135" w:lineRule="exact"/>
              <w:rPr>
                <w:sz w:val="20"/>
                <w:szCs w:val="20"/>
                <w:color w:val="auto"/>
              </w:rPr>
            </w:pPr>
            <w:r>
              <w:rPr>
                <w:rFonts w:ascii="Arial" w:cs="Arial" w:eastAsia="Arial" w:hAnsi="Arial"/>
                <w:sz w:val="14"/>
                <w:szCs w:val="14"/>
                <w:color w:val="auto"/>
              </w:rPr>
              <w:t>Membership Units for</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40"/>
              <w:spacing w:after="0" w:line="135" w:lineRule="exact"/>
              <w:rPr>
                <w:sz w:val="20"/>
                <w:szCs w:val="20"/>
                <w:color w:val="auto"/>
              </w:rPr>
            </w:pPr>
            <w:r>
              <w:rPr>
                <w:rFonts w:ascii="Arial" w:cs="Arial" w:eastAsia="Arial" w:hAnsi="Arial"/>
                <w:sz w:val="14"/>
                <w:szCs w:val="14"/>
                <w:color w:val="auto"/>
              </w:rPr>
              <w:t>settlement of vested</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1"/>
                <w:szCs w:val="11"/>
                <w:color w:val="auto"/>
              </w:rPr>
            </w:pP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6"/>
        </w:trPr>
        <w:tc>
          <w:tcPr>
            <w:tcW w:w="2080" w:type="dxa"/>
            <w:vAlign w:val="bottom"/>
          </w:tcPr>
          <w:p>
            <w:pPr>
              <w:ind w:left="240"/>
              <w:spacing w:after="0"/>
              <w:rPr>
                <w:sz w:val="20"/>
                <w:szCs w:val="20"/>
                <w:color w:val="auto"/>
              </w:rPr>
            </w:pPr>
            <w:r>
              <w:rPr>
                <w:rFonts w:ascii="Arial" w:cs="Arial" w:eastAsia="Arial" w:hAnsi="Arial"/>
                <w:sz w:val="14"/>
                <w:szCs w:val="14"/>
                <w:color w:val="auto"/>
              </w:rPr>
              <w:t>Restricted Units</w:t>
            </w: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Adjustment to Redeemable</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Membership Units for</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repurchase of units from</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Managers</w:t>
            </w: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40"/>
              <w:spacing w:after="0" w:line="135" w:lineRule="exact"/>
              <w:rPr>
                <w:sz w:val="20"/>
                <w:szCs w:val="20"/>
                <w:color w:val="auto"/>
              </w:rPr>
            </w:pPr>
            <w:r>
              <w:rPr>
                <w:rFonts w:ascii="Arial" w:cs="Arial" w:eastAsia="Arial" w:hAnsi="Arial"/>
                <w:sz w:val="14"/>
                <w:szCs w:val="14"/>
                <w:color w:val="auto"/>
              </w:rPr>
              <w:t>Repurchase of Redeemable</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1"/>
                <w:szCs w:val="11"/>
                <w:color w:val="auto"/>
              </w:rPr>
            </w:pP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2080" w:type="dxa"/>
            <w:vAlign w:val="bottom"/>
          </w:tcPr>
          <w:p>
            <w:pPr>
              <w:ind w:left="240"/>
              <w:spacing w:after="0"/>
              <w:rPr>
                <w:sz w:val="20"/>
                <w:szCs w:val="20"/>
                <w:color w:val="auto"/>
              </w:rPr>
            </w:pPr>
            <w:r>
              <w:rPr>
                <w:rFonts w:ascii="Arial" w:cs="Arial" w:eastAsia="Arial" w:hAnsi="Arial"/>
                <w:sz w:val="14"/>
                <w:szCs w:val="14"/>
                <w:color w:val="auto"/>
              </w:rPr>
              <w:t>Membership Units</w:t>
            </w: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Unrealized loss on interest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(4,434)</w:t>
            </w:r>
          </w:p>
        </w:tc>
        <w:tc>
          <w:tcPr>
            <w:tcW w:w="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rate swaps</w:t>
            </w:r>
          </w:p>
        </w:tc>
        <w:tc>
          <w:tcPr>
            <w:tcW w:w="7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40"/>
              <w:spacing w:after="0" w:line="135" w:lineRule="exact"/>
              <w:rPr>
                <w:sz w:val="20"/>
                <w:szCs w:val="20"/>
                <w:color w:val="auto"/>
              </w:rPr>
            </w:pPr>
            <w:r>
              <w:rPr>
                <w:rFonts w:ascii="Arial" w:cs="Arial" w:eastAsia="Arial" w:hAnsi="Arial"/>
                <w:sz w:val="14"/>
                <w:szCs w:val="14"/>
                <w:color w:val="auto"/>
              </w:rPr>
              <w:t>Recognized interest expense</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1,893</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80" w:type="dxa"/>
            <w:vAlign w:val="bottom"/>
          </w:tcPr>
          <w:p>
            <w:pPr>
              <w:ind w:left="240"/>
              <w:spacing w:after="0"/>
              <w:rPr>
                <w:sz w:val="20"/>
                <w:szCs w:val="20"/>
                <w:color w:val="auto"/>
              </w:rPr>
            </w:pPr>
            <w:r>
              <w:rPr>
                <w:rFonts w:ascii="Arial" w:cs="Arial" w:eastAsia="Arial" w:hAnsi="Arial"/>
                <w:sz w:val="14"/>
                <w:szCs w:val="14"/>
                <w:color w:val="auto"/>
              </w:rPr>
              <w:t>on interest rate swaps</w:t>
            </w: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May 2, 2020</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2,977</w:t>
            </w: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72,306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988,178</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977,571</w:t>
            </w:r>
          </w:p>
        </w:tc>
        <w:tc>
          <w:tcPr>
            <w:tcW w:w="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72,478</w:t>
            </w:r>
          </w:p>
        </w:tc>
        <w:tc>
          <w:tcPr>
            <w:tcW w:w="0" w:type="dxa"/>
            <w:vAlign w:val="bottom"/>
          </w:tcPr>
          <w:p>
            <w:pPr>
              <w:spacing w:after="0"/>
              <w:rPr>
                <w:sz w:val="1"/>
                <w:szCs w:val="1"/>
                <w:color w:val="auto"/>
              </w:rPr>
            </w:pPr>
          </w:p>
        </w:tc>
      </w:tr>
      <w:tr>
        <w:trPr>
          <w:trHeight w:val="179"/>
        </w:trPr>
        <w:tc>
          <w:tcPr>
            <w:tcW w:w="208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167,676</w:t>
            </w:r>
          </w:p>
        </w:tc>
        <w:tc>
          <w:tcPr>
            <w:tcW w:w="100" w:type="dxa"/>
            <w:vAlign w:val="bottom"/>
          </w:tcPr>
          <w:p>
            <w:pPr>
              <w:spacing w:after="0"/>
              <w:rPr>
                <w:sz w:val="15"/>
                <w:szCs w:val="15"/>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167,676</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Equity compensation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80" w:type="dxa"/>
            <w:vAlign w:val="bottom"/>
          </w:tcPr>
          <w:p>
            <w:pPr>
              <w:ind w:left="240"/>
              <w:spacing w:after="0" w:line="135" w:lineRule="exact"/>
              <w:rPr>
                <w:sz w:val="20"/>
                <w:szCs w:val="20"/>
                <w:color w:val="auto"/>
              </w:rPr>
            </w:pPr>
            <w:r>
              <w:rPr>
                <w:rFonts w:ascii="Arial" w:cs="Arial" w:eastAsia="Arial" w:hAnsi="Arial"/>
                <w:sz w:val="14"/>
                <w:szCs w:val="14"/>
                <w:color w:val="auto"/>
              </w:rPr>
              <w:t>Unrealized loss on interest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(606)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(606)</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80" w:type="dxa"/>
            <w:vAlign w:val="bottom"/>
          </w:tcPr>
          <w:p>
            <w:pPr>
              <w:ind w:left="240"/>
              <w:spacing w:after="0"/>
              <w:rPr>
                <w:sz w:val="20"/>
                <w:szCs w:val="20"/>
                <w:color w:val="auto"/>
              </w:rPr>
            </w:pPr>
            <w:r>
              <w:rPr>
                <w:rFonts w:ascii="Arial" w:cs="Arial" w:eastAsia="Arial" w:hAnsi="Arial"/>
                <w:sz w:val="14"/>
                <w:szCs w:val="14"/>
                <w:color w:val="auto"/>
              </w:rPr>
              <w:t>rate swaps</w:t>
            </w: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Recognized interest expense</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2,874</w:t>
            </w:r>
          </w:p>
        </w:tc>
        <w:tc>
          <w:tcPr>
            <w:tcW w:w="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on interest rate swaps</w:t>
            </w:r>
          </w:p>
        </w:tc>
        <w:tc>
          <w:tcPr>
            <w:tcW w:w="7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Balances as of August 1, 2020</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2,977</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72,306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1,157,435</w:t>
            </w:r>
          </w:p>
        </w:tc>
        <w:tc>
          <w:tcPr>
            <w:tcW w:w="100" w:type="dxa"/>
            <w:vAlign w:val="bottom"/>
          </w:tcPr>
          <w:p>
            <w:pPr>
              <w:spacing w:after="0"/>
              <w:rPr>
                <w:sz w:val="15"/>
                <w:szCs w:val="15"/>
                <w:color w:val="auto"/>
              </w:rPr>
            </w:pP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(8,339)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1,149,096</w:t>
            </w:r>
          </w:p>
        </w:tc>
        <w:tc>
          <w:tcPr>
            <w:tcW w:w="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72,478</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See Retrospective Presentation of Ownership Exchange in Note 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Condensed 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Twenty-Six Weeks Ended</w:t>
            </w:r>
          </w:p>
        </w:tc>
      </w:tr>
      <w:tr>
        <w:trPr>
          <w:trHeight w:val="210"/>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31, 2021</w:t>
            </w:r>
          </w:p>
        </w:tc>
        <w:tc>
          <w:tcPr>
            <w:tcW w:w="220" w:type="dxa"/>
            <w:vAlign w:val="bottom"/>
          </w:tcPr>
          <w:p>
            <w:pPr>
              <w:spacing w:after="0"/>
              <w:rPr>
                <w:sz w:val="18"/>
                <w:szCs w:val="18"/>
                <w:color w:val="auto"/>
              </w:rPr>
            </w:pPr>
          </w:p>
        </w:tc>
        <w:tc>
          <w:tcPr>
            <w:tcW w:w="15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1, 2020</w:t>
            </w:r>
          </w:p>
        </w:tc>
      </w:tr>
      <w:tr>
        <w:trPr>
          <w:trHeight w:val="199"/>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368,306</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157,656</w:t>
            </w:r>
          </w:p>
        </w:tc>
      </w:tr>
      <w:tr>
        <w:trPr>
          <w:trHeight w:val="219"/>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744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51,308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54,151</w:t>
            </w:r>
          </w:p>
        </w:tc>
      </w:tr>
      <w:tr>
        <w:trPr>
          <w:trHeight w:val="219"/>
        </w:trPr>
        <w:tc>
          <w:tcPr>
            <w:tcW w:w="7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Non-cash lease expense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14,049</w:t>
            </w:r>
          </w:p>
        </w:tc>
      </w:tr>
      <w:tr>
        <w:trPr>
          <w:trHeight w:val="213"/>
        </w:trPr>
        <w:tc>
          <w:tcPr>
            <w:tcW w:w="7440" w:type="dxa"/>
            <w:vAlign w:val="bottom"/>
          </w:tcPr>
          <w:p>
            <w:pPr>
              <w:ind w:left="460"/>
              <w:spacing w:after="0"/>
              <w:rPr>
                <w:sz w:val="20"/>
                <w:szCs w:val="20"/>
                <w:color w:val="auto"/>
              </w:rPr>
            </w:pPr>
            <w:r>
              <w:rPr>
                <w:rFonts w:ascii="Arial" w:cs="Arial" w:eastAsia="Arial" w:hAnsi="Arial"/>
                <w:sz w:val="16"/>
                <w:szCs w:val="16"/>
                <w:color w:val="auto"/>
              </w:rPr>
              <w:t>Equity compensation</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33,205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3,690</w:t>
            </w:r>
          </w:p>
        </w:tc>
      </w:tr>
      <w:tr>
        <w:trPr>
          <w:trHeight w:val="219"/>
        </w:trPr>
        <w:tc>
          <w:tcPr>
            <w:tcW w:w="7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terminated interest rate swaps, deferred loan and other costs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w:t>
            </w:r>
          </w:p>
        </w:tc>
      </w:tr>
      <w:tr>
        <w:trPr>
          <w:trHeight w:val="213"/>
        </w:trPr>
        <w:tc>
          <w:tcPr>
            <w:tcW w:w="7440" w:type="dxa"/>
            <w:vAlign w:val="bottom"/>
          </w:tcPr>
          <w:p>
            <w:pPr>
              <w:ind w:left="46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46,628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Non-cash (gain) loss on early retirement of debt,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w:t>
            </w:r>
          </w:p>
        </w:tc>
      </w:tr>
      <w:tr>
        <w:trPr>
          <w:trHeight w:val="213"/>
        </w:trPr>
        <w:tc>
          <w:tcPr>
            <w:tcW w:w="7440" w:type="dxa"/>
            <w:vAlign w:val="bottom"/>
          </w:tcPr>
          <w:p>
            <w:pPr>
              <w:ind w:left="460"/>
              <w:spacing w:after="0"/>
              <w:rPr>
                <w:sz w:val="20"/>
                <w:szCs w:val="20"/>
                <w:color w:val="auto"/>
              </w:rPr>
            </w:pPr>
            <w:r>
              <w:rPr>
                <w:rFonts w:ascii="Arial" w:cs="Arial" w:eastAsia="Arial" w:hAnsi="Arial"/>
                <w:sz w:val="16"/>
                <w:szCs w:val="16"/>
                <w:color w:val="auto"/>
              </w:rPr>
              <w:t>Casualty loss</w:t>
            </w:r>
          </w:p>
        </w:tc>
        <w:tc>
          <w:tcPr>
            <w:tcW w:w="2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7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Changes in assets and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7440" w:type="dxa"/>
            <w:vAlign w:val="bottom"/>
          </w:tcPr>
          <w:p>
            <w:pPr>
              <w:ind w:left="68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6,515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4,819</w:t>
            </w:r>
          </w:p>
        </w:tc>
      </w:tr>
      <w:tr>
        <w:trPr>
          <w:trHeight w:val="219"/>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Merchandise inventories,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(124,986)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200,647</w:t>
            </w:r>
          </w:p>
        </w:tc>
      </w:tr>
      <w:tr>
        <w:trPr>
          <w:trHeight w:val="213"/>
        </w:trPr>
        <w:tc>
          <w:tcPr>
            <w:tcW w:w="7440" w:type="dxa"/>
            <w:vAlign w:val="bottom"/>
          </w:tcPr>
          <w:p>
            <w:pPr>
              <w:ind w:left="6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(10,737)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(1,623)</w:t>
            </w:r>
          </w:p>
        </w:tc>
      </w:tr>
      <w:tr>
        <w:trPr>
          <w:trHeight w:val="219"/>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noncurrent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744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22,958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302,391</w:t>
            </w:r>
          </w:p>
        </w:tc>
      </w:tr>
      <w:tr>
        <w:trPr>
          <w:trHeight w:val="219"/>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32,335</w:t>
            </w:r>
          </w:p>
        </w:tc>
      </w:tr>
      <w:tr>
        <w:trPr>
          <w:trHeight w:val="213"/>
        </w:trPr>
        <w:tc>
          <w:tcPr>
            <w:tcW w:w="7440" w:type="dxa"/>
            <w:vAlign w:val="bottom"/>
          </w:tcPr>
          <w:p>
            <w:pPr>
              <w:ind w:left="68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(12,996)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11,568</w:t>
            </w:r>
          </w:p>
        </w:tc>
      </w:tr>
      <w:tr>
        <w:trPr>
          <w:trHeight w:val="207"/>
        </w:trPr>
        <w:tc>
          <w:tcPr>
            <w:tcW w:w="744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405,674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773,621</w:t>
            </w:r>
          </w:p>
        </w:tc>
      </w:tr>
      <w:tr>
        <w:trPr>
          <w:trHeight w:val="77"/>
        </w:trPr>
        <w:tc>
          <w:tcPr>
            <w:tcW w:w="74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(33,767)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(13,850)</w:t>
            </w:r>
          </w:p>
        </w:tc>
      </w:tr>
      <w:tr>
        <w:trPr>
          <w:trHeight w:val="207"/>
        </w:trPr>
        <w:tc>
          <w:tcPr>
            <w:tcW w:w="744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(33,767)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(13,850)</w:t>
            </w:r>
          </w:p>
        </w:tc>
      </w:tr>
      <w:tr>
        <w:trPr>
          <w:trHeight w:val="77"/>
        </w:trPr>
        <w:tc>
          <w:tcPr>
            <w:tcW w:w="74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ABL Facility</w:t>
            </w: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Repayment of ABL Facility</w:t>
            </w:r>
          </w:p>
        </w:tc>
        <w:tc>
          <w:tcPr>
            <w:tcW w:w="2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19"/>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Repayment of Term Loan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(100,750)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(25,090)</w:t>
            </w: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Debt issuance fees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(927)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Share-Based Award Payments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31,678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issuance of common stock under employee stock purchase program</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Taxes paid related to net share settlement of equity awards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(15,418)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Repurchase of common stock for retirement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Repurchase of Redeemable Membership Units</w:t>
            </w:r>
          </w:p>
        </w:tc>
        <w:tc>
          <w:tcPr>
            <w:tcW w:w="2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0"/>
        </w:trPr>
        <w:tc>
          <w:tcPr>
            <w:tcW w:w="744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(195,686)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(25,127)</w:t>
            </w:r>
          </w:p>
        </w:tc>
      </w:tr>
      <w:tr>
        <w:trPr>
          <w:trHeight w:val="77"/>
        </w:trPr>
        <w:tc>
          <w:tcPr>
            <w:tcW w:w="7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20" w:type="dxa"/>
            <w:vAlign w:val="bottom"/>
          </w:tcPr>
          <w:p>
            <w:pPr>
              <w:spacing w:after="0"/>
              <w:rPr>
                <w:sz w:val="6"/>
                <w:szCs w:val="6"/>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176,221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734,644</w:t>
            </w:r>
          </w:p>
        </w:tc>
      </w:tr>
      <w:tr>
        <w:trPr>
          <w:trHeight w:val="21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377,604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149,385</w:t>
            </w:r>
          </w:p>
        </w:tc>
      </w:tr>
      <w:tr>
        <w:trPr>
          <w:trHeight w:val="237"/>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553,825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884,029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Cash paid for interest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24,358</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46,694</w:t>
            </w:r>
          </w:p>
        </w:tc>
      </w:tr>
      <w:tr>
        <w:trPr>
          <w:trHeight w:val="219"/>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paid for income taxes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64,211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w:t>
            </w:r>
          </w:p>
        </w:tc>
      </w:tr>
      <w:tr>
        <w:trPr>
          <w:trHeight w:val="95"/>
        </w:trPr>
        <w:tc>
          <w:tcPr>
            <w:tcW w:w="7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Non-cash issuance of common shares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501</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capital expenditures in accounts payable and accrued liabilities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4,547</w:t>
            </w:r>
          </w:p>
        </w:tc>
      </w:tr>
      <w:tr>
        <w:trPr>
          <w:trHeight w:val="210"/>
        </w:trPr>
        <w:tc>
          <w:tcPr>
            <w:tcW w:w="7440" w:type="dxa"/>
            <w:vAlign w:val="bottom"/>
          </w:tcPr>
          <w:p>
            <w:pPr>
              <w:ind w:left="240"/>
              <w:spacing w:after="0"/>
              <w:rPr>
                <w:sz w:val="20"/>
                <w:szCs w:val="20"/>
                <w:color w:val="auto"/>
              </w:rPr>
            </w:pPr>
            <w:r>
              <w:rPr>
                <w:rFonts w:ascii="Arial" w:cs="Arial" w:eastAsia="Arial" w:hAnsi="Arial"/>
                <w:sz w:val="16"/>
                <w:szCs w:val="16"/>
                <w:color w:val="auto"/>
              </w:rPr>
              <w:t>Right-of-use assets obtained in exchange for new operating leases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5,939</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71,118</w:t>
            </w: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567" w:right="459" w:bottom="1440" w:gutter="0" w:footer="0" w:header="0"/>
        </w:sectPr>
      </w:pPr>
    </w:p>
    <w:bookmarkStart w:id="8" w:name="page9"/>
    <w:bookmarkEnd w:id="8"/>
    <w:p>
      <w:pPr>
        <w:jc w:val="center"/>
        <w:ind w:right="80"/>
        <w:spacing w:after="0" w:line="275" w:lineRule="auto"/>
        <w:rPr>
          <w:sz w:val="20"/>
          <w:szCs w:val="20"/>
          <w:color w:val="auto"/>
        </w:rPr>
      </w:pPr>
      <w:r>
        <w:rPr>
          <w:rFonts w:ascii="Arial" w:cs="Arial" w:eastAsia="Arial" w:hAnsi="Arial"/>
          <w:sz w:val="18"/>
          <w:szCs w:val="18"/>
          <w:b w:val="1"/>
          <w:bCs w:val="1"/>
          <w:color w:val="auto"/>
        </w:rPr>
        <w:t>ACADEMY SPORTS AND OUTDOORS, INC.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left="260" w:firstLine="324"/>
        <w:spacing w:after="0" w:line="271" w:lineRule="auto"/>
        <w:rPr>
          <w:sz w:val="20"/>
          <w:szCs w:val="20"/>
          <w:color w:val="auto"/>
        </w:rPr>
      </w:pPr>
      <w:r>
        <w:rPr>
          <w:rFonts w:ascii="Arial" w:cs="Arial" w:eastAsia="Arial" w:hAnsi="Arial"/>
          <w:sz w:val="17"/>
          <w:szCs w:val="17"/>
          <w:color w:val="auto"/>
        </w:rPr>
        <w:t>All references to "we", "us," "our" or the "Company" in the financial statements refer to, (1) prior to October 1, 2020, New Academy Holding Company, LLC, a Delaware limited liability company ("NAHC") and the prior parent holding company for our operations, and its consolidated subsidiaries; and (2) on and after October 1, 2020,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Our fiscal year represents the 52 or 53 weeks ending on the Saturday closest to January 31. On August 3, 2011, an investment entity owned by investment funds and other entities affiliated with Kohlberg Kravis Roberts &amp; Co. L.P. (collectively, "KKR"), acquired a majority interest in the Company. As of July 31, 2021, KKR held an ownership interest of approximately 20% in the Company.</w:t>
      </w:r>
    </w:p>
    <w:p>
      <w:pPr>
        <w:spacing w:after="0" w:line="124" w:lineRule="exact"/>
        <w:rPr>
          <w:sz w:val="20"/>
          <w:szCs w:val="20"/>
          <w:color w:val="auto"/>
        </w:rPr>
      </w:pPr>
    </w:p>
    <w:p>
      <w:pPr>
        <w:jc w:val="both"/>
        <w:ind w:left="260" w:firstLine="324"/>
        <w:spacing w:after="0" w:line="259" w:lineRule="auto"/>
        <w:rPr>
          <w:sz w:val="20"/>
          <w:szCs w:val="20"/>
          <w:color w:val="auto"/>
        </w:rPr>
      </w:pPr>
      <w:r>
        <w:rPr>
          <w:rFonts w:ascii="Arial" w:cs="Arial" w:eastAsia="Arial" w:hAnsi="Arial"/>
          <w:sz w:val="18"/>
          <w:szCs w:val="18"/>
          <w:color w:val="auto"/>
        </w:rPr>
        <w:t xml:space="preserve">The Company is one of the leading full-line sporting goods and outdoor recreational products retailers in the United States in terms of net sales. As of July 31, 2021, we operated 259 "Academy Sports + Outdoors" retail locations in 16 states and three distribution centers located in Katy, Texas, Twiggs County, Georgia and Cookeville, Tennessee. We also sell merchandise to customers across most of the United States via our </w:t>
      </w:r>
      <w:r>
        <w:rPr>
          <w:rFonts w:ascii="Arial" w:cs="Arial" w:eastAsia="Arial" w:hAnsi="Arial"/>
          <w:sz w:val="18"/>
          <w:szCs w:val="18"/>
          <w:i w:val="1"/>
          <w:iCs w:val="1"/>
          <w:color w:val="auto"/>
        </w:rPr>
        <w:t>academy.com</w:t>
      </w:r>
      <w:r>
        <w:rPr>
          <w:rFonts w:ascii="Arial" w:cs="Arial" w:eastAsia="Arial" w:hAnsi="Arial"/>
          <w:sz w:val="18"/>
          <w:szCs w:val="18"/>
          <w:color w:val="auto"/>
        </w:rPr>
        <w:t xml:space="preserve"> website.</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Initial Public Offering and Reorganization Transactions</w:t>
      </w:r>
    </w:p>
    <w:p>
      <w:pPr>
        <w:spacing w:after="0" w:line="171" w:lineRule="exact"/>
        <w:rPr>
          <w:sz w:val="20"/>
          <w:szCs w:val="20"/>
          <w:color w:val="auto"/>
        </w:rPr>
      </w:pPr>
    </w:p>
    <w:p>
      <w:pPr>
        <w:jc w:val="both"/>
        <w:ind w:left="260" w:firstLine="324"/>
        <w:spacing w:after="0" w:line="271" w:lineRule="auto"/>
        <w:rPr>
          <w:sz w:val="20"/>
          <w:szCs w:val="20"/>
          <w:color w:val="auto"/>
        </w:rPr>
      </w:pPr>
      <w:r>
        <w:rPr>
          <w:rFonts w:ascii="Arial" w:cs="Arial" w:eastAsia="Arial" w:hAnsi="Arial"/>
          <w:sz w:val="17"/>
          <w:szCs w:val="17"/>
          <w:color w:val="auto"/>
        </w:rPr>
        <w:t>On October 6, 2020, ASO, Inc. completed an initial public offering (the "IPO") in which we issued and sold 15,625,000 shares of common stock, $0.01 par value for cash consideration of $12.22 per share (representing an initial public offering price of $13.00 per share, net of underwriting discounts) to a syndicate of underwriters led by Credit Suisse Securities (USA) LLC and J.P. Morgan Securities LLC, as representatives, resulting in net proceeds of approximately $184.9 million after deducting underwriting discounts, which included approximately $2.7 million paid to KKR Capital Markets LLC ("KCM"), an affiliate of KKR, for underwriting services in connection with the IPO, and $6.1 million in costs directly associated with the IPO ("Offering Costs"), such as legal and accounting fees. The shares sold in the offering were registered under the Securities Act of 1933, as amended (the "Securities Act"), pursuant to our registration statement on Form S-1 (File No. 333-248683) (the "Registration Statement"), which was declared effective by the Securities and Exchange Commission (the "SEC") on October 1, 2020.</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 connection with our IPO, we completed a series of reorganization transactions (the "Reorganization Transactions") that resulted in:</w:t>
      </w:r>
    </w:p>
    <w:p>
      <w:pPr>
        <w:spacing w:after="0" w:line="183" w:lineRule="exact"/>
        <w:rPr>
          <w:sz w:val="20"/>
          <w:szCs w:val="20"/>
          <w:color w:val="auto"/>
        </w:rPr>
      </w:pPr>
    </w:p>
    <w:p>
      <w:pPr>
        <w:ind w:left="1220" w:hanging="320"/>
        <w:spacing w:after="0" w:line="277" w:lineRule="auto"/>
        <w:tabs>
          <w:tab w:leader="none" w:pos="1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NAHC, the previous parent holding company for the Company, being contributed to ASO, Inc. by its members and becoming a wholly-owned subsidiary of ASO, Inc., which thereupon became our parent holding company; and</w:t>
      </w:r>
    </w:p>
    <w:p>
      <w:pPr>
        <w:spacing w:after="0" w:line="8" w:lineRule="exact"/>
        <w:rPr>
          <w:rFonts w:ascii="Arial" w:cs="Arial" w:eastAsia="Arial" w:hAnsi="Arial"/>
          <w:sz w:val="18"/>
          <w:szCs w:val="18"/>
          <w:color w:val="auto"/>
        </w:rPr>
      </w:pPr>
    </w:p>
    <w:p>
      <w:pPr>
        <w:ind w:left="1220" w:right="20" w:hanging="320"/>
        <w:spacing w:after="0" w:line="277" w:lineRule="auto"/>
        <w:tabs>
          <w:tab w:leader="none" w:pos="1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share of common stock of ASO, Inc. issued to then-existing members of NAHC for every 3.15 membership units of NAHC contributed to ASO, Inc.</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IPO Over-Allotment Exercise</w:t>
      </w:r>
    </w:p>
    <w:p>
      <w:pPr>
        <w:spacing w:after="0" w:line="171" w:lineRule="exact"/>
        <w:rPr>
          <w:sz w:val="20"/>
          <w:szCs w:val="20"/>
          <w:color w:val="auto"/>
        </w:rPr>
      </w:pPr>
    </w:p>
    <w:p>
      <w:pPr>
        <w:jc w:val="both"/>
        <w:ind w:left="260" w:firstLine="324"/>
        <w:spacing w:after="0" w:line="296" w:lineRule="auto"/>
        <w:rPr>
          <w:sz w:val="20"/>
          <w:szCs w:val="20"/>
          <w:color w:val="auto"/>
        </w:rPr>
      </w:pPr>
      <w:r>
        <w:rPr>
          <w:rFonts w:ascii="Arial" w:cs="Arial" w:eastAsia="Arial" w:hAnsi="Arial"/>
          <w:sz w:val="16"/>
          <w:szCs w:val="16"/>
          <w:color w:val="auto"/>
        </w:rPr>
        <w:t>On November 3, 2020, ASO, Inc. issued and sold an additional 1,807,495 shares of the Company's common stock, par value $0.01 per share, for cash consideration of $12.22 per share (representing an initial public offering price of $13.00 per share, net of underwriting discounts) to the IPO underwriters, resulting in approximately $22.1 million in proceeds net of underwriting discounts, which included $0.3 million paid to KCM for underwriting services, pursuant to the partial exercise by the underwriters of their option to purchase up to 2,343,750 additional shares to cover over-allotments in connection with the IPO (the "IPO Over-Allotment Exercise"). The option expired with respect to the remaining shares.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93" w:right="33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171" w:lineRule="exact"/>
        <w:rPr>
          <w:sz w:val="20"/>
          <w:szCs w:val="20"/>
          <w:color w:val="auto"/>
        </w:rPr>
      </w:pPr>
    </w:p>
    <w:p>
      <w:pPr>
        <w:jc w:val="both"/>
        <w:ind w:left="260" w:firstLine="324"/>
        <w:spacing w:after="0" w:line="289" w:lineRule="auto"/>
        <w:rPr>
          <w:sz w:val="20"/>
          <w:szCs w:val="20"/>
          <w:color w:val="auto"/>
        </w:rPr>
      </w:pPr>
      <w:r>
        <w:rPr>
          <w:rFonts w:ascii="Arial" w:cs="Arial" w:eastAsia="Arial" w:hAnsi="Arial"/>
          <w:sz w:val="16"/>
          <w:szCs w:val="16"/>
          <w:color w:val="auto"/>
        </w:rPr>
        <w:t>On January 27, 2021, ASO, Inc. entered into an Underwriting Agreement (the “Underwriting Agreement”), by and among ASO, Inc., Allstar LLC, Allstar Co-Invest Blocker L.P., KKR 2006 Allstar Blocker L.P., MSI 2011 LLC, MG Family Limited Partnership and the former management selling stockholder named therein (collectively, the “Selling Stockholders”), and Credit Suisse Securities (USA) LLC and J.P. Morgan Securities LLC, as representatives of the several underwriters named therein (the “Underwriters”), relating to an underwritten offering of 12,000,000 shares of Common Stock (the “Secondary Offering”), pursuant to the Company’s Registration Statement on Form S-1 (File No. 333-252390), filed on January 25, 2021. The Selling Stockholders granted the Underwriters the option to purchase, within 30 days from the date of the Underwriting Agreement, an additional 1,800,000 shares of Common Stock. On January 29, 2021, the Underwriters exercised in full their option to purchase the additional shares. The Secondary Offering was completed on February 1, 2021. Pursuant to the Underwriting Agreement, the Underwriters purchased the shares from the Selling Stockholders at a price of $20.69375 per share. The Company did not receive any proceeds from the Secondary Offering.</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May 2021 Secondary Offering and Stock Repurchase</w:t>
      </w:r>
    </w:p>
    <w:p>
      <w:pPr>
        <w:spacing w:after="0" w:line="171" w:lineRule="exact"/>
        <w:rPr>
          <w:sz w:val="20"/>
          <w:szCs w:val="20"/>
          <w:color w:val="auto"/>
        </w:rPr>
      </w:pPr>
    </w:p>
    <w:p>
      <w:pPr>
        <w:jc w:val="both"/>
        <w:ind w:left="260" w:firstLine="324"/>
        <w:spacing w:after="0" w:line="270" w:lineRule="auto"/>
        <w:rPr>
          <w:sz w:val="20"/>
          <w:szCs w:val="20"/>
          <w:color w:val="auto"/>
        </w:rPr>
      </w:pPr>
      <w:r>
        <w:rPr>
          <w:rFonts w:ascii="Arial" w:cs="Arial" w:eastAsia="Arial" w:hAnsi="Arial"/>
          <w:sz w:val="17"/>
          <w:szCs w:val="17"/>
          <w:color w:val="auto"/>
        </w:rPr>
        <w:t>On May 5, 2021, ASO, Inc. entered into an underwriting agreement (the “May 2021 Underwriting Agreement”), by and among ASO, Inc., Allstar LLC, Allstar Co-Invest Blocker L.P., KKR 2006 Allstar Blocker L.P., MSI 2011 LLC and MG Family Limited Partnership (collectively, the “May 2021 Selling Stockholders”), and Credit Suisse Securities (USA) LLC and J.P. Morgan Securities LLC, as representatives of the several underwriters named therein (the “May 2021 Underwriters”), relating to an underwritten offering of 14,000,000 shares of Common Stock at $30.96 per share (the “May 2021 Secondary Offering”), pursuant to the Company’s Registration Statement on Form S-1 (File No. 333-255720), filed on May 3, 2021. The May 2021 Selling Stockholders granted the May 2021 Underwriters the option to purchase, within 30 days from the date of the May 2021 Underwriting Agreement, an additional 2,100,000 shares of Common Stock. On May 6, 2021, the May 2021 Underwriters exercised in full their option to purchase the additional shares. The May 2021 Secondary Offering was completed on May 10, 2021. The Company did not receive any proceeds from the May 2021 Secondary Offering.</w:t>
      </w:r>
    </w:p>
    <w:p>
      <w:pPr>
        <w:spacing w:after="0" w:line="127" w:lineRule="exact"/>
        <w:rPr>
          <w:sz w:val="20"/>
          <w:szCs w:val="20"/>
          <w:color w:val="auto"/>
        </w:rPr>
      </w:pPr>
    </w:p>
    <w:p>
      <w:pPr>
        <w:jc w:val="both"/>
        <w:ind w:left="260" w:firstLine="324"/>
        <w:spacing w:after="0" w:line="257" w:lineRule="auto"/>
        <w:rPr>
          <w:sz w:val="20"/>
          <w:szCs w:val="20"/>
          <w:color w:val="auto"/>
        </w:rPr>
      </w:pPr>
      <w:r>
        <w:rPr>
          <w:rFonts w:ascii="Arial" w:cs="Arial" w:eastAsia="Arial" w:hAnsi="Arial"/>
          <w:sz w:val="18"/>
          <w:szCs w:val="18"/>
          <w:color w:val="auto"/>
        </w:rPr>
        <w:t>The May 2021 Secondary Offering also included the Company's repurchase and simultaneous retirement of 3,229,974 shares out of the 14,000,000 shares at $30.96 per share, the same price granted to the underwriters. The Company allocated the excess of the repurchase price over the par value of shares acquired to Retained Earnings and Additional Paid-in Capital. The portion allocated to Additional Paid-in Capital is determined by dividing the number of shares to be retired by the number of shares issued multiplied by the balance of Additional Paid-in Capital as of the retirement date.</w:t>
      </w:r>
    </w:p>
    <w:p>
      <w:pPr>
        <w:spacing w:after="0" w:line="134" w:lineRule="exact"/>
        <w:rPr>
          <w:sz w:val="20"/>
          <w:szCs w:val="20"/>
          <w:color w:val="auto"/>
        </w:rPr>
      </w:pPr>
    </w:p>
    <w:p>
      <w:pPr>
        <w:jc w:val="both"/>
        <w:ind w:left="260" w:firstLine="324"/>
        <w:spacing w:after="0" w:line="273" w:lineRule="auto"/>
        <w:rPr>
          <w:sz w:val="20"/>
          <w:szCs w:val="20"/>
          <w:color w:val="auto"/>
        </w:rPr>
      </w:pPr>
      <w:r>
        <w:rPr>
          <w:rFonts w:ascii="Arial" w:cs="Arial" w:eastAsia="Arial" w:hAnsi="Arial"/>
          <w:sz w:val="17"/>
          <w:szCs w:val="17"/>
          <w:color w:val="auto"/>
        </w:rPr>
        <w:t>The May 2021 Secondary Offering reduced the KKR ownership interest in the Company, resulting in a vesting event (the "2021 Vesting Event") for awards granted under the 2011 Unit Incentive Plan, whereby unvested time awards and performance-based awards which had previously met their performance targets vested and unvested performance-based awards which had not previously met their performance targets were forfeited. As a result, we incurred approximately $24.9 million in non-cash expenses related to equity-based compensation and approximately $15.4 million of cash expenses related to taxes on equity-based compensation. Additionally, approximately $8.2 million of Share-Based Award Payments (see Note 9) for equity-based compensation distributions were accelerated during the 2021 second quarter.</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jc w:val="both"/>
        <w:ind w:left="260" w:firstLine="324"/>
        <w:spacing w:after="0" w:line="288" w:lineRule="auto"/>
        <w:rPr>
          <w:sz w:val="20"/>
          <w:szCs w:val="20"/>
          <w:color w:val="auto"/>
        </w:rPr>
      </w:pPr>
      <w:r>
        <w:rPr>
          <w:rFonts w:ascii="Arial" w:cs="Arial" w:eastAsia="Arial" w:hAnsi="Arial"/>
          <w:sz w:val="16"/>
          <w:szCs w:val="16"/>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included in the Company's Annual Report on Form 10-K for the fiscal year ended January 30, 2021, as filed with the Securities and Exchange Commission on April 7, 2021 (the "Annual Report"). The information furnished herein reflects all normal recurring adjustments which are, in the opinion of management, necessary for a fair presentation of the results for the interim periods presented. The results of operations for the thirteen and twenty-six weeks ended July 31, 2021 are not necessarily indicative of the results that will be realized for the fiscal year ending January 29, 2022 or any other period. The balance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9"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sheet as of January 30, 2021 has been derived from our audited financial statements as of that date. For further information, refer to our audited financial statements and notes thereto included in the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unaudited condensed consolidated financial statements include the accounts of ASO, Inc. and, its subsidiaries, NAHC, Academy Managing Co., LLC, Associated Investors, LLC, Academy, Ltd., the Company's operating company, and Academy International Limited. NAHC, Academy Managing Co., LLC, and Associated Investors, LLC are intermediate holding companies. All intercompany balances and transactions have been eliminated in consolidation. ASO Co-Invest Blocker Sub, L.P. and ASO Blocker Sub, L.P. were dissolved effective January 31,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and additional unforeseen effects from the COVID-19 pandemic, these estimates remain more challenging, and actual results could differ materially from our estimates.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and twenty-six weeks ended August 1, 2020 for comparability purposes. This reclassification is in divisional presentation only and did not impact the overall net sales balances previously disclosed.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Retrospective Presentation of Ownership Exchange</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the IPO, ASO, Inc. was a wholly-owned subsidiary of NAHC. On the IPO pricing date (October 1, 2020), the then-existing members of NAHC contributed all of their membership units of NAHC to ASO, Inc. and, in exchange, received one share of common stock of ASO, Inc. for every 3.15 membership units of NAHC contributed to ASO, Inc. (such 3.15:1 contribution and exchange ratio, the "Contribution Ratio"). As a result of such contributions and exchanges, upon the IPO, NAHC became a wholly-owned subsidiary of ASO, Inc., which became our parent holding company. The par value and authorized shares of the common stock of ASO, Inc. of $0.01 and 300,000,000, respectively, remain unchanged as a result of such contributions and exchanges. All membership units and redeemable membership units in the financial statements and notes have been retrospectively adjusted to give effect to the Contribution Ratio, as if such contributions and exchanges occurred as of all pre-IPO periods presented, including the periods presented on the Balance Sheets, Statements of Income, Statements of Partners’ / Stockholders’ Equity, Note 9. Equity and Share-Based Compensation, and Note 10. Earnings per Common Share.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Membership Units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October 1, 2020, Allstar Managers LLC, a Delaware limited liability company ("Managers"), owned membership units in NAHC (each, a "NAHC Membership Unit"). Managers was dissolved and its assets were distributed to its members on December 23, 2020. Managers was 100% owned by certain current and former executives and directors of the Company and was formed to facilitate the purchase of indirect contingently redeemable ownership interests in NAHC. Prior to October 1, 2020, certain executives and directors could acquire contingently redeemable membership units in Managers (the "Redeemable Membership Units"), either by (1) purchasing the Redeemable Membership Units with cash consideration, which was subsequently contributed to NAHC by Managers in exchange for a number of NAHC Membership Units equal to the number of Redeemable Membership Units purchased, or (2) by receiving the Redeemable Membership Units in settlement of vested restricted units awarded to the executive or director under the Company's 2011 Unit Incentive Plan (see Note 9). Each outstanding Redeemable Membership Unit in Managers corresponded to an outstanding NAHC Membership Unit, on a unit-for-unit basis.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9" w:right="339" w:bottom="1440" w:gutter="0" w:footer="0" w:header="0"/>
        </w:sectPr>
      </w:pPr>
    </w:p>
    <w:bookmarkStart w:id="11" w:name="page12"/>
    <w:bookmarkEnd w:id="11"/>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1, 2020, Managers received one share of ASO, Inc. common stock in exchange for every 3.15 membership units in NAHC that Managers contributed to ASO, Inc., and the Redeemable Membership Units in Managers that were held by its owners were reduced proportionately by the Contribution Ratio, so that the outstanding number of Redeemable Membership Units in Managers equal the number of shares of ASO, Inc. common stock held by Managers on a 1:1 basis.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NAHC was the sole managing member of Managers with a controlling voting interest, but no economic interest, in Managers. As the sole managing member of Managers, NAHC operated and controlled all business affairs of Managers.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terms and conditions of the agreements governing the Redeemable Membership Units included provisions by which the holder, or its heirs, had the right to require Managers or NAHC to purchase the holder's Redeemable Membership Units upon the holder’s termination of employment due to death or disability for cash at fair value. The carrying value of the Redeemable Membership Units was classified as temporary equity, initially at fair value, as redemption was an event that was not solely within our control. If redemption became probable, we were required to re-measure the Redeemable Membership Units to fair value. Periodically, these rights lapsed due to contractual expiration or a holder's termination of employment for reasons other than death or disability.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2019-12 Income Taxes (Topic 740)</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ASU 2019-12 is effective for fiscal years and interim periods beginning after December 15, 2020. This update simplifies the accounting for income taxes by removing certain exceptions and amends existing guidance to improve consistent application. The Company adopted ASU 2019-12 on January 31, 2021 and it did not have a material impact on our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This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adoption of this guidance is effective for all entities as of March 12, 2020 through December 31, 2022. The Company is currently evaluating the expedients and exceptions provided by this amendment as it relates to our transition from LIBOR to another reference rate to determine the impact.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Net Sales</w:t>
      </w:r>
    </w:p>
    <w:p>
      <w:pPr>
        <w:spacing w:after="0" w:line="175"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sets forth the approximate amount of sales by merchandise divisions for the periods presented (amounts in thousands):</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300" w:type="dxa"/>
            <w:vAlign w:val="bottom"/>
            <w:gridSpan w:val="5"/>
          </w:tcPr>
          <w:p>
            <w:pPr>
              <w:ind w:left="640"/>
              <w:spacing w:after="0"/>
              <w:rPr>
                <w:sz w:val="20"/>
                <w:szCs w:val="20"/>
                <w:color w:val="auto"/>
              </w:rPr>
            </w:pPr>
            <w:r>
              <w:rPr>
                <w:rFonts w:ascii="Arial" w:cs="Arial" w:eastAsia="Arial" w:hAnsi="Arial"/>
                <w:sz w:val="18"/>
                <w:szCs w:val="18"/>
                <w:b w:val="1"/>
                <w:bCs w:val="1"/>
                <w:color w:val="auto"/>
              </w:rPr>
              <w:t>Thirteen Weeks Ended</w:t>
            </w:r>
          </w:p>
        </w:tc>
        <w:tc>
          <w:tcPr>
            <w:tcW w:w="500" w:type="dxa"/>
            <w:vAlign w:val="bottom"/>
          </w:tcPr>
          <w:p>
            <w:pPr>
              <w:spacing w:after="0"/>
              <w:rPr>
                <w:sz w:val="20"/>
                <w:szCs w:val="20"/>
                <w:color w:val="auto"/>
              </w:rPr>
            </w:pPr>
          </w:p>
        </w:tc>
        <w:tc>
          <w:tcPr>
            <w:tcW w:w="32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Twenty-Six Weeks Ended</w:t>
            </w:r>
          </w:p>
        </w:tc>
      </w:tr>
      <w:tr>
        <w:trPr>
          <w:trHeight w:val="223"/>
        </w:trPr>
        <w:tc>
          <w:tcPr>
            <w:tcW w:w="33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July 31, 2021</w:t>
            </w:r>
          </w:p>
        </w:tc>
        <w:tc>
          <w:tcPr>
            <w:tcW w:w="4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August 1, 2020</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July 31, 2021</w:t>
            </w:r>
          </w:p>
        </w:tc>
        <w:tc>
          <w:tcPr>
            <w:tcW w:w="4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August 1, 2020</w:t>
            </w:r>
          </w:p>
        </w:tc>
      </w:tr>
      <w:tr>
        <w:trPr>
          <w:trHeight w:val="209"/>
        </w:trPr>
        <w:tc>
          <w:tcPr>
            <w:tcW w:w="3360" w:type="dxa"/>
            <w:vAlign w:val="bottom"/>
            <w:tcBorders>
              <w:top w:val="single" w:sz="8" w:color="CCEEFF"/>
            </w:tcBorders>
            <w:shd w:val="clear" w:color="auto" w:fill="CCEEFF"/>
          </w:tcPr>
          <w:p>
            <w:pPr>
              <w:ind w:left="340"/>
              <w:spacing w:after="0" w:line="210" w:lineRule="exact"/>
              <w:rPr>
                <w:sz w:val="20"/>
                <w:szCs w:val="20"/>
                <w:color w:val="auto"/>
              </w:rPr>
            </w:pPr>
            <w:r>
              <w:rPr>
                <w:rFonts w:ascii="Arial" w:cs="Arial" w:eastAsia="Arial" w:hAnsi="Arial"/>
                <w:sz w:val="18"/>
                <w:szCs w:val="18"/>
                <w:color w:val="auto"/>
              </w:rPr>
              <w:t xml:space="preserve">Merchandise division sales </w:t>
            </w:r>
            <w:r>
              <w:rPr>
                <w:rFonts w:ascii="Arial" w:cs="Arial" w:eastAsia="Arial" w:hAnsi="Arial"/>
                <w:sz w:val="23"/>
                <w:szCs w:val="23"/>
                <w:color w:val="auto"/>
                <w:vertAlign w:val="superscript"/>
              </w:rPr>
              <w:t>(1)</w:t>
            </w:r>
          </w:p>
        </w:tc>
        <w:tc>
          <w:tcPr>
            <w:tcW w:w="5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3360" w:type="dxa"/>
            <w:vAlign w:val="bottom"/>
          </w:tcPr>
          <w:p>
            <w:pPr>
              <w:ind w:left="560"/>
              <w:spacing w:after="0"/>
              <w:rPr>
                <w:sz w:val="20"/>
                <w:szCs w:val="20"/>
                <w:color w:val="auto"/>
              </w:rPr>
            </w:pPr>
            <w:r>
              <w:rPr>
                <w:rFonts w:ascii="Arial" w:cs="Arial" w:eastAsia="Arial" w:hAnsi="Arial"/>
                <w:sz w:val="18"/>
                <w:szCs w:val="18"/>
                <w:color w:val="auto"/>
              </w:rPr>
              <w:t>Outdoors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539,498</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532,786</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1,025,156</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961,591</w:t>
            </w:r>
          </w:p>
        </w:tc>
      </w:tr>
      <w:tr>
        <w:trPr>
          <w:trHeight w:val="230"/>
        </w:trPr>
        <w:tc>
          <w:tcPr>
            <w:tcW w:w="3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Sports and recreation</w:t>
            </w: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410,492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812,906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654,657</w:t>
            </w:r>
          </w:p>
        </w:tc>
      </w:tr>
      <w:tr>
        <w:trPr>
          <w:trHeight w:val="229"/>
        </w:trPr>
        <w:tc>
          <w:tcPr>
            <w:tcW w:w="3360" w:type="dxa"/>
            <w:vAlign w:val="bottom"/>
          </w:tcPr>
          <w:p>
            <w:pPr>
              <w:ind w:left="560"/>
              <w:spacing w:after="0"/>
              <w:rPr>
                <w:sz w:val="20"/>
                <w:szCs w:val="20"/>
                <w:color w:val="auto"/>
              </w:rPr>
            </w:pPr>
            <w:r>
              <w:rPr>
                <w:rFonts w:ascii="Arial" w:cs="Arial" w:eastAsia="Arial" w:hAnsi="Arial"/>
                <w:sz w:val="18"/>
                <w:szCs w:val="18"/>
                <w:color w:val="auto"/>
              </w:rPr>
              <w:t>Apparel</w:t>
            </w: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493,470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413,702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869,244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622,178</w:t>
            </w:r>
          </w:p>
        </w:tc>
      </w:tr>
      <w:tr>
        <w:trPr>
          <w:trHeight w:val="230"/>
        </w:trPr>
        <w:tc>
          <w:tcPr>
            <w:tcW w:w="3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Footwear</w:t>
            </w:r>
          </w:p>
        </w:tc>
        <w:tc>
          <w:tcPr>
            <w:tcW w:w="5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337,289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293,145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647,733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489,558</w:t>
            </w:r>
          </w:p>
        </w:tc>
      </w:tr>
      <w:tr>
        <w:trPr>
          <w:trHeight w:val="223"/>
        </w:trPr>
        <w:tc>
          <w:tcPr>
            <w:tcW w:w="3360" w:type="dxa"/>
            <w:vAlign w:val="bottom"/>
          </w:tcPr>
          <w:p>
            <w:pPr>
              <w:ind w:left="760"/>
              <w:spacing w:after="0" w:line="223" w:lineRule="exact"/>
              <w:rPr>
                <w:sz w:val="20"/>
                <w:szCs w:val="20"/>
                <w:color w:val="auto"/>
              </w:rPr>
            </w:pPr>
            <w:r>
              <w:rPr>
                <w:rFonts w:ascii="Arial" w:cs="Arial" w:eastAsia="Arial" w:hAnsi="Arial"/>
                <w:sz w:val="18"/>
                <w:szCs w:val="18"/>
                <w:color w:val="auto"/>
              </w:rPr>
              <w:t xml:space="preserve">Total merchandise sales </w:t>
            </w:r>
            <w:r>
              <w:rPr>
                <w:rFonts w:ascii="Arial" w:cs="Arial" w:eastAsia="Arial" w:hAnsi="Arial"/>
                <w:sz w:val="23"/>
                <w:szCs w:val="23"/>
                <w:color w:val="auto"/>
                <w:vertAlign w:val="superscript"/>
              </w:rPr>
              <w:t>(2)</w:t>
            </w: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1,780,749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1,599,355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3,355,039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2,727,984</w:t>
            </w:r>
          </w:p>
        </w:tc>
      </w:tr>
      <w:tr>
        <w:trPr>
          <w:trHeight w:val="230"/>
        </w:trPr>
        <w:tc>
          <w:tcPr>
            <w:tcW w:w="3360" w:type="dxa"/>
            <w:vAlign w:val="bottom"/>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Other sales </w:t>
            </w:r>
            <w:r>
              <w:rPr>
                <w:rFonts w:ascii="Arial" w:cs="Arial" w:eastAsia="Arial" w:hAnsi="Arial"/>
                <w:sz w:val="23"/>
                <w:szCs w:val="23"/>
                <w:color w:val="auto"/>
                <w:vertAlign w:val="superscript"/>
              </w:rPr>
              <w:t>(3)</w:t>
            </w:r>
          </w:p>
        </w:tc>
        <w:tc>
          <w:tcPr>
            <w:tcW w:w="5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10,781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16,824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14,737</w:t>
            </w:r>
          </w:p>
        </w:tc>
      </w:tr>
      <w:tr>
        <w:trPr>
          <w:trHeight w:val="223"/>
        </w:trPr>
        <w:tc>
          <w:tcPr>
            <w:tcW w:w="3360" w:type="dxa"/>
            <w:vAlign w:val="bottom"/>
          </w:tcPr>
          <w:p>
            <w:pPr>
              <w:ind w:left="760"/>
              <w:spacing w:after="0"/>
              <w:rPr>
                <w:sz w:val="20"/>
                <w:szCs w:val="20"/>
                <w:color w:val="auto"/>
              </w:rPr>
            </w:pPr>
            <w:r>
              <w:rPr>
                <w:rFonts w:ascii="Arial" w:cs="Arial" w:eastAsia="Arial" w:hAnsi="Arial"/>
                <w:sz w:val="18"/>
                <w:szCs w:val="18"/>
                <w:color w:val="auto"/>
              </w:rPr>
              <w:t>Net Sales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1,791,530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1,606,420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3,371,863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2,742,721</w:t>
            </w:r>
          </w:p>
        </w:tc>
      </w:tr>
      <w:tr>
        <w:trPr>
          <w:trHeight w:val="21"/>
        </w:trPr>
        <w:tc>
          <w:tcPr>
            <w:tcW w:w="3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left="420" w:hanging="168"/>
        <w:spacing w:after="0" w:line="238" w:lineRule="auto"/>
        <w:tabs>
          <w:tab w:leader="none" w:pos="46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and twenty-six weeks ended August 1, 2020 for comparability purposes. This reclassification is in divisional presentation only and did not impact the overall net sales balances previously disclosed (see Note 2).</w:t>
      </w:r>
    </w:p>
    <w:p>
      <w:pPr>
        <w:ind w:left="420" w:right="20" w:hanging="168"/>
        <w:spacing w:after="0" w:line="231" w:lineRule="auto"/>
        <w:tabs>
          <w:tab w:leader="none" w:pos="437"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E-commerce sales consisted of 8.4% and 7.9% of merchandise sales for the thirteen and twenty-six weeks ended July 31, 2021, respectively, and 9.4% and 10.9% for the thirteen and twenty-six weeks ended August 1, 2020, respectively.</w:t>
      </w:r>
    </w:p>
    <w:p>
      <w:pPr>
        <w:ind w:left="420" w:hanging="168"/>
        <w:spacing w:after="0" w:line="219" w:lineRule="auto"/>
        <w:tabs>
          <w:tab w:leader="none" w:pos="456"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Other sales consisted primarily of the sales return allowance, gift card breakage income, credit card bounties and royalties, shipping income, net hunting and fishing license income and other items.</w:t>
      </w:r>
    </w:p>
    <w:p>
      <w:pPr>
        <w:spacing w:after="0" w:line="149" w:lineRule="exact"/>
        <w:rPr>
          <w:sz w:val="20"/>
          <w:szCs w:val="20"/>
          <w:color w:val="auto"/>
        </w:rPr>
      </w:pPr>
    </w:p>
    <w:p>
      <w:pPr>
        <w:jc w:val="both"/>
        <w:ind w:left="260" w:firstLine="324"/>
        <w:spacing w:after="0" w:line="342" w:lineRule="auto"/>
        <w:rPr>
          <w:sz w:val="20"/>
          <w:szCs w:val="20"/>
          <w:color w:val="auto"/>
        </w:rPr>
      </w:pPr>
      <w:r>
        <w:rPr>
          <w:rFonts w:ascii="Arial" w:cs="Arial" w:eastAsia="Arial" w:hAnsi="Arial"/>
          <w:sz w:val="16"/>
          <w:szCs w:val="16"/>
          <w:color w:val="auto"/>
        </w:rPr>
        <w:t>We sell gift cards in stores, online and in third-party retail locations. A liability for gift cards, which is recorded in accrued expenses and other liabilities on our balance sheets is established at the time of sale and revenues are recognized as the gift cards are redeemed in stores or on our website.</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reconciliation of the gift card liability (amounts in thousands):</w:t>
      </w:r>
    </w:p>
    <w:p>
      <w:pPr>
        <w:spacing w:after="0" w:line="46"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80" w:type="dxa"/>
            <w:vAlign w:val="bottom"/>
            <w:gridSpan w:val="5"/>
          </w:tcPr>
          <w:p>
            <w:pPr>
              <w:ind w:left="580"/>
              <w:spacing w:after="0"/>
              <w:rPr>
                <w:sz w:val="20"/>
                <w:szCs w:val="20"/>
                <w:color w:val="auto"/>
              </w:rPr>
            </w:pPr>
            <w:r>
              <w:rPr>
                <w:rFonts w:ascii="Arial" w:cs="Arial" w:eastAsia="Arial" w:hAnsi="Arial"/>
                <w:sz w:val="18"/>
                <w:szCs w:val="18"/>
                <w:b w:val="1"/>
                <w:bCs w:val="1"/>
                <w:color w:val="auto"/>
              </w:rPr>
              <w:t>Thirteen Weeks Ended</w:t>
            </w:r>
          </w:p>
        </w:tc>
        <w:tc>
          <w:tcPr>
            <w:tcW w:w="460" w:type="dxa"/>
            <w:vAlign w:val="bottom"/>
          </w:tcPr>
          <w:p>
            <w:pPr>
              <w:spacing w:after="0"/>
              <w:rPr>
                <w:sz w:val="20"/>
                <w:szCs w:val="20"/>
                <w:color w:val="auto"/>
              </w:rPr>
            </w:pPr>
          </w:p>
        </w:tc>
        <w:tc>
          <w:tcPr>
            <w:tcW w:w="30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Twenty-Six Weeks Ended</w:t>
            </w:r>
          </w:p>
        </w:tc>
      </w:tr>
      <w:tr>
        <w:trPr>
          <w:trHeight w:val="223"/>
        </w:trPr>
        <w:tc>
          <w:tcPr>
            <w:tcW w:w="33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July 31, 2021</w:t>
            </w:r>
          </w:p>
        </w:tc>
        <w:tc>
          <w:tcPr>
            <w:tcW w:w="4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August 1, 2020</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July 31, 2021</w:t>
            </w:r>
          </w:p>
        </w:tc>
        <w:tc>
          <w:tcPr>
            <w:tcW w:w="4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August 1, 2020</w:t>
            </w:r>
          </w:p>
        </w:tc>
      </w:tr>
      <w:tr>
        <w:trPr>
          <w:trHeight w:val="223"/>
        </w:trPr>
        <w:tc>
          <w:tcPr>
            <w:tcW w:w="33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w w:val="97"/>
              </w:rPr>
              <w:t>Gift card liability, beginning balance</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63,242</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57,786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67,993</w:t>
            </w:r>
          </w:p>
        </w:tc>
      </w:tr>
      <w:tr>
        <w:trPr>
          <w:trHeight w:val="223"/>
        </w:trPr>
        <w:tc>
          <w:tcPr>
            <w:tcW w:w="3360" w:type="dxa"/>
            <w:vAlign w:val="bottom"/>
          </w:tcPr>
          <w:p>
            <w:pPr>
              <w:ind w:left="560"/>
              <w:spacing w:after="0"/>
              <w:rPr>
                <w:sz w:val="20"/>
                <w:szCs w:val="20"/>
                <w:color w:val="auto"/>
              </w:rPr>
            </w:pPr>
            <w:r>
              <w:rPr>
                <w:rFonts w:ascii="Arial" w:cs="Arial" w:eastAsia="Arial" w:hAnsi="Arial"/>
                <w:sz w:val="18"/>
                <w:szCs w:val="18"/>
                <w:color w:val="auto"/>
              </w:rPr>
              <w:t>Issued</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25,484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43,926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32,614</w:t>
            </w:r>
          </w:p>
        </w:tc>
      </w:tr>
      <w:tr>
        <w:trPr>
          <w:trHeight w:val="230"/>
        </w:trPr>
        <w:tc>
          <w:tcPr>
            <w:tcW w:w="3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Redeemed</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(27,253)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(43,713)</w:t>
            </w:r>
          </w:p>
        </w:tc>
      </w:tr>
      <w:tr>
        <w:trPr>
          <w:trHeight w:val="230"/>
        </w:trPr>
        <w:tc>
          <w:tcPr>
            <w:tcW w:w="336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Recognized as breakage income</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r>
      <w:tr>
        <w:trPr>
          <w:trHeight w:val="248"/>
        </w:trPr>
        <w:tc>
          <w:tcPr>
            <w:tcW w:w="3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Gift card liability, ending balance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60,526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60,526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55,410</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4. Long-Term Debt</w:t>
            </w: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9"/>
        </w:trPr>
        <w:tc>
          <w:tcPr>
            <w:tcW w:w="260" w:type="dxa"/>
            <w:vAlign w:val="bottom"/>
          </w:tcPr>
          <w:p>
            <w:pPr>
              <w:spacing w:after="0"/>
              <w:rPr>
                <w:sz w:val="24"/>
                <w:szCs w:val="24"/>
                <w:color w:val="auto"/>
              </w:rPr>
            </w:pPr>
          </w:p>
        </w:tc>
        <w:tc>
          <w:tcPr>
            <w:tcW w:w="5060" w:type="dxa"/>
            <w:vAlign w:val="bottom"/>
            <w:gridSpan w:val="2"/>
          </w:tcPr>
          <w:p>
            <w:pPr>
              <w:ind w:left="320"/>
              <w:spacing w:after="0"/>
              <w:rPr>
                <w:sz w:val="20"/>
                <w:szCs w:val="20"/>
                <w:color w:val="auto"/>
              </w:rPr>
            </w:pPr>
            <w:r>
              <w:rPr>
                <w:rFonts w:ascii="Arial" w:cs="Arial" w:eastAsia="Arial" w:hAnsi="Arial"/>
                <w:sz w:val="18"/>
                <w:szCs w:val="18"/>
                <w:color w:val="auto"/>
                <w:w w:val="91"/>
              </w:rPr>
              <w:t>Our debt consisted of the following (amounts in thousands) as of:</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7"/>
        </w:trPr>
        <w:tc>
          <w:tcPr>
            <w:tcW w:w="26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July 31, 2021</w:t>
            </w:r>
          </w:p>
        </w:tc>
        <w:tc>
          <w:tcPr>
            <w:tcW w:w="46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30, 2021</w:t>
            </w:r>
          </w:p>
        </w:tc>
        <w:tc>
          <w:tcPr>
            <w:tcW w:w="500" w:type="dxa"/>
            <w:vAlign w:val="bottom"/>
          </w:tcPr>
          <w:p>
            <w:pPr>
              <w:spacing w:after="0"/>
              <w:rPr>
                <w:sz w:val="22"/>
                <w:szCs w:val="22"/>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August 1, 2020</w:t>
            </w:r>
          </w:p>
        </w:tc>
      </w:tr>
      <w:tr>
        <w:trPr>
          <w:trHeight w:val="223"/>
        </w:trPr>
        <w:tc>
          <w:tcPr>
            <w:tcW w:w="260" w:type="dxa"/>
            <w:vAlign w:val="bottom"/>
          </w:tcPr>
          <w:p>
            <w:pPr>
              <w:spacing w:after="0"/>
              <w:rPr>
                <w:sz w:val="19"/>
                <w:szCs w:val="19"/>
                <w:color w:val="auto"/>
              </w:rPr>
            </w:pPr>
          </w:p>
        </w:tc>
        <w:tc>
          <w:tcPr>
            <w:tcW w:w="4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ABL Facility, due November 2025</w:t>
            </w:r>
          </w:p>
        </w:tc>
        <w:tc>
          <w:tcPr>
            <w:tcW w:w="6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6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Term Loan, due November 2027</w:t>
            </w: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299,250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1,435,982</w:t>
            </w:r>
          </w:p>
        </w:tc>
      </w:tr>
      <w:tr>
        <w:trPr>
          <w:trHeight w:val="229"/>
        </w:trPr>
        <w:tc>
          <w:tcPr>
            <w:tcW w:w="260" w:type="dxa"/>
            <w:vAlign w:val="bottom"/>
          </w:tcPr>
          <w:p>
            <w:pPr>
              <w:spacing w:after="0"/>
              <w:rPr>
                <w:sz w:val="19"/>
                <w:szCs w:val="19"/>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due November 2027</w:t>
            </w:r>
          </w:p>
        </w:tc>
        <w:tc>
          <w:tcPr>
            <w:tcW w:w="6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400,000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60" w:type="dxa"/>
            <w:vAlign w:val="bottom"/>
          </w:tcPr>
          <w:p>
            <w:pPr>
              <w:spacing w:after="0"/>
              <w:rPr>
                <w:sz w:val="19"/>
                <w:szCs w:val="19"/>
                <w:color w:val="auto"/>
              </w:rPr>
            </w:pPr>
          </w:p>
        </w:tc>
        <w:tc>
          <w:tcPr>
            <w:tcW w:w="4440" w:type="dxa"/>
            <w:vAlign w:val="bottom"/>
          </w:tcPr>
          <w:p>
            <w:pPr>
              <w:ind w:left="560"/>
              <w:spacing w:after="0"/>
              <w:rPr>
                <w:sz w:val="20"/>
                <w:szCs w:val="20"/>
                <w:color w:val="auto"/>
              </w:rPr>
            </w:pPr>
            <w:r>
              <w:rPr>
                <w:rFonts w:ascii="Arial" w:cs="Arial" w:eastAsia="Arial" w:hAnsi="Arial"/>
                <w:sz w:val="18"/>
                <w:szCs w:val="18"/>
                <w:color w:val="auto"/>
              </w:rPr>
              <w:t>Total debt</w:t>
            </w: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699,250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1,435,982</w:t>
            </w:r>
          </w:p>
        </w:tc>
      </w:tr>
      <w:tr>
        <w:trPr>
          <w:trHeight w:val="229"/>
        </w:trPr>
        <w:tc>
          <w:tcPr>
            <w:tcW w:w="260" w:type="dxa"/>
            <w:vAlign w:val="bottom"/>
          </w:tcPr>
          <w:p>
            <w:pPr>
              <w:spacing w:after="0"/>
              <w:rPr>
                <w:sz w:val="19"/>
                <w:szCs w:val="19"/>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maturities</w:t>
            </w:r>
          </w:p>
        </w:tc>
        <w:tc>
          <w:tcPr>
            <w:tcW w:w="6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(18,250)</w:t>
            </w:r>
          </w:p>
        </w:tc>
      </w:tr>
      <w:tr>
        <w:trPr>
          <w:trHeight w:val="230"/>
        </w:trPr>
        <w:tc>
          <w:tcPr>
            <w:tcW w:w="26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Less unamortized discount on Term Loan</w:t>
            </w:r>
          </w:p>
        </w:tc>
        <w:tc>
          <w:tcPr>
            <w:tcW w:w="6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(2,682)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29"/>
        </w:trPr>
        <w:tc>
          <w:tcPr>
            <w:tcW w:w="260" w:type="dxa"/>
            <w:vAlign w:val="bottom"/>
          </w:tcPr>
          <w:p>
            <w:pPr>
              <w:spacing w:after="0"/>
              <w:rPr>
                <w:sz w:val="19"/>
                <w:szCs w:val="19"/>
                <w:color w:val="auto"/>
              </w:rPr>
            </w:pPr>
          </w:p>
        </w:tc>
        <w:tc>
          <w:tcPr>
            <w:tcW w:w="4440" w:type="dxa"/>
            <w:vAlign w:val="bottom"/>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Less deferred loan costs </w:t>
            </w:r>
            <w:r>
              <w:rPr>
                <w:rFonts w:ascii="Arial" w:cs="Arial" w:eastAsia="Arial" w:hAnsi="Arial"/>
                <w:sz w:val="23"/>
                <w:szCs w:val="23"/>
                <w:color w:val="auto"/>
                <w:vertAlign w:val="superscript"/>
              </w:rPr>
              <w:t>(1)</w:t>
            </w:r>
          </w:p>
        </w:tc>
        <w:tc>
          <w:tcPr>
            <w:tcW w:w="6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(9,465)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w:t>
            </w:r>
          </w:p>
        </w:tc>
      </w:tr>
      <w:tr>
        <w:trPr>
          <w:trHeight w:val="223"/>
        </w:trPr>
        <w:tc>
          <w:tcPr>
            <w:tcW w:w="260" w:type="dxa"/>
            <w:vAlign w:val="bottom"/>
          </w:tcPr>
          <w:p>
            <w:pPr>
              <w:spacing w:after="0"/>
              <w:rPr>
                <w:sz w:val="19"/>
                <w:szCs w:val="19"/>
                <w:color w:val="auto"/>
              </w:rPr>
            </w:pPr>
          </w:p>
        </w:tc>
        <w:tc>
          <w:tcPr>
            <w:tcW w:w="4440" w:type="dxa"/>
            <w:vAlign w:val="bottom"/>
          </w:tcPr>
          <w:p>
            <w:pPr>
              <w:ind w:left="560"/>
              <w:spacing w:after="0"/>
              <w:rPr>
                <w:sz w:val="20"/>
                <w:szCs w:val="20"/>
                <w:color w:val="auto"/>
              </w:rPr>
            </w:pPr>
            <w:r>
              <w:rPr>
                <w:rFonts w:ascii="Arial" w:cs="Arial" w:eastAsia="Arial" w:hAnsi="Arial"/>
                <w:sz w:val="18"/>
                <w:szCs w:val="18"/>
                <w:color w:val="auto"/>
              </w:rPr>
              <w:t>Long-term debt, net</w:t>
            </w: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684,103</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781,489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1,412,800</w:t>
            </w:r>
          </w:p>
        </w:tc>
      </w:tr>
      <w:tr>
        <w:trPr>
          <w:trHeight w:val="20"/>
        </w:trPr>
        <w:tc>
          <w:tcPr>
            <w:tcW w:w="2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440" w:hanging="188"/>
        <w:spacing w:after="0"/>
        <w:tabs>
          <w:tab w:leader="none" w:pos="44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Deferred loan costs are related to the Term Loan and Notes.</w:t>
      </w:r>
    </w:p>
    <w:p>
      <w:pPr>
        <w:spacing w:after="0" w:line="148" w:lineRule="exact"/>
        <w:rPr>
          <w:sz w:val="20"/>
          <w:szCs w:val="20"/>
          <w:color w:val="auto"/>
        </w:rPr>
      </w:pPr>
    </w:p>
    <w:p>
      <w:pPr>
        <w:jc w:val="both"/>
        <w:ind w:left="260" w:firstLine="324"/>
        <w:spacing w:after="0" w:line="291" w:lineRule="auto"/>
        <w:rPr>
          <w:sz w:val="20"/>
          <w:szCs w:val="20"/>
          <w:color w:val="auto"/>
        </w:rPr>
      </w:pPr>
      <w:r>
        <w:rPr>
          <w:rFonts w:ascii="Arial" w:cs="Arial" w:eastAsia="Arial" w:hAnsi="Arial"/>
          <w:sz w:val="16"/>
          <w:szCs w:val="16"/>
          <w:color w:val="auto"/>
        </w:rPr>
        <w:t>As of July 31, 2021, January 30, 2021 and August 1, 2020, the balance in deferred loan costs related to the ABL Facility (as defined below) was approximately $4.9 million, $5.5 million and $2.9 million, respectively, and was included in other noncurrent assets on our consolidated balance sheets. Total amortization of deferred loan costs was $0.7 million and $1.4 million for the thirteen and twenty-six weeks ended July 31, 2021, respectively, and $0.6 million and $1.3 million for the thirteen and twenty-six weeks ended August 1, 2020, respectively. Total expenses related to accretion of original issuance discount were $0.2 million and $0.3 million for the thirteen and twenty-six weeks ended July 31, 2021, respectively, and $0.3 million and $0.5 million for the thirteen and twenty-six weeks ended August 1, 2020, respectively. The expenses related to amortization of deferred loan costs and accretion of original issuance discount are included in interest expense, net on the consolidated statements of income.</w:t>
      </w:r>
    </w:p>
    <w:p>
      <w:pPr>
        <w:spacing w:after="0" w:line="112" w:lineRule="exact"/>
        <w:rPr>
          <w:sz w:val="20"/>
          <w:szCs w:val="20"/>
          <w:color w:val="auto"/>
        </w:rPr>
      </w:pPr>
    </w:p>
    <w:p>
      <w:pPr>
        <w:jc w:val="both"/>
        <w:ind w:left="260" w:right="20" w:firstLine="324"/>
        <w:spacing w:after="0" w:line="311" w:lineRule="auto"/>
        <w:rPr>
          <w:sz w:val="20"/>
          <w:szCs w:val="20"/>
          <w:color w:val="auto"/>
        </w:rPr>
      </w:pPr>
      <w:r>
        <w:rPr>
          <w:rFonts w:ascii="Arial" w:cs="Arial" w:eastAsia="Arial" w:hAnsi="Arial"/>
          <w:sz w:val="16"/>
          <w:szCs w:val="16"/>
          <w:color w:val="auto"/>
        </w:rPr>
        <w:t>On November 6, 2020, the Company issued the Notes (as defined below), entered into the 2020 Term Loan (as defined below), and entered into the 2020 ABL Facility (the "Refinancing Transactions"). The Company used the net proceeds from the Notes and the net proceeds from the 2020 Term Loan, together with cash on hand, to repay in full outstanding borrowings under its then-existing term loan, in the amount of $1,431.4 million.</w:t>
      </w:r>
    </w:p>
    <w:p>
      <w:pPr>
        <w:spacing w:after="0" w:line="95" w:lineRule="exact"/>
        <w:rPr>
          <w:sz w:val="20"/>
          <w:szCs w:val="20"/>
          <w:color w:val="auto"/>
        </w:rPr>
      </w:pPr>
    </w:p>
    <w:p>
      <w:pPr>
        <w:ind w:left="580" w:right="1040"/>
        <w:spacing w:after="0" w:line="465" w:lineRule="auto"/>
        <w:rPr>
          <w:sz w:val="20"/>
          <w:szCs w:val="20"/>
          <w:color w:val="auto"/>
        </w:rPr>
      </w:pPr>
      <w:r>
        <w:rPr>
          <w:rFonts w:ascii="Arial" w:cs="Arial" w:eastAsia="Arial" w:hAnsi="Arial"/>
          <w:sz w:val="18"/>
          <w:szCs w:val="18"/>
          <w:color w:val="auto"/>
        </w:rPr>
        <w:t xml:space="preserve">On May 25, 2021, the Company refinanced its 2020 Term Loan and paid down approximately $99.0 million of the 2020 Term Loan. </w:t>
      </w:r>
      <w:r>
        <w:rPr>
          <w:rFonts w:ascii="Arial" w:cs="Arial" w:eastAsia="Arial" w:hAnsi="Arial"/>
          <w:sz w:val="18"/>
          <w:szCs w:val="18"/>
          <w:b w:val="1"/>
          <w:bCs w:val="1"/>
          <w:i w:val="1"/>
          <w:iCs w:val="1"/>
          <w:u w:val="single" w:color="auto"/>
          <w:color w:val="auto"/>
        </w:rPr>
        <w:t>Term Loan</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refer to the 2015 Term Loan, the 2020 Term Loan and the Amendment collectively as the "Term Loan".</w:t>
      </w:r>
    </w:p>
    <w:p>
      <w:pPr>
        <w:spacing w:after="0" w:line="171" w:lineRule="exact"/>
        <w:rPr>
          <w:sz w:val="20"/>
          <w:szCs w:val="20"/>
          <w:color w:val="auto"/>
        </w:rPr>
      </w:pPr>
    </w:p>
    <w:p>
      <w:pPr>
        <w:jc w:val="both"/>
        <w:ind w:left="260" w:firstLine="324"/>
        <w:spacing w:after="0" w:line="291" w:lineRule="auto"/>
        <w:rPr>
          <w:sz w:val="20"/>
          <w:szCs w:val="20"/>
          <w:color w:val="auto"/>
        </w:rPr>
      </w:pPr>
      <w:r>
        <w:rPr>
          <w:rFonts w:ascii="Arial" w:cs="Arial" w:eastAsia="Arial" w:hAnsi="Arial"/>
          <w:sz w:val="16"/>
          <w:szCs w:val="16"/>
          <w:color w:val="auto"/>
        </w:rPr>
        <w:t>On July 2, 2015, Academy, Ltd. entered into a seven-year $1.8 billion senior secured term loan facility (the "2015 Term Loan") with Morgan Stanley Senior Funding, Inc., as the administrative and collateral agent, and other lenders, and a five-year $650 million secured asset-based revolving credit facility (the "2015 ABL Facility") with JPMorgan Chase Bank, N.A., as administrative agent, and other lenders. Academy, Ltd. received proceeds from the 2015 Term Loan of $1.8 billion, which was net of discount of $9.1 million. The 2015 Term Loan bore interest at our election, at either (1) LIBOR rate with a floor of 1.00%, plus a margin of 4.00%, or (2) a base rate equal to the highest of (a) the federal funds rate plus 0.50%, (b) Morgan Stanley Senior Funding, Inc.'s "prime rate," or (c) the one-month LIBOR rate plus 1.00%, plus a margin of 3.00%. Quarterly principal payments of approximately $4.6 million were required through June 30, 2022, with the balance due in full on the maturity date of July 2, 2022.</w:t>
      </w:r>
    </w:p>
    <w:p>
      <w:pPr>
        <w:spacing w:after="0" w:line="193" w:lineRule="exact"/>
        <w:rPr>
          <w:sz w:val="20"/>
          <w:szCs w:val="20"/>
          <w:color w:val="auto"/>
        </w:rPr>
      </w:pPr>
    </w:p>
    <w:p>
      <w:pPr>
        <w:jc w:val="both"/>
        <w:ind w:left="260" w:firstLine="324"/>
        <w:spacing w:after="0" w:line="273" w:lineRule="auto"/>
        <w:rPr>
          <w:sz w:val="20"/>
          <w:szCs w:val="20"/>
          <w:color w:val="auto"/>
        </w:rPr>
      </w:pPr>
      <w:r>
        <w:rPr>
          <w:rFonts w:ascii="Arial" w:cs="Arial" w:eastAsia="Arial" w:hAnsi="Arial"/>
          <w:sz w:val="17"/>
          <w:szCs w:val="17"/>
          <w:color w:val="auto"/>
        </w:rPr>
        <w:t>On November 6, 2020, Academy, Ltd. entered into a seven-year $400.0 million senior secured term loan (the "2020 Term Loan") with Credit Suisse AG, Cayman Island Branch ("Credit Suisse"), as the administrative agent and collateral agent and the several other lenders and parties. The 2020 Term Loan will mature on November 6, 2027. The 2020 Term Loan bore interest, at Academy, Ltd.’s election, at either (1) LIBOR rate with a floor of 0.75%, plus a margin of 5.00%, or (2) a base rate equal to the highest of (a) the federal funds rate plus 0.50%, (b) Credit Suisse’s "prime rate", or (c) the one-month LIBOR rate plus 1.00%, plus a margin of 4.00%. Quarterly principal payments of approximately $1.0 million were required through September 30, 2027, with the balance due in full on the maturity date of November 6,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6" w:right="339" w:bottom="1440" w:gutter="0" w:footer="0" w:header="0"/>
        </w:sectPr>
      </w:pPr>
    </w:p>
    <w:bookmarkStart w:id="14" w:name="page15"/>
    <w:bookmarkEnd w:id="14"/>
    <w:p>
      <w:pPr>
        <w:spacing w:after="0" w:line="6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May 25, 2021, Academy, Ltd. entered into Amendment No. 4 (the “Amendment”) to the Second Amended and Restated Credit Agreement, dated as of November 6, 2020, among Academy, Ltd., as Borrower, Credit Suisse AG, Cayman Islands Branch, as the administrative agent and collateral agent, the several lenders party thereto and the several other parties named therein (as previously amended, the “Existing Credit Agreement” and as amended by the Amendment, the “Amended Credit Agreement”). Pursuant to the terms of the Amendment, Academy, Ltd. (i) reduced the applicable margin on LIBOR borrowings under the Existing Credit Agreement from 5.00% to 3.75% and (ii) utilized cash on hand to repay $99.0 million of outstanding borrowings under the Existing Credit Agreement, leaving an outstanding principal balance of $300.0 million under the Amended Credit Agreement. Quarterly principal payments of $750.0 thousand are required through September 30, 2027 and borrowings under the Amended Credit Agreement will continue to mature on November 6, 2027. All other material terms and provisions of the 2020 Term Loan remain substantially the same as the terms and provisions in place immediately prior to the effectiveness of the Amendment. As of July 31, 2021, the weighted average interest rate was 4.50%, with interest payable monthly. The terms and conditions of the Amendment also require that the outstanding balance under the Loan is prepaid under certain circumstances. In connection with the 2020 Term Loan and the Amendment, the Company capitalized related professional fees of $5.8 million as deferred loan costs. As of July 31, 2021, no prepayment was due under the terms and conditions of the Term Loan.</w:t>
      </w:r>
    </w:p>
    <w:p>
      <w:pPr>
        <w:spacing w:after="0" w:line="1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Amendment, the Company recognized a non-cash loss on early retirement of debt of $2.2 million in the thirteen and twenty-six weeks ended July 31, 2021 from the write-off of deferred loan costs and expense related to the original issuance discount associated with our 2020 Term Loan.</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the thirteen and twenty-six weeks ended August 1, 2020, we repurchased principal on our 2015 Term Loan, which was trading at a discount, in open market transactions. The following table provides further detail regarding these repurchases (amounts in millions):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Thirteen Weeks</w:t>
            </w: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Twenty-Six Weeks</w:t>
            </w:r>
          </w:p>
        </w:tc>
      </w:tr>
      <w:tr>
        <w:trPr>
          <w:trHeight w:val="229"/>
        </w:trPr>
        <w:tc>
          <w:tcPr>
            <w:tcW w:w="7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9"/>
                <w:szCs w:val="19"/>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r>
      <w:tr>
        <w:trPr>
          <w:trHeight w:val="223"/>
        </w:trPr>
        <w:tc>
          <w:tcPr>
            <w:tcW w:w="72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August 1, 2020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August 1, 2020</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principal repurchased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Reacquisition price of debt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bl>
    <w:p>
      <w:pPr>
        <w:spacing w:after="0" w:line="2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Notes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6, 2020, Academy, Ltd. issued $400.0 million of 6.00% senior secured notes which are due November 15, 2027 (the "Notes"), pursuant to an indenture, dated as of November 6, 2020 (the "Indenture") with The Bank of New York Mellon Trust Company, N.A., as trustee and collateral agent. The Notes will pay interest semi-annually in arrears in cash on May 15 and November 15 of each year at a rate of 6.00% per year, commencing on May 15, 2021. In connection with issuance of the Notes, the Company capitalized related professional fees of $5.2 million as deferred loan costs.</w:t>
      </w:r>
    </w:p>
    <w:p>
      <w:pPr>
        <w:spacing w:after="0" w:line="1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or after November 15, 2023, Academy, Ltd. may, at its option and on one or more occasions, redeem all or a part of the Notes at the redemption prices set forth in the Indenture, plus accrued and unpaid interest, if any, to, but excluding, the applicable redemption date. At any time prior to November 15, 2023, Academy, Ltd. may, at its option and on one or more occasions, redeem all or part of the Notes at a redemption price equal to 100% of the principal amount of the Notes to be redeemed, plus accrued and unpaid interest, if any, to, but excluding, the applicable redemption date, plus a "make-whole" premium as described in the Indenture. In addition, at any time prior to November 15, 2023, Academy, Ltd. may, at its option and on one or more occasions, redeem up to 40% of the aggregate principal amount of the Notes at a redemption price equal to 106.00% of the aggregate principal amount thereof, with an amount equal to or less than the net cash proceeds from one or more equity offerings to the extent such net cash proceeds are received by or contributed to Academy, Ltd., plus accrued and unpaid interest, if any, to, but excluding, the applicable redemption date.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40" w:right="339" w:bottom="1440" w:gutter="0" w:footer="0" w:header="0"/>
        </w:sectPr>
      </w:pPr>
    </w:p>
    <w:bookmarkStart w:id="15" w:name="page16"/>
    <w:bookmarkEnd w:id="15"/>
    <w:p>
      <w:pPr>
        <w:ind w:left="580"/>
        <w:spacing w:after="0"/>
        <w:rPr>
          <w:sz w:val="20"/>
          <w:szCs w:val="20"/>
          <w:color w:val="auto"/>
        </w:rPr>
      </w:pPr>
      <w:r>
        <w:rPr>
          <w:rFonts w:ascii="Arial" w:cs="Arial" w:eastAsia="Arial" w:hAnsi="Arial"/>
          <w:sz w:val="18"/>
          <w:szCs w:val="18"/>
          <w:b w:val="1"/>
          <w:bCs w:val="1"/>
          <w:i w:val="1"/>
          <w:iCs w:val="1"/>
          <w:u w:val="single" w:color="auto"/>
          <w:color w:val="auto"/>
        </w:rPr>
        <w:t>ABL Facility</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refer to the 2015 ABL Facility and the 2020 ABL Facility collectively as the "ABL Facility".</w:t>
      </w:r>
    </w:p>
    <w:p>
      <w:pPr>
        <w:spacing w:after="0" w:line="171" w:lineRule="exact"/>
        <w:rPr>
          <w:sz w:val="20"/>
          <w:szCs w:val="20"/>
          <w:color w:val="auto"/>
        </w:rPr>
      </w:pPr>
    </w:p>
    <w:p>
      <w:pPr>
        <w:jc w:val="both"/>
        <w:ind w:left="260" w:firstLine="324"/>
        <w:spacing w:after="0" w:line="296" w:lineRule="auto"/>
        <w:rPr>
          <w:sz w:val="20"/>
          <w:szCs w:val="20"/>
          <w:color w:val="auto"/>
        </w:rPr>
      </w:pPr>
      <w:r>
        <w:rPr>
          <w:rFonts w:ascii="Arial" w:cs="Arial" w:eastAsia="Arial" w:hAnsi="Arial"/>
          <w:sz w:val="16"/>
          <w:szCs w:val="16"/>
          <w:color w:val="auto"/>
        </w:rPr>
        <w:t>On July 2, 2015, Academy, Ltd. entered into a five-year $650 million secured asset-based revolving credit facility (the "2015 ABL Facility"). On May 22, 2018, the Company amended the agreement governing the 2015 ABL Facility to increase the commitment on the facility from $650 million to $1 billion. In connection with the amendment to the 2015 ABL Facility, the Company capitalized related professional fees of $2.8 million as deferred loan costs and wrote off $0.1 million in previously capitalized deferred loan costs. The 2015 ABL Facility was scheduled to mature on May 22, 2023, subject to a springing maturity clause which could have been triggered 91 days before the July 2, 2022 maturity of the 2015 Term Loan.</w:t>
      </w:r>
    </w:p>
    <w:p>
      <w:pPr>
        <w:spacing w:after="0" w:line="107" w:lineRule="exact"/>
        <w:rPr>
          <w:sz w:val="20"/>
          <w:szCs w:val="20"/>
          <w:color w:val="auto"/>
        </w:rPr>
      </w:pPr>
    </w:p>
    <w:p>
      <w:pPr>
        <w:jc w:val="both"/>
        <w:ind w:left="260" w:firstLine="324"/>
        <w:spacing w:after="0" w:line="255" w:lineRule="auto"/>
        <w:rPr>
          <w:sz w:val="20"/>
          <w:szCs w:val="20"/>
          <w:color w:val="auto"/>
        </w:rPr>
      </w:pPr>
      <w:r>
        <w:rPr>
          <w:rFonts w:ascii="Arial" w:cs="Arial" w:eastAsia="Arial" w:hAnsi="Arial"/>
          <w:sz w:val="18"/>
          <w:szCs w:val="18"/>
          <w:color w:val="auto"/>
        </w:rPr>
        <w:t>On November 6, 2020, Academy, Ltd., as borrower, and the Guarantors, as guarantors, amended the 2015 ABL Facility by entering into an amendment to the First Amended and Restated ABL Credit Agreement, dated as of July 2, 2015, with JPMorgan Chase Bank, N.A. as the administrative agent and collateral agent, letter of credit issuer and swingline lender (the "ABL Agent") and the several lenders party thereto, which ABL Amendment, among other things, extended the maturity of Academy, Ltd.’s asset-based revolving credit facility thereunder to November 6, 2025 (the "2020 ABL Facility"). In connection with the 2020 ABL Facility, the Company capitalized related professional fees of $3.1 million as deferred loan costs.</w:t>
      </w:r>
    </w:p>
    <w:p>
      <w:pPr>
        <w:spacing w:after="0" w:line="138" w:lineRule="exact"/>
        <w:rPr>
          <w:sz w:val="20"/>
          <w:szCs w:val="20"/>
          <w:color w:val="auto"/>
        </w:rPr>
      </w:pPr>
    </w:p>
    <w:p>
      <w:pPr>
        <w:jc w:val="both"/>
        <w:ind w:left="260" w:firstLine="324"/>
        <w:spacing w:after="0" w:line="275" w:lineRule="auto"/>
        <w:rPr>
          <w:sz w:val="20"/>
          <w:szCs w:val="20"/>
          <w:color w:val="auto"/>
        </w:rPr>
      </w:pPr>
      <w:r>
        <w:rPr>
          <w:rFonts w:ascii="Arial" w:cs="Arial" w:eastAsia="Arial" w:hAnsi="Arial"/>
          <w:sz w:val="17"/>
          <w:szCs w:val="17"/>
          <w:color w:val="auto"/>
        </w:rPr>
        <w:t>The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July 31, 2021, we had outstanding letters of credit of approximately $19.5 million, of which $15.5 million were issued under the ABL Facility, and we had no borrowings outstanding under the ABL Facility, leaving the available borrowing capacity under the ABL Facility of $858.4 million.</w:t>
      </w:r>
    </w:p>
    <w:p>
      <w:pPr>
        <w:spacing w:after="0" w:line="122" w:lineRule="exact"/>
        <w:rPr>
          <w:sz w:val="20"/>
          <w:szCs w:val="20"/>
          <w:color w:val="auto"/>
        </w:rPr>
      </w:pPr>
    </w:p>
    <w:p>
      <w:pPr>
        <w:jc w:val="both"/>
        <w:ind w:left="260" w:firstLine="324"/>
        <w:spacing w:after="0" w:line="275" w:lineRule="auto"/>
        <w:rPr>
          <w:sz w:val="20"/>
          <w:szCs w:val="20"/>
          <w:color w:val="auto"/>
        </w:rPr>
      </w:pPr>
      <w:r>
        <w:rPr>
          <w:rFonts w:ascii="Arial" w:cs="Arial" w:eastAsia="Arial" w:hAnsi="Arial"/>
          <w:sz w:val="17"/>
          <w:szCs w:val="17"/>
          <w:color w:val="auto"/>
        </w:rPr>
        <w:t>Borrowings under the ABL Facility bear interest, at our election, at either (1) LIBOR plus a margin of 1.25% to 1.75%, or (2) a base rate equal to the highest of (a) the federal funds rate plus 0.50%, (b) JPMorgan Chase Bank, N.A.'s "prime rate", or (c) the one-month LIBOR rate plus 1.00%, plus a margin of 0.25% to 0.75%. The ABL Facility also provides a fee applicable to the unused commitments of 0.25%. The terms and conditions of the ABL Facility also require that we prepay outstanding loans under the ABL Facility under certain circumstances. As of July 31, 2021, no future prepayments of outstanding loans have been triggered under the terms and conditions of the ABL Facility.</w:t>
      </w:r>
    </w:p>
    <w:p>
      <w:pPr>
        <w:spacing w:after="0" w:line="118" w:lineRule="exact"/>
        <w:rPr>
          <w:sz w:val="20"/>
          <w:szCs w:val="20"/>
          <w:color w:val="auto"/>
        </w:rPr>
      </w:pPr>
    </w:p>
    <w:p>
      <w:pPr>
        <w:jc w:val="both"/>
        <w:ind w:left="260" w:firstLine="324"/>
        <w:spacing w:after="0" w:line="277" w:lineRule="auto"/>
        <w:rPr>
          <w:sz w:val="20"/>
          <w:szCs w:val="20"/>
          <w:color w:val="auto"/>
        </w:rPr>
      </w:pPr>
      <w:r>
        <w:rPr>
          <w:rFonts w:ascii="Arial" w:cs="Arial" w:eastAsia="Arial" w:hAnsi="Arial"/>
          <w:sz w:val="17"/>
          <w:szCs w:val="17"/>
          <w:b w:val="1"/>
          <w:bCs w:val="1"/>
          <w:i w:val="1"/>
          <w:iCs w:val="1"/>
          <w:u w:val="single" w:color="auto"/>
          <w:color w:val="auto"/>
        </w:rPr>
        <w:t>Covenants</w:t>
      </w:r>
      <w:r>
        <w:rPr>
          <w:rFonts w:ascii="Arial" w:cs="Arial" w:eastAsia="Arial" w:hAnsi="Arial"/>
          <w:sz w:val="17"/>
          <w:szCs w:val="17"/>
          <w:b w:val="1"/>
          <w:bCs w:val="1"/>
          <w:u w:val="single" w:color="auto"/>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ABL Facility and Term Loan agreements and the Indenture contain covenants, including, among other things, covenants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July 31, 2021.</w:t>
      </w:r>
    </w:p>
    <w:p>
      <w:pPr>
        <w:spacing w:after="0" w:line="118"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b w:val="1"/>
          <w:bCs w:val="1"/>
          <w:i w:val="1"/>
          <w:iCs w:val="1"/>
          <w:u w:val="single" w:color="auto"/>
          <w:color w:val="auto"/>
        </w:rPr>
        <w:t>Capitalized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capitalized interest primarily related to construction of new stores and store renovations in the amount of $0.2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$0.3 million for the thirteen and twenty-six weeks ended July 31, 2021, respectively, and $0.2 million and $0.3 million for the thirteen and twenty-six weeks ended August 1, 2020, respectively.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historically used interest rate swap agreements to hedge market risk relating to possible adverse changes in interest rates.</w:t>
      </w:r>
    </w:p>
    <w:p>
      <w:pPr>
        <w:spacing w:after="0" w:line="171"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All interest rate swaps had been designated as cash flow hedges of variable rate interest payments on borrowings under the Term Loan. On January 19, 2021, we settled our three remaining outstanding interest rate swaps in full, which were scheduled to expire on various dates during 2021, for $4.1 million. As of July 31, 2021, we do not have any derivative financial instruments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67" w:right="339" w:bottom="1440" w:gutter="0" w:footer="0" w:header="0"/>
        </w:sectPr>
      </w:pPr>
    </w:p>
    <w:bookmarkStart w:id="16" w:name="page17"/>
    <w:bookmarkEnd w:id="16"/>
    <w:p>
      <w:pPr>
        <w:ind w:left="580"/>
        <w:spacing w:after="0"/>
        <w:rPr>
          <w:sz w:val="20"/>
          <w:szCs w:val="20"/>
          <w:color w:val="auto"/>
        </w:rPr>
      </w:pPr>
      <w:r>
        <w:rPr>
          <w:rFonts w:ascii="Arial" w:cs="Arial" w:eastAsia="Arial" w:hAnsi="Arial"/>
          <w:sz w:val="18"/>
          <w:szCs w:val="18"/>
          <w:color w:val="auto"/>
        </w:rPr>
        <w:t>The fair value of these interest rate swaps is as follows (amounts in thousands) as of:</w:t>
      </w:r>
    </w:p>
    <w:p>
      <w:pPr>
        <w:spacing w:after="0" w:line="46"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31, 2021</w:t>
            </w:r>
          </w:p>
        </w:tc>
        <w:tc>
          <w:tcPr>
            <w:tcW w:w="44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30, 2021</w:t>
            </w:r>
          </w:p>
        </w:tc>
        <w:tc>
          <w:tcPr>
            <w:tcW w:w="500" w:type="dxa"/>
            <w:vAlign w:val="bottom"/>
          </w:tcPr>
          <w:p>
            <w:pPr>
              <w:spacing w:after="0"/>
              <w:rPr>
                <w:sz w:val="20"/>
                <w:szCs w:val="20"/>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August 1, 2020</w:t>
            </w:r>
          </w:p>
        </w:tc>
        <w:tc>
          <w:tcPr>
            <w:tcW w:w="0" w:type="dxa"/>
            <w:vAlign w:val="bottom"/>
          </w:tcPr>
          <w:p>
            <w:pPr>
              <w:spacing w:after="0"/>
              <w:rPr>
                <w:sz w:val="1"/>
                <w:szCs w:val="1"/>
                <w:color w:val="auto"/>
              </w:rPr>
            </w:pPr>
          </w:p>
        </w:tc>
      </w:tr>
      <w:tr>
        <w:trPr>
          <w:trHeight w:val="190"/>
        </w:trPr>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5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7"/>
              </w:rPr>
              <w:t>Derivatives designated as hedging instruments</w:t>
            </w: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Liabilities</w:t>
            </w: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42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Amounts included in accrued expenses and other</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vMerge w:val="restart"/>
            <w:shd w:val="clear" w:color="auto" w:fill="CCEEFF"/>
          </w:tcPr>
          <w:p>
            <w:pPr>
              <w:ind w:left="1140"/>
              <w:spacing w:after="0"/>
              <w:rPr>
                <w:sz w:val="20"/>
                <w:szCs w:val="20"/>
                <w:color w:val="auto"/>
              </w:rPr>
            </w:pPr>
            <w:r>
              <w:rPr>
                <w:rFonts w:ascii="Arial" w:cs="Arial" w:eastAsia="Arial" w:hAnsi="Arial"/>
                <w:sz w:val="18"/>
                <w:szCs w:val="18"/>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vMerge w:val="restart"/>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0" w:type="dxa"/>
            <w:vAlign w:val="bottom"/>
          </w:tcPr>
          <w:p>
            <w:pPr>
              <w:spacing w:after="0"/>
              <w:rPr>
                <w:sz w:val="1"/>
                <w:szCs w:val="1"/>
                <w:color w:val="auto"/>
              </w:rPr>
            </w:pPr>
          </w:p>
        </w:tc>
      </w:tr>
      <w:tr>
        <w:trPr>
          <w:trHeight w:val="229"/>
        </w:trPr>
        <w:tc>
          <w:tcPr>
            <w:tcW w:w="45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current liabilities</w:t>
            </w:r>
          </w:p>
        </w:tc>
        <w:tc>
          <w:tcPr>
            <w:tcW w:w="520" w:type="dxa"/>
            <w:vAlign w:val="bottom"/>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4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Amounts included in other long-term liabilities</w:t>
            </w: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156"/>
        </w:trPr>
        <w:tc>
          <w:tcPr>
            <w:tcW w:w="340" w:type="dxa"/>
            <w:vAlign w:val="bottom"/>
            <w:shd w:val="clear" w:color="auto" w:fill="CCEEFF"/>
          </w:tcPr>
          <w:p>
            <w:pPr>
              <w:spacing w:after="0"/>
              <w:rPr>
                <w:sz w:val="13"/>
                <w:szCs w:val="13"/>
                <w:color w:val="auto"/>
              </w:rPr>
            </w:pPr>
          </w:p>
        </w:tc>
        <w:tc>
          <w:tcPr>
            <w:tcW w:w="4240" w:type="dxa"/>
            <w:vAlign w:val="bottom"/>
            <w:gridSpan w:val="2"/>
            <w:shd w:val="clear" w:color="auto" w:fill="CCEEFF"/>
          </w:tcPr>
          <w:p>
            <w:pPr>
              <w:ind w:left="420"/>
              <w:spacing w:after="0" w:line="156" w:lineRule="exact"/>
              <w:rPr>
                <w:sz w:val="20"/>
                <w:szCs w:val="20"/>
                <w:color w:val="auto"/>
              </w:rPr>
            </w:pPr>
            <w:r>
              <w:rPr>
                <w:rFonts w:ascii="Arial" w:cs="Arial" w:eastAsia="Arial" w:hAnsi="Arial"/>
                <w:sz w:val="18"/>
                <w:szCs w:val="18"/>
                <w:color w:val="auto"/>
              </w:rPr>
              <w:t>Total derivatives designated as hedging</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vMerge w:val="restart"/>
            <w:shd w:val="clear" w:color="auto" w:fill="CCEEFF"/>
          </w:tcPr>
          <w:p>
            <w:pPr>
              <w:ind w:left="1140"/>
              <w:spacing w:after="0"/>
              <w:rPr>
                <w:sz w:val="20"/>
                <w:szCs w:val="20"/>
                <w:color w:val="auto"/>
              </w:rPr>
            </w:pPr>
            <w:r>
              <w:rPr>
                <w:rFonts w:ascii="Arial" w:cs="Arial" w:eastAsia="Arial" w:hAnsi="Arial"/>
                <w:sz w:val="18"/>
                <w:szCs w:val="18"/>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vMerge w:val="restart"/>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(8,379)</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instruments net liability</w:t>
            </w:r>
          </w:p>
        </w:tc>
        <w:tc>
          <w:tcPr>
            <w:tcW w:w="520" w:type="dxa"/>
            <w:vAlign w:val="bottom"/>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260" w:right="20" w:firstLine="324"/>
        <w:spacing w:after="0" w:line="277" w:lineRule="auto"/>
        <w:rPr>
          <w:sz w:val="20"/>
          <w:szCs w:val="20"/>
          <w:color w:val="auto"/>
        </w:rPr>
      </w:pPr>
      <w:r>
        <w:rPr>
          <w:rFonts w:ascii="Arial" w:cs="Arial" w:eastAsia="Arial" w:hAnsi="Arial"/>
          <w:sz w:val="18"/>
          <w:szCs w:val="18"/>
          <w:color w:val="auto"/>
        </w:rPr>
        <w:t>For derivatives designated as hedging instruments, amounts included in AOCI are reclassified to interest expense in the same period during which the hedged transaction affects earnings, which is as interest expense is recorded on the underlying Term Loan.</w:t>
      </w:r>
    </w:p>
    <w:p>
      <w:pPr>
        <w:spacing w:after="0" w:line="197" w:lineRule="exact"/>
        <w:rPr>
          <w:sz w:val="20"/>
          <w:szCs w:val="20"/>
          <w:color w:val="auto"/>
        </w:rPr>
      </w:pPr>
    </w:p>
    <w:p>
      <w:pPr>
        <w:jc w:val="both"/>
        <w:ind w:left="260" w:right="20" w:firstLine="324"/>
        <w:spacing w:after="0" w:line="271" w:lineRule="auto"/>
        <w:rPr>
          <w:sz w:val="20"/>
          <w:szCs w:val="20"/>
          <w:color w:val="auto"/>
        </w:rPr>
      </w:pPr>
      <w:r>
        <w:rPr>
          <w:rFonts w:ascii="Arial" w:cs="Arial" w:eastAsia="Arial" w:hAnsi="Arial"/>
          <w:sz w:val="18"/>
          <w:szCs w:val="18"/>
          <w:color w:val="auto"/>
        </w:rPr>
        <w:t>The impact of gains and losses related to interest rate swaps that are deferred into AOCI and subsequently reclassified into expense as follows (amounts in thousands):</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5"/>
          </w:tcPr>
          <w:p>
            <w:pPr>
              <w:ind w:left="560"/>
              <w:spacing w:after="0"/>
              <w:rPr>
                <w:sz w:val="20"/>
                <w:szCs w:val="20"/>
                <w:color w:val="auto"/>
              </w:rPr>
            </w:pPr>
            <w:r>
              <w:rPr>
                <w:rFonts w:ascii="Arial" w:cs="Arial" w:eastAsia="Arial" w:hAnsi="Arial"/>
                <w:sz w:val="18"/>
                <w:szCs w:val="18"/>
                <w:b w:val="1"/>
                <w:bCs w:val="1"/>
                <w:color w:val="auto"/>
              </w:rPr>
              <w:t>Thirteen Weeks Ended</w:t>
            </w:r>
          </w:p>
        </w:tc>
        <w:tc>
          <w:tcPr>
            <w:tcW w:w="220" w:type="dxa"/>
            <w:vAlign w:val="bottom"/>
          </w:tcPr>
          <w:p>
            <w:pPr>
              <w:spacing w:after="0"/>
              <w:rPr>
                <w:sz w:val="20"/>
                <w:szCs w:val="20"/>
                <w:color w:val="auto"/>
              </w:rPr>
            </w:pPr>
          </w:p>
        </w:tc>
        <w:tc>
          <w:tcPr>
            <w:tcW w:w="3100" w:type="dxa"/>
            <w:vAlign w:val="bottom"/>
            <w:gridSpan w:val="4"/>
          </w:tcPr>
          <w:p>
            <w:pPr>
              <w:ind w:left="46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July 31, 2021</w:t>
            </w: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August 1, 2020</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July 31, 2021</w:t>
            </w: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August 1, 2020</w:t>
            </w:r>
          </w:p>
        </w:tc>
        <w:tc>
          <w:tcPr>
            <w:tcW w:w="0" w:type="dxa"/>
            <w:vAlign w:val="bottom"/>
          </w:tcPr>
          <w:p>
            <w:pPr>
              <w:spacing w:after="0"/>
              <w:rPr>
                <w:sz w:val="1"/>
                <w:szCs w:val="1"/>
                <w:color w:val="auto"/>
              </w:rPr>
            </w:pPr>
          </w:p>
        </w:tc>
      </w:tr>
      <w:tr>
        <w:trPr>
          <w:trHeight w:val="155"/>
        </w:trPr>
        <w:tc>
          <w:tcPr>
            <w:tcW w:w="38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Accumulated Other Comprehensive Loss,</w:t>
            </w: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(2,398)</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(3,324)</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vMerge w:val="restart"/>
            <w:shd w:val="clear" w:color="auto" w:fill="CCEEFF"/>
          </w:tcPr>
          <w:p>
            <w:pPr>
              <w:jc w:val="center"/>
              <w:ind w:left="750"/>
              <w:spacing w:after="0"/>
              <w:rPr>
                <w:sz w:val="20"/>
                <w:szCs w:val="20"/>
                <w:color w:val="auto"/>
              </w:rPr>
            </w:pPr>
            <w:r>
              <w:rPr>
                <w:rFonts w:ascii="Arial" w:cs="Arial" w:eastAsia="Arial" w:hAnsi="Arial"/>
                <w:sz w:val="18"/>
                <w:szCs w:val="18"/>
                <w:color w:val="auto"/>
                <w:w w:val="91"/>
              </w:rPr>
              <w:t>(8,066)</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w:t>
            </w:r>
          </w:p>
        </w:tc>
        <w:tc>
          <w:tcPr>
            <w:tcW w:w="20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20"/>
              <w:spacing w:after="0"/>
              <w:rPr>
                <w:sz w:val="20"/>
                <w:szCs w:val="20"/>
                <w:color w:val="auto"/>
              </w:rPr>
            </w:pPr>
            <w:r>
              <w:rPr>
                <w:rFonts w:ascii="Arial" w:cs="Arial" w:eastAsia="Arial" w:hAnsi="Arial"/>
                <w:sz w:val="18"/>
                <w:szCs w:val="18"/>
                <w:color w:val="auto"/>
              </w:rPr>
              <w:t>Loss deferred into AOCI</w:t>
            </w:r>
          </w:p>
        </w:tc>
        <w:tc>
          <w:tcPr>
            <w:tcW w:w="2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40" w:type="dxa"/>
            <w:vAlign w:val="bottom"/>
          </w:tcPr>
          <w:p>
            <w:pPr>
              <w:jc w:val="center"/>
              <w:ind w:left="750"/>
              <w:spacing w:after="0"/>
              <w:rPr>
                <w:sz w:val="20"/>
                <w:szCs w:val="20"/>
                <w:color w:val="auto"/>
              </w:rPr>
            </w:pPr>
            <w:r>
              <w:rPr>
                <w:rFonts w:ascii="Arial" w:cs="Arial" w:eastAsia="Arial" w:hAnsi="Arial"/>
                <w:sz w:val="18"/>
                <w:szCs w:val="18"/>
                <w:color w:val="auto"/>
                <w:w w:val="91"/>
              </w:rPr>
              <w:t>(5,040)</w:t>
            </w:r>
          </w:p>
        </w:tc>
        <w:tc>
          <w:tcPr>
            <w:tcW w:w="0" w:type="dxa"/>
            <w:vAlign w:val="bottom"/>
          </w:tcPr>
          <w:p>
            <w:pPr>
              <w:spacing w:after="0"/>
              <w:rPr>
                <w:sz w:val="1"/>
                <w:szCs w:val="1"/>
                <w:color w:val="auto"/>
              </w:rPr>
            </w:pPr>
          </w:p>
        </w:tc>
      </w:tr>
      <w:tr>
        <w:trPr>
          <w:trHeight w:val="176"/>
        </w:trPr>
        <w:tc>
          <w:tcPr>
            <w:tcW w:w="38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Increase to interest expense (net of tax impact of</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$163 and $433 in the thirteen and twenty-six</w:t>
            </w: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536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1,462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center"/>
              <w:ind w:left="790"/>
              <w:spacing w:after="0"/>
              <w:rPr>
                <w:sz w:val="20"/>
                <w:szCs w:val="20"/>
                <w:color w:val="auto"/>
              </w:rPr>
            </w:pPr>
            <w:r>
              <w:rPr>
                <w:rFonts w:ascii="Arial" w:cs="Arial" w:eastAsia="Arial" w:hAnsi="Arial"/>
                <w:sz w:val="18"/>
                <w:szCs w:val="18"/>
                <w:color w:val="auto"/>
                <w:w w:val="88"/>
              </w:rPr>
              <w:t>4,767</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weeks ended July 31, 2021, respectively)</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color w:val="auto"/>
                <w:w w:val="97"/>
              </w:rPr>
              <w:t>Accumulated Other Comprehensive Loss, ending</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91"/>
              </w:rPr>
              <w:t>(8,339)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75" w:lineRule="exact"/>
        <w:rPr>
          <w:sz w:val="20"/>
          <w:szCs w:val="20"/>
          <w:color w:val="auto"/>
        </w:rPr>
      </w:pPr>
    </w:p>
    <w:p>
      <w:pPr>
        <w:jc w:val="both"/>
        <w:ind w:left="260" w:firstLine="324"/>
        <w:spacing w:after="0" w:line="259" w:lineRule="auto"/>
        <w:rPr>
          <w:sz w:val="20"/>
          <w:szCs w:val="20"/>
          <w:color w:val="auto"/>
        </w:rPr>
      </w:pPr>
      <w:r>
        <w:rPr>
          <w:rFonts w:ascii="Arial" w:cs="Arial" w:eastAsia="Arial" w:hAnsi="Arial"/>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fair value measurements are classified as either:</w:t>
      </w:r>
    </w:p>
    <w:p>
      <w:pPr>
        <w:spacing w:after="0" w:line="171" w:lineRule="exact"/>
        <w:rPr>
          <w:sz w:val="20"/>
          <w:szCs w:val="20"/>
          <w:color w:val="auto"/>
        </w:rPr>
      </w:pPr>
    </w:p>
    <w:p>
      <w:pPr>
        <w:ind w:left="900" w:hanging="324"/>
        <w:spacing w:after="0" w:line="277"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which represents valuations based on unadjusted quoted prices in active markets that are accessible at the measurement date for identical, unrestricted assets or liabilities;</w:t>
      </w:r>
    </w:p>
    <w:p>
      <w:pPr>
        <w:spacing w:after="0" w:line="8" w:lineRule="exact"/>
        <w:rPr>
          <w:rFonts w:ascii="Arial" w:cs="Arial" w:eastAsia="Arial" w:hAnsi="Arial"/>
          <w:sz w:val="18"/>
          <w:szCs w:val="18"/>
          <w:color w:val="auto"/>
        </w:rPr>
      </w:pPr>
    </w:p>
    <w:p>
      <w:pPr>
        <w:jc w:val="both"/>
        <w:ind w:left="900" w:hanging="324"/>
        <w:spacing w:after="0" w:line="263"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21" w:lineRule="exact"/>
        <w:rPr>
          <w:rFonts w:ascii="Arial" w:cs="Arial" w:eastAsia="Arial" w:hAnsi="Arial"/>
          <w:sz w:val="18"/>
          <w:szCs w:val="18"/>
          <w:color w:val="auto"/>
        </w:rPr>
      </w:pPr>
    </w:p>
    <w:p>
      <w:pPr>
        <w:ind w:left="900" w:hanging="324"/>
        <w:spacing w:after="0" w:line="277"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16" w:lineRule="exact"/>
        <w:rPr>
          <w:sz w:val="20"/>
          <w:szCs w:val="20"/>
          <w:color w:val="auto"/>
        </w:rPr>
      </w:pPr>
    </w:p>
    <w:p>
      <w:pPr>
        <w:jc w:val="both"/>
        <w:ind w:left="260" w:firstLine="324"/>
        <w:spacing w:after="0" w:line="257"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9" w:right="339" w:bottom="1440" w:gutter="0" w:footer="0" w:header="0"/>
        </w:sectPr>
      </w:pPr>
    </w:p>
    <w:bookmarkStart w:id="17" w:name="page18"/>
    <w:bookmarkEnd w:id="17"/>
    <w:p>
      <w:pPr>
        <w:ind w:left="580"/>
        <w:spacing w:after="0"/>
        <w:rPr>
          <w:sz w:val="20"/>
          <w:szCs w:val="20"/>
          <w:color w:val="auto"/>
        </w:rPr>
      </w:pPr>
      <w:r>
        <w:rPr>
          <w:rFonts w:ascii="Arial" w:cs="Arial" w:eastAsia="Arial" w:hAnsi="Arial"/>
          <w:sz w:val="18"/>
          <w:szCs w:val="18"/>
          <w:color w:val="auto"/>
        </w:rPr>
        <w:t>The following table provides the fair value hierarchy for our derivative financial instruments (amounts in thousands) as of:</w:t>
      </w:r>
    </w:p>
    <w:p>
      <w:pPr>
        <w:spacing w:after="0" w:line="19"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8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2"/>
              </w:rPr>
              <w:t>Fair Value</w:t>
            </w:r>
          </w:p>
        </w:tc>
        <w:tc>
          <w:tcPr>
            <w:tcW w:w="1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July 31, 2021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3"/>
            <w:vMerge w:val="restart"/>
          </w:tcPr>
          <w:p>
            <w:pPr>
              <w:ind w:left="420"/>
              <w:spacing w:after="0"/>
              <w:rPr>
                <w:sz w:val="20"/>
                <w:szCs w:val="20"/>
                <w:color w:val="auto"/>
              </w:rPr>
            </w:pPr>
            <w:r>
              <w:rPr>
                <w:rFonts w:ascii="Arial" w:cs="Arial" w:eastAsia="Arial" w:hAnsi="Arial"/>
                <w:sz w:val="18"/>
                <w:szCs w:val="18"/>
                <w:b w:val="1"/>
                <w:bCs w:val="1"/>
                <w:color w:val="auto"/>
              </w:rPr>
              <w:t>January 30, 2021</w:t>
            </w:r>
          </w:p>
        </w:tc>
        <w:tc>
          <w:tcPr>
            <w:tcW w:w="500" w:type="dxa"/>
            <w:vAlign w:val="bottom"/>
          </w:tcPr>
          <w:p>
            <w:pPr>
              <w:spacing w:after="0"/>
              <w:rPr>
                <w:sz w:val="17"/>
                <w:szCs w:val="17"/>
                <w:color w:val="auto"/>
              </w:rPr>
            </w:pPr>
          </w:p>
        </w:tc>
        <w:tc>
          <w:tcPr>
            <w:tcW w:w="14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August 1, 2020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980" w:type="dxa"/>
            <w:vAlign w:val="bottom"/>
            <w:gridSpan w:val="2"/>
          </w:tcPr>
          <w:p>
            <w:pPr>
              <w:ind w:left="540"/>
              <w:spacing w:after="0"/>
              <w:rPr>
                <w:sz w:val="20"/>
                <w:szCs w:val="20"/>
                <w:color w:val="auto"/>
              </w:rPr>
            </w:pPr>
            <w:r>
              <w:rPr>
                <w:rFonts w:ascii="Arial" w:cs="Arial" w:eastAsia="Arial" w:hAnsi="Arial"/>
                <w:sz w:val="18"/>
                <w:szCs w:val="18"/>
                <w:b w:val="1"/>
                <w:bCs w:val="1"/>
                <w:color w:val="auto"/>
              </w:rPr>
              <w:t>Hierarchy</w:t>
            </w:r>
          </w:p>
        </w:tc>
        <w:tc>
          <w:tcPr>
            <w:tcW w:w="16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3"/>
            <w:vMerge w:val="continue"/>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i w:val="1"/>
                <w:iCs w:val="1"/>
                <w:color w:val="auto"/>
                <w:w w:val="86"/>
              </w:rPr>
              <w:t>Liabilities</w:t>
            </w:r>
          </w:p>
        </w:tc>
        <w:tc>
          <w:tcPr>
            <w:tcW w:w="1580" w:type="dxa"/>
            <w:vAlign w:val="bottom"/>
            <w:tcBorders>
              <w:top w:val="single" w:sz="8" w:color="CCEEFF"/>
              <w:bottom w:val="single" w:sz="8" w:color="CCEEFF"/>
            </w:tcBorders>
            <w:shd w:val="clear" w:color="auto" w:fill="CCEEFF"/>
          </w:tcPr>
          <w:p>
            <w:pPr>
              <w:spacing w:after="0"/>
              <w:rPr>
                <w:sz w:val="16"/>
                <w:szCs w:val="16"/>
                <w:color w:val="auto"/>
              </w:rPr>
            </w:pPr>
          </w:p>
        </w:tc>
        <w:tc>
          <w:tcPr>
            <w:tcW w:w="18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Interest rate swap</w:t>
            </w:r>
          </w:p>
        </w:tc>
        <w:tc>
          <w:tcPr>
            <w:tcW w:w="198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Level 2</w:t>
            </w:r>
          </w:p>
        </w:tc>
        <w:tc>
          <w:tcPr>
            <w:tcW w:w="1620" w:type="dxa"/>
            <w:vAlign w:val="bottom"/>
          </w:tcPr>
          <w:p>
            <w:pPr>
              <w:jc w:val="right"/>
              <w:ind w:right="111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8,379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jc w:val="both"/>
        <w:ind w:left="260" w:firstLine="324"/>
        <w:spacing w:after="0" w:line="267" w:lineRule="auto"/>
        <w:rPr>
          <w:sz w:val="20"/>
          <w:szCs w:val="20"/>
          <w:color w:val="auto"/>
        </w:rPr>
      </w:pPr>
      <w:r>
        <w:rPr>
          <w:rFonts w:ascii="Arial" w:cs="Arial" w:eastAsia="Arial" w:hAnsi="Arial"/>
          <w:sz w:val="17"/>
          <w:szCs w:val="17"/>
          <w:color w:val="auto"/>
        </w:rPr>
        <w:t>We value our derivative financial instruments using a discounted cash flow analysis based on the expected cash flows of each derivative. This analysis reflects the contractual terms of the derivatives, including the period 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57"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Periodically we make cash investments in money market funds comprised of U.S. Government treasury bills and securities, which are classified as cash and redeemable on demand. As of July 31, 2021, January 30, 2021 and August 1, 2020, we held $383.0 million, $284.0 million and $781.1 million in money market funds, respectively.</w:t>
      </w:r>
    </w:p>
    <w:p>
      <w:pPr>
        <w:spacing w:after="0" w:line="130" w:lineRule="exact"/>
        <w:rPr>
          <w:sz w:val="20"/>
          <w:szCs w:val="20"/>
          <w:color w:val="auto"/>
        </w:rPr>
      </w:pPr>
    </w:p>
    <w:p>
      <w:pPr>
        <w:jc w:val="both"/>
        <w:ind w:left="260" w:firstLine="324"/>
        <w:spacing w:after="0" w:line="257" w:lineRule="auto"/>
        <w:rPr>
          <w:sz w:val="20"/>
          <w:szCs w:val="20"/>
          <w:color w:val="auto"/>
        </w:rPr>
      </w:pPr>
      <w:r>
        <w:rPr>
          <w:rFonts w:ascii="Arial" w:cs="Arial" w:eastAsia="Arial" w:hAnsi="Arial"/>
          <w:sz w:val="18"/>
          <w:szCs w:val="18"/>
          <w:color w:val="auto"/>
        </w:rPr>
        <w:t>The fair value of the Term Loan and Notes is estimated using a discounted cash flow analysis based on quoted market prices for the instrument in an inactive market and is therefore classified as Level 2 within the fair value hierarchy. As of July 31, 2021 and January 30, 2021, the estimated fair value of the Term Loan and Notes was $0.7 billion and $0.8 billion, respectively. As of August 1, 2020, the estimated fair value of the Term Loan was $1.3 billion. As borrowings on the ABL Facility are generally repaid in less than 12 months, we believe that fair value approximates the carrying value.</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w:t>
            </w:r>
          </w:p>
        </w:tc>
        <w:tc>
          <w:tcPr>
            <w:tcW w:w="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6560" w:type="dxa"/>
            <w:vAlign w:val="bottom"/>
            <w:gridSpan w:val="4"/>
          </w:tcPr>
          <w:p>
            <w:pPr>
              <w:ind w:left="320"/>
              <w:spacing w:after="0"/>
              <w:rPr>
                <w:sz w:val="20"/>
                <w:szCs w:val="20"/>
                <w:color w:val="auto"/>
              </w:rPr>
            </w:pPr>
            <w:r>
              <w:rPr>
                <w:rFonts w:ascii="Arial" w:cs="Arial" w:eastAsia="Arial" w:hAnsi="Arial"/>
                <w:sz w:val="18"/>
                <w:szCs w:val="18"/>
                <w:color w:val="auto"/>
                <w:w w:val="98"/>
              </w:rPr>
              <w:t>Property and equipment consists of the following (amounts in thousands) as of:</w:t>
            </w: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7"/>
        </w:trPr>
        <w:tc>
          <w:tcPr>
            <w:tcW w:w="26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31, 2021</w:t>
            </w:r>
          </w:p>
        </w:tc>
        <w:tc>
          <w:tcPr>
            <w:tcW w:w="46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January 30, 2021</w:t>
            </w:r>
          </w:p>
        </w:tc>
        <w:tc>
          <w:tcPr>
            <w:tcW w:w="500" w:type="dxa"/>
            <w:vAlign w:val="bottom"/>
          </w:tcPr>
          <w:p>
            <w:pPr>
              <w:spacing w:after="0"/>
              <w:rPr>
                <w:sz w:val="22"/>
                <w:szCs w:val="22"/>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August 1, 2020</w:t>
            </w:r>
          </w:p>
        </w:tc>
      </w:tr>
      <w:tr>
        <w:trPr>
          <w:trHeight w:val="223"/>
        </w:trPr>
        <w:tc>
          <w:tcPr>
            <w:tcW w:w="260" w:type="dxa"/>
            <w:vAlign w:val="bottom"/>
          </w:tcPr>
          <w:p>
            <w:pPr>
              <w:spacing w:after="0"/>
              <w:rPr>
                <w:sz w:val="19"/>
                <w:szCs w:val="19"/>
                <w:color w:val="auto"/>
              </w:rPr>
            </w:pPr>
          </w:p>
        </w:tc>
        <w:tc>
          <w:tcPr>
            <w:tcW w:w="4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Leasehold improvements</w:t>
            </w: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448,275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438,287</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434,087</w:t>
            </w:r>
          </w:p>
        </w:tc>
      </w:tr>
      <w:tr>
        <w:trPr>
          <w:trHeight w:val="229"/>
        </w:trPr>
        <w:tc>
          <w:tcPr>
            <w:tcW w:w="260" w:type="dxa"/>
            <w:vAlign w:val="bottom"/>
          </w:tcPr>
          <w:p>
            <w:pPr>
              <w:spacing w:after="0"/>
              <w:rPr>
                <w:sz w:val="19"/>
                <w:szCs w:val="19"/>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Equipment and software</w:t>
            </w:r>
          </w:p>
        </w:tc>
        <w:tc>
          <w:tcPr>
            <w:tcW w:w="5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581,452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561,333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541,366</w:t>
            </w:r>
          </w:p>
        </w:tc>
      </w:tr>
      <w:tr>
        <w:trPr>
          <w:trHeight w:val="230"/>
        </w:trPr>
        <w:tc>
          <w:tcPr>
            <w:tcW w:w="260" w:type="dxa"/>
            <w:vAlign w:val="bottom"/>
          </w:tcPr>
          <w:p>
            <w:pPr>
              <w:spacing w:after="0"/>
              <w:rPr>
                <w:sz w:val="19"/>
                <w:szCs w:val="19"/>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Furniture and fixtures</w:t>
            </w:r>
          </w:p>
        </w:tc>
        <w:tc>
          <w:tcPr>
            <w:tcW w:w="5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325,373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319,764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316,366</w:t>
            </w:r>
          </w:p>
        </w:tc>
      </w:tr>
      <w:tr>
        <w:trPr>
          <w:trHeight w:val="230"/>
        </w:trPr>
        <w:tc>
          <w:tcPr>
            <w:tcW w:w="260" w:type="dxa"/>
            <w:vAlign w:val="bottom"/>
          </w:tcPr>
          <w:p>
            <w:pPr>
              <w:spacing w:after="0"/>
              <w:rPr>
                <w:sz w:val="19"/>
                <w:szCs w:val="19"/>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Construction in progress</w:t>
            </w:r>
          </w:p>
        </w:tc>
        <w:tc>
          <w:tcPr>
            <w:tcW w:w="5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21,846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23,575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22,076</w:t>
            </w:r>
          </w:p>
        </w:tc>
      </w:tr>
      <w:tr>
        <w:trPr>
          <w:trHeight w:val="230"/>
        </w:trPr>
        <w:tc>
          <w:tcPr>
            <w:tcW w:w="260" w:type="dxa"/>
            <w:vAlign w:val="bottom"/>
          </w:tcPr>
          <w:p>
            <w:pPr>
              <w:spacing w:after="0"/>
              <w:rPr>
                <w:sz w:val="19"/>
                <w:szCs w:val="19"/>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Land</w:t>
            </w:r>
          </w:p>
        </w:tc>
        <w:tc>
          <w:tcPr>
            <w:tcW w:w="5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r>
      <w:tr>
        <w:trPr>
          <w:trHeight w:val="223"/>
        </w:trPr>
        <w:tc>
          <w:tcPr>
            <w:tcW w:w="260" w:type="dxa"/>
            <w:vAlign w:val="bottom"/>
          </w:tcPr>
          <w:p>
            <w:pPr>
              <w:spacing w:after="0"/>
              <w:rPr>
                <w:sz w:val="19"/>
                <w:szCs w:val="19"/>
                <w:color w:val="auto"/>
              </w:rPr>
            </w:pPr>
          </w:p>
        </w:tc>
        <w:tc>
          <w:tcPr>
            <w:tcW w:w="4460" w:type="dxa"/>
            <w:vAlign w:val="bottom"/>
          </w:tcPr>
          <w:p>
            <w:pPr>
              <w:ind w:left="560"/>
              <w:spacing w:after="0"/>
              <w:rPr>
                <w:sz w:val="20"/>
                <w:szCs w:val="20"/>
                <w:color w:val="auto"/>
              </w:rPr>
            </w:pPr>
            <w:r>
              <w:rPr>
                <w:rFonts w:ascii="Arial" w:cs="Arial" w:eastAsia="Arial" w:hAnsi="Arial"/>
                <w:sz w:val="18"/>
                <w:szCs w:val="18"/>
                <w:color w:val="auto"/>
              </w:rPr>
              <w:t>Total property and equipment</w:t>
            </w:r>
          </w:p>
        </w:tc>
        <w:tc>
          <w:tcPr>
            <w:tcW w:w="5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1,380,644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1,346,658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1,317,593</w:t>
            </w:r>
          </w:p>
        </w:tc>
      </w:tr>
      <w:tr>
        <w:trPr>
          <w:trHeight w:val="230"/>
        </w:trPr>
        <w:tc>
          <w:tcPr>
            <w:tcW w:w="260" w:type="dxa"/>
            <w:vAlign w:val="bottom"/>
          </w:tcPr>
          <w:p>
            <w:pPr>
              <w:spacing w:after="0"/>
              <w:rPr>
                <w:sz w:val="19"/>
                <w:szCs w:val="19"/>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depreciation and amortization</w:t>
            </w:r>
          </w:p>
        </w:tc>
        <w:tc>
          <w:tcPr>
            <w:tcW w:w="5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(1,017,860)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(968,398)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(921,034)</w:t>
            </w:r>
          </w:p>
        </w:tc>
      </w:tr>
      <w:tr>
        <w:trPr>
          <w:trHeight w:val="223"/>
        </w:trPr>
        <w:tc>
          <w:tcPr>
            <w:tcW w:w="260" w:type="dxa"/>
            <w:vAlign w:val="bottom"/>
          </w:tcPr>
          <w:p>
            <w:pPr>
              <w:spacing w:after="0"/>
              <w:rPr>
                <w:sz w:val="19"/>
                <w:szCs w:val="19"/>
                <w:color w:val="auto"/>
              </w:rPr>
            </w:pPr>
          </w:p>
        </w:tc>
        <w:tc>
          <w:tcPr>
            <w:tcW w:w="4460" w:type="dxa"/>
            <w:vAlign w:val="bottom"/>
          </w:tcPr>
          <w:p>
            <w:pPr>
              <w:ind w:left="560"/>
              <w:spacing w:after="0"/>
              <w:rPr>
                <w:sz w:val="20"/>
                <w:szCs w:val="20"/>
                <w:color w:val="auto"/>
              </w:rPr>
            </w:pPr>
            <w:r>
              <w:rPr>
                <w:rFonts w:ascii="Arial" w:cs="Arial" w:eastAsia="Arial" w:hAnsi="Arial"/>
                <w:sz w:val="18"/>
                <w:szCs w:val="18"/>
                <w:color w:val="auto"/>
              </w:rPr>
              <w:t>Property and equipment, net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362,784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378,260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396,559</w:t>
            </w:r>
          </w:p>
        </w:tc>
      </w:tr>
      <w:tr>
        <w:trPr>
          <w:trHeight w:val="20"/>
        </w:trPr>
        <w:tc>
          <w:tcPr>
            <w:tcW w:w="2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Depreciation expense was $26.0 million and $51.3 million, respectively, in the thirteen and twenty-six weeks ended July 31, 2021, and $26.7 million and $54.2 million in the thirteen and twenty-six weeks ended August 1, 2020, respectively, and is included in selling, general and administrative expenses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5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8520" w:type="dxa"/>
            <w:vAlign w:val="bottom"/>
            <w:gridSpan w:val="7"/>
          </w:tcPr>
          <w:p>
            <w:pPr>
              <w:ind w:left="320"/>
              <w:spacing w:after="0"/>
              <w:rPr>
                <w:sz w:val="20"/>
                <w:szCs w:val="20"/>
                <w:color w:val="auto"/>
              </w:rPr>
            </w:pPr>
            <w:r>
              <w:rPr>
                <w:rFonts w:ascii="Arial" w:cs="Arial" w:eastAsia="Arial" w:hAnsi="Arial"/>
                <w:sz w:val="18"/>
                <w:szCs w:val="18"/>
                <w:color w:val="auto"/>
              </w:rPr>
              <w:t>Accrued expenses and other current liabilities consist of the following (amounts in thousands) as of:</w:t>
            </w: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7"/>
        </w:trPr>
        <w:tc>
          <w:tcPr>
            <w:tcW w:w="26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July 31, 2021</w:t>
            </w:r>
          </w:p>
        </w:tc>
        <w:tc>
          <w:tcPr>
            <w:tcW w:w="44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January 30, 2021</w:t>
            </w:r>
          </w:p>
        </w:tc>
        <w:tc>
          <w:tcPr>
            <w:tcW w:w="520" w:type="dxa"/>
            <w:vAlign w:val="bottom"/>
          </w:tcPr>
          <w:p>
            <w:pPr>
              <w:spacing w:after="0"/>
              <w:rPr>
                <w:sz w:val="22"/>
                <w:szCs w:val="22"/>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August 1, 2020</w:t>
            </w:r>
          </w:p>
        </w:tc>
      </w:tr>
      <w:tr>
        <w:trPr>
          <w:trHeight w:val="223"/>
        </w:trPr>
        <w:tc>
          <w:tcPr>
            <w:tcW w:w="260" w:type="dxa"/>
            <w:vAlign w:val="bottom"/>
          </w:tcPr>
          <w:p>
            <w:pPr>
              <w:spacing w:after="0"/>
              <w:rPr>
                <w:sz w:val="19"/>
                <w:szCs w:val="19"/>
                <w:color w:val="auto"/>
              </w:rPr>
            </w:pPr>
          </w:p>
        </w:tc>
        <w:tc>
          <w:tcPr>
            <w:tcW w:w="42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interest</w:t>
            </w:r>
          </w:p>
        </w:tc>
        <w:tc>
          <w:tcPr>
            <w:tcW w:w="5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7,469</w:t>
            </w:r>
          </w:p>
        </w:tc>
      </w:tr>
      <w:tr>
        <w:trPr>
          <w:trHeight w:val="229"/>
        </w:trPr>
        <w:tc>
          <w:tcPr>
            <w:tcW w:w="260" w:type="dxa"/>
            <w:vAlign w:val="bottom"/>
          </w:tcPr>
          <w:p>
            <w:pPr>
              <w:spacing w:after="0"/>
              <w:rPr>
                <w:sz w:val="19"/>
                <w:szCs w:val="19"/>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Accrued personnel costs</w:t>
            </w:r>
          </w:p>
        </w:tc>
        <w:tc>
          <w:tcPr>
            <w:tcW w:w="5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83,406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113,032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62,300</w:t>
            </w:r>
          </w:p>
        </w:tc>
      </w:tr>
      <w:tr>
        <w:trPr>
          <w:trHeight w:val="229"/>
        </w:trPr>
        <w:tc>
          <w:tcPr>
            <w:tcW w:w="260" w:type="dxa"/>
            <w:vAlign w:val="bottom"/>
          </w:tcPr>
          <w:p>
            <w:pPr>
              <w:spacing w:after="0"/>
              <w:rPr>
                <w:sz w:val="19"/>
                <w:szCs w:val="19"/>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professional fees</w:t>
            </w:r>
          </w:p>
        </w:tc>
        <w:tc>
          <w:tcPr>
            <w:tcW w:w="5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r>
      <w:tr>
        <w:trPr>
          <w:trHeight w:val="230"/>
        </w:trPr>
        <w:tc>
          <w:tcPr>
            <w:tcW w:w="260" w:type="dxa"/>
            <w:vAlign w:val="bottom"/>
          </w:tcPr>
          <w:p>
            <w:pPr>
              <w:spacing w:after="0"/>
              <w:rPr>
                <w:sz w:val="19"/>
                <w:szCs w:val="19"/>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Accrued sales and use tax</w:t>
            </w:r>
          </w:p>
        </w:tc>
        <w:tc>
          <w:tcPr>
            <w:tcW w:w="5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26,461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21,078</w:t>
            </w:r>
          </w:p>
        </w:tc>
      </w:tr>
      <w:tr>
        <w:trPr>
          <w:trHeight w:val="229"/>
        </w:trPr>
        <w:tc>
          <w:tcPr>
            <w:tcW w:w="260" w:type="dxa"/>
            <w:vAlign w:val="bottom"/>
          </w:tcPr>
          <w:p>
            <w:pPr>
              <w:spacing w:after="0"/>
              <w:rPr>
                <w:sz w:val="19"/>
                <w:szCs w:val="19"/>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self-insurance</w:t>
            </w:r>
          </w:p>
        </w:tc>
        <w:tc>
          <w:tcPr>
            <w:tcW w:w="5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13,554</w:t>
            </w:r>
          </w:p>
        </w:tc>
      </w:tr>
      <w:tr>
        <w:trPr>
          <w:trHeight w:val="230"/>
        </w:trPr>
        <w:tc>
          <w:tcPr>
            <w:tcW w:w="260" w:type="dxa"/>
            <w:vAlign w:val="bottom"/>
          </w:tcPr>
          <w:p>
            <w:pPr>
              <w:spacing w:after="0"/>
              <w:rPr>
                <w:sz w:val="19"/>
                <w:szCs w:val="19"/>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Deferred revenue - gift cards and other</w:t>
            </w:r>
          </w:p>
        </w:tc>
        <w:tc>
          <w:tcPr>
            <w:tcW w:w="5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64,492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76,778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57,621</w:t>
            </w:r>
          </w:p>
        </w:tc>
      </w:tr>
      <w:tr>
        <w:trPr>
          <w:trHeight w:val="229"/>
        </w:trPr>
        <w:tc>
          <w:tcPr>
            <w:tcW w:w="260" w:type="dxa"/>
            <w:vAlign w:val="bottom"/>
          </w:tcPr>
          <w:p>
            <w:pPr>
              <w:spacing w:after="0"/>
              <w:rPr>
                <w:sz w:val="19"/>
                <w:szCs w:val="19"/>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5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r>
      <w:tr>
        <w:trPr>
          <w:trHeight w:val="229"/>
        </w:trPr>
        <w:tc>
          <w:tcPr>
            <w:tcW w:w="260" w:type="dxa"/>
            <w:vAlign w:val="bottom"/>
          </w:tcPr>
          <w:p>
            <w:pPr>
              <w:spacing w:after="0"/>
              <w:rPr>
                <w:sz w:val="19"/>
                <w:szCs w:val="19"/>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5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7,485</w:t>
            </w:r>
          </w:p>
        </w:tc>
      </w:tr>
      <w:tr>
        <w:trPr>
          <w:trHeight w:val="230"/>
        </w:trPr>
        <w:tc>
          <w:tcPr>
            <w:tcW w:w="260" w:type="dxa"/>
            <w:vAlign w:val="bottom"/>
          </w:tcPr>
          <w:p>
            <w:pPr>
              <w:spacing w:after="0"/>
              <w:rPr>
                <w:sz w:val="19"/>
                <w:szCs w:val="19"/>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taxes</w:t>
            </w:r>
          </w:p>
        </w:tc>
        <w:tc>
          <w:tcPr>
            <w:tcW w:w="5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39,289</w:t>
            </w:r>
          </w:p>
        </w:tc>
      </w:tr>
      <w:tr>
        <w:trPr>
          <w:trHeight w:val="229"/>
        </w:trPr>
        <w:tc>
          <w:tcPr>
            <w:tcW w:w="260" w:type="dxa"/>
            <w:vAlign w:val="bottom"/>
          </w:tcPr>
          <w:p>
            <w:pPr>
              <w:spacing w:after="0"/>
              <w:rPr>
                <w:sz w:val="19"/>
                <w:szCs w:val="19"/>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Sales return allowance</w:t>
            </w:r>
          </w:p>
        </w:tc>
        <w:tc>
          <w:tcPr>
            <w:tcW w:w="5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6,700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6,500</w:t>
            </w:r>
          </w:p>
        </w:tc>
      </w:tr>
      <w:tr>
        <w:trPr>
          <w:trHeight w:val="229"/>
        </w:trPr>
        <w:tc>
          <w:tcPr>
            <w:tcW w:w="260" w:type="dxa"/>
            <w:vAlign w:val="bottom"/>
          </w:tcPr>
          <w:p>
            <w:pPr>
              <w:spacing w:after="0"/>
              <w:rPr>
                <w:sz w:val="19"/>
                <w:szCs w:val="19"/>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25,588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22,024</w:t>
            </w:r>
          </w:p>
        </w:tc>
      </w:tr>
      <w:tr>
        <w:trPr>
          <w:trHeight w:val="223"/>
        </w:trPr>
        <w:tc>
          <w:tcPr>
            <w:tcW w:w="260" w:type="dxa"/>
            <w:vAlign w:val="bottom"/>
          </w:tcPr>
          <w:p>
            <w:pPr>
              <w:spacing w:after="0"/>
              <w:rPr>
                <w:sz w:val="19"/>
                <w:szCs w:val="19"/>
                <w:color w:val="auto"/>
              </w:rPr>
            </w:pPr>
          </w:p>
        </w:tc>
        <w:tc>
          <w:tcPr>
            <w:tcW w:w="4280" w:type="dxa"/>
            <w:vAlign w:val="bottom"/>
          </w:tcPr>
          <w:p>
            <w:pPr>
              <w:ind w:left="560"/>
              <w:spacing w:after="0"/>
              <w:rPr>
                <w:sz w:val="20"/>
                <w:szCs w:val="20"/>
                <w:color w:val="auto"/>
              </w:rPr>
            </w:pPr>
            <w:r>
              <w:rPr>
                <w:rFonts w:ascii="Arial" w:cs="Arial" w:eastAsia="Arial" w:hAnsi="Arial"/>
                <w:sz w:val="18"/>
                <w:szCs w:val="18"/>
                <w:color w:val="auto"/>
              </w:rPr>
              <w:t>Accrued expenses and other current liabilities</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277,157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291,351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245,072</w:t>
            </w:r>
          </w:p>
        </w:tc>
      </w:tr>
      <w:tr>
        <w:trPr>
          <w:trHeight w:val="21"/>
        </w:trPr>
        <w:tc>
          <w:tcPr>
            <w:tcW w:w="2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and Share-Based Compensation</w:t>
      </w:r>
    </w:p>
    <w:p>
      <w:pPr>
        <w:spacing w:after="0" w:line="175" w:lineRule="exact"/>
        <w:rPr>
          <w:sz w:val="20"/>
          <w:szCs w:val="20"/>
          <w:color w:val="auto"/>
        </w:rPr>
      </w:pPr>
    </w:p>
    <w:p>
      <w:pPr>
        <w:jc w:val="both"/>
        <w:ind w:left="260" w:firstLine="324"/>
        <w:spacing w:after="0" w:line="257" w:lineRule="auto"/>
        <w:rPr>
          <w:sz w:val="20"/>
          <w:szCs w:val="20"/>
          <w:color w:val="auto"/>
        </w:rPr>
      </w:pPr>
      <w:r>
        <w:rPr>
          <w:rFonts w:ascii="Arial" w:cs="Arial" w:eastAsia="Arial" w:hAnsi="Arial"/>
          <w:sz w:val="18"/>
          <w:szCs w:val="18"/>
          <w:color w:val="auto"/>
        </w:rPr>
        <w:t>On September 29, 2020, the ASO, Inc. Board of Directors adopted the 2020 Omnibus Incentive Plan (the "2020 Omnibus Incentive Plan"), which became effective on October 1, 2020. The plan reserved a total of 5,150,000 shares of common stock for issuance. Concurrent with the adoption of the 2020 Omnibus Incentive Plan, the NAHC 2011 Unit Incentive Plan (the "2011 Unit Incentive Plan") was frozen and no further issuances will be permitted as part of the 2011 Unit Incentive Plan. As of July 31, 2021, there were 3,703,285 shares that were authorized and available for grant under the 2020 Omnibus Incentive Plan.</w:t>
      </w:r>
    </w:p>
    <w:p>
      <w:pPr>
        <w:spacing w:after="0" w:line="134" w:lineRule="exact"/>
        <w:rPr>
          <w:sz w:val="20"/>
          <w:szCs w:val="20"/>
          <w:color w:val="auto"/>
        </w:rPr>
      </w:pPr>
    </w:p>
    <w:p>
      <w:pPr>
        <w:jc w:val="both"/>
        <w:ind w:left="260" w:firstLine="324"/>
        <w:spacing w:after="0" w:line="286" w:lineRule="auto"/>
        <w:rPr>
          <w:sz w:val="20"/>
          <w:szCs w:val="20"/>
          <w:color w:val="auto"/>
        </w:rPr>
      </w:pPr>
      <w:r>
        <w:rPr>
          <w:rFonts w:ascii="Arial" w:cs="Arial" w:eastAsia="Arial" w:hAnsi="Arial"/>
          <w:sz w:val="17"/>
          <w:szCs w:val="17"/>
          <w:color w:val="auto"/>
        </w:rPr>
        <w:t>On September 29, 2020, the Academy Sports and Outdoors, Inc. Board of Directors adopted the 2020 Employee Stock Purchase Plan (the "ESPP"), which became effective on October 1, 2020 upon the effectiveness of the Registration Statement. We have reserved a total of 2,000,000 shares and as of July 31, 2021, there were 1,964,614 shares authorized and available for future issuance under the ESPP.</w:t>
      </w:r>
    </w:p>
    <w:p>
      <w:pPr>
        <w:spacing w:after="0" w:line="111" w:lineRule="exact"/>
        <w:rPr>
          <w:sz w:val="20"/>
          <w:szCs w:val="20"/>
          <w:color w:val="auto"/>
        </w:rPr>
      </w:pPr>
    </w:p>
    <w:p>
      <w:pPr>
        <w:jc w:val="both"/>
        <w:ind w:left="260" w:firstLine="324"/>
        <w:spacing w:after="0" w:line="259" w:lineRule="auto"/>
        <w:rPr>
          <w:sz w:val="20"/>
          <w:szCs w:val="20"/>
          <w:color w:val="auto"/>
        </w:rPr>
      </w:pPr>
      <w:r>
        <w:rPr>
          <w:rFonts w:ascii="Arial" w:cs="Arial" w:eastAsia="Arial" w:hAnsi="Arial"/>
          <w:sz w:val="18"/>
          <w:szCs w:val="18"/>
          <w:color w:val="auto"/>
        </w:rPr>
        <w:t>Equity compensation expense was $27.3 million and $33.2 million for the thirteen and twenty-six weeks ended July 31, 2021, respectively, which includes approximately $24.9 million in non-cash expenses related to the 2021 Vesting Event which occurred during the 2021 second quarter. Equity compensation expense was $1.6 million and $3.7 million for the thirteen and twenty-six weeks ended August 1, 2020, respectively. These costs are included in selling, general and administrative expenses in the statements of income.</w:t>
      </w:r>
    </w:p>
    <w:p>
      <w:pPr>
        <w:spacing w:after="0" w:line="13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2011 Unit Incentive Plan</w:t>
      </w:r>
    </w:p>
    <w:p>
      <w:pPr>
        <w:spacing w:after="0" w:line="171" w:lineRule="exact"/>
        <w:rPr>
          <w:sz w:val="20"/>
          <w:szCs w:val="20"/>
          <w:color w:val="auto"/>
        </w:rPr>
      </w:pPr>
    </w:p>
    <w:p>
      <w:pPr>
        <w:jc w:val="both"/>
        <w:ind w:left="260" w:right="20" w:firstLine="324"/>
        <w:spacing w:after="0" w:line="263" w:lineRule="auto"/>
        <w:rPr>
          <w:sz w:val="20"/>
          <w:szCs w:val="20"/>
          <w:color w:val="auto"/>
        </w:rPr>
      </w:pPr>
      <w:r>
        <w:rPr>
          <w:rFonts w:ascii="Arial" w:cs="Arial" w:eastAsia="Arial" w:hAnsi="Arial"/>
          <w:sz w:val="18"/>
          <w:szCs w:val="18"/>
          <w:color w:val="auto"/>
        </w:rPr>
        <w:t>The 2011 Unit Incentive Plan provides for the grant of certain equity incentive awards (each, an "Award"), such as options to purchase ASO, Inc. common stock (each, a "Unit Option") and restricted units that may settle in ASO, Inc. common stock (each, a "Restricted Unit") to our directors, executives, and eligible employees of the Company.</w:t>
      </w:r>
    </w:p>
    <w:p>
      <w:pPr>
        <w:spacing w:after="0" w:line="130" w:lineRule="exact"/>
        <w:rPr>
          <w:sz w:val="20"/>
          <w:szCs w:val="20"/>
          <w:color w:val="auto"/>
        </w:rPr>
      </w:pPr>
    </w:p>
    <w:p>
      <w:pPr>
        <w:jc w:val="both"/>
        <w:ind w:left="260" w:right="20" w:firstLine="324"/>
        <w:spacing w:after="0" w:line="263" w:lineRule="auto"/>
        <w:rPr>
          <w:sz w:val="20"/>
          <w:szCs w:val="20"/>
          <w:color w:val="auto"/>
        </w:rPr>
      </w:pPr>
      <w:r>
        <w:rPr>
          <w:rFonts w:ascii="Arial" w:cs="Arial" w:eastAsia="Arial" w:hAnsi="Arial"/>
          <w:sz w:val="18"/>
          <w:szCs w:val="18"/>
          <w:color w:val="auto"/>
        </w:rPr>
        <w:t>Unit Options granted under the 2011 Unit Incentive Plan consist of Unit Options that vest upon the satisfaction of time-based requirements (each, a "Service Unit Option") and Unit Options that vest upon the satisfaction of both time-based requirements and Company performance-based requirements (each, a "Performance Unit Option").</w:t>
      </w:r>
    </w:p>
    <w:p>
      <w:pPr>
        <w:spacing w:after="0" w:line="130" w:lineRule="exact"/>
        <w:rPr>
          <w:sz w:val="20"/>
          <w:szCs w:val="20"/>
          <w:color w:val="auto"/>
        </w:rPr>
      </w:pPr>
    </w:p>
    <w:p>
      <w:pPr>
        <w:jc w:val="both"/>
        <w:ind w:left="260" w:firstLine="324"/>
        <w:spacing w:after="0" w:line="257" w:lineRule="auto"/>
        <w:rPr>
          <w:sz w:val="20"/>
          <w:szCs w:val="20"/>
          <w:color w:val="auto"/>
        </w:rPr>
      </w:pPr>
      <w:r>
        <w:rPr>
          <w:rFonts w:ascii="Arial" w:cs="Arial" w:eastAsia="Arial" w:hAnsi="Arial"/>
          <w:sz w:val="18"/>
          <w:szCs w:val="18"/>
          <w:color w:val="auto"/>
        </w:rPr>
        <w:t>Restricted Units granted under the 2011 Unit Incentive Plan consist of Restricted Units that vest upon the satisfaction of time-based requirements (each, a "Service Restricted Unit") and Restricted Units that vest upon the satisfaction of a liquidity event-based requirement together with a time-based requirement and/or a performance-based requirement (each, a "Liquidity Event Restricted Unit"). In each case, vesting of the Company’s outstanding and unvested Unit Options and Restricted Units is contingent upon the holder’s continued service through the date of each applicable vesting event.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6" w:right="339" w:bottom="1440" w:gutter="0" w:footer="0" w:header="0"/>
        </w:sectPr>
      </w:pPr>
    </w:p>
    <w:bookmarkStart w:id="19" w:name="page20"/>
    <w:bookmarkEnd w:id="19"/>
    <w:p>
      <w:pPr>
        <w:jc w:val="both"/>
        <w:ind w:firstLine="324"/>
        <w:spacing w:after="0" w:line="277" w:lineRule="auto"/>
        <w:rPr>
          <w:sz w:val="20"/>
          <w:szCs w:val="20"/>
          <w:color w:val="auto"/>
        </w:rPr>
      </w:pPr>
      <w:r>
        <w:rPr>
          <w:rFonts w:ascii="Arial" w:cs="Arial" w:eastAsia="Arial" w:hAnsi="Arial"/>
          <w:sz w:val="18"/>
          <w:szCs w:val="18"/>
          <w:color w:val="auto"/>
        </w:rPr>
        <w:t>Concurrent with the adoption of the 2020 Omnibus Incentive Plan on October 1, 2020, no further Awards are authorized to be granted under the 2011 Unit Incentive Plan.</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2020 Omnibus Incentive Plan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2020 Omnibus Incentive plan provides for the grant of Awards such as options to purchase ASO, Inc. common stock (each, a "Stock Option") and restricted stock units which may settle in ASO, Inc. common stock (each, a "Restricted Stock Unit") to our directors, executives, and eligible employees of the Company.</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Stock Options granted under the 2020 Omnibus Incentive Plan consist of Stock Options that vest upon the satisfaction of time-based requirements (each, a "Service Stock Option" and Service Unit Options and Service Stock Options together are "Service Options").</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Restricted Stock Units granted under the 2020 Omnibus Incentive Plan consist of Restricted Stock Units that vest upon the satisfaction of time-based requirements (each, a "Service Restricted Stock Unit") and Restricted Stock Units that vest upon the satisfaction of a time-based requirement and performance-based requirement (each, a "Performance Restricted Stock Unit"). In each case, vesting of the Company’s outstanding and unvested Stock Options and Restricted Stock Units is contingent upon the holder’s continued service through the date of each applicable vesting event.</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ESPP</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ESPP allows eligible employees to contribute up to 15% of their eligible earnings toward the semi-annual purchase of the Company's shares of common stock at a discount of 15% of the closing stock price on the first or last day of the six-month offering period, whichever is lower.</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number of shares reserved for issuance under the ESPP will be increased automatically on the first day of each fiscal year, beginning in fiscal year 2021, by a number equal to the lesser of (1) 1,000,000 shares of common stock, (2) 2.0% of the total number of all classes of the company's common stock outstanding on the last day of the immediately preceding fiscal year, or (3) a lower number of shares determined by the ASO, Inc. Board of Directors.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Distribution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August 28, 2020, NAHC paid a $257.0 million, or $1.1257 per unit (or $3.5460 as converted using the Contribution Ratio), distribution to its members of record as of August 25, 2020. Cash on hand was used to fund $248.0 million of the distribution, with the remainder distributed through an offset of outstanding loans receivable from one member and state income tax withholding made on behalf of NAHC's members. Holders of the outstanding granted equity Awards were entitled to receive value equal to $1.1257 per Award (or $3.5460 as converted using the Contribution Ratio), which was made in the form of cash payments, additional Restricted Unit grants or Unit Option exercise price adjustments. Cash payments due for unvested Awards were paid upon vesting of such Awards. In accordance with the terms of the 2011 Unit Incentive Plan, the Company made the following adjustments to each outstanding Award (per unit components, shares and exercise prices shown above and below are converted using the Contribution Ratio as described in the Retrospective Presentation of Ownership Exchange in Note 2):</w:t>
      </w:r>
    </w:p>
    <w:p>
      <w:pPr>
        <w:spacing w:after="0" w:line="124" w:lineRule="exact"/>
        <w:rPr>
          <w:sz w:val="20"/>
          <w:szCs w:val="20"/>
          <w:color w:val="auto"/>
        </w:rPr>
      </w:pPr>
    </w:p>
    <w:p>
      <w:pPr>
        <w:ind w:left="960" w:hanging="32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Exercise price reductions of $0.28 for 9,788,000 Unit Options (or $0.89 for 3,107,301 Stock Options, as converted);</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Exercise price reductions of $1.12 for 1,746,594 Unit Options (or $3.53 for 554,474 Stock Options, as converted);</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Restricted Unit grants of 159,362 units (or 50,590 Liquidity Event Restricted Units, as converted); and</w:t>
      </w:r>
    </w:p>
    <w:p>
      <w:pPr>
        <w:spacing w:after="0" w:line="63" w:lineRule="exact"/>
        <w:rPr>
          <w:rFonts w:ascii="Arial" w:cs="Arial" w:eastAsia="Arial" w:hAnsi="Arial"/>
          <w:sz w:val="18"/>
          <w:szCs w:val="18"/>
          <w:color w:val="auto"/>
        </w:rPr>
      </w:pPr>
    </w:p>
    <w:p>
      <w:pPr>
        <w:ind w:left="960" w:hanging="320"/>
        <w:spacing w:after="0" w:line="308" w:lineRule="auto"/>
        <w:tabs>
          <w:tab w:leader="none" w:pos="9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Cash payments for vested Unit Options and vested Restricted Units ("Share-Based Award Payments") of $32.2 million were paid in-full as of July 31, 2021. No further Share-Based Award Payments relative to the distribution are payable as of July 31, 2021.</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These exercise price adjustments did not increase the value of the Unit Options and no related additional equity compensation was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9" w:right="339" w:bottom="1440" w:gutter="0" w:footer="0" w:header="0"/>
        </w:sectPr>
      </w:pPr>
    </w:p>
    <w:bookmarkStart w:id="20" w:name="page21"/>
    <w:bookmarkEnd w:id="20"/>
    <w:p>
      <w:pPr>
        <w:ind w:left="320"/>
        <w:spacing w:after="0"/>
        <w:rPr>
          <w:sz w:val="20"/>
          <w:szCs w:val="20"/>
          <w:color w:val="auto"/>
        </w:rPr>
      </w:pPr>
      <w:r>
        <w:rPr>
          <w:rFonts w:ascii="Arial" w:cs="Arial" w:eastAsia="Arial" w:hAnsi="Arial"/>
          <w:sz w:val="18"/>
          <w:szCs w:val="18"/>
          <w:b w:val="1"/>
          <w:bCs w:val="1"/>
          <w:i w:val="1"/>
          <w:iCs w:val="1"/>
          <w:color w:val="auto"/>
        </w:rPr>
        <w:t>Service Option Fair Value Assumptions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fair value for Service Options granted was estimated using a Black-Scholes option-pricing model. The expected lives of the Service Options granted were based on the "SEC simplified" method. Expected price volatility was determined based on the implied volatilities of comparable companies over a historical period that matches the expected life of the Award. The risk-free interest rate was based on the expected U.S. Treasury rate over the expected life. The dividend yield was based on the expectation that no dividends will be paid. The assumptions used to calculate the fair value of Awards granted are evaluated and modified, as necessary, to reflect current market conditions and experience.</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presents the assumptions and grant date fair values for Service Options granted in the twenty-six weeks ended July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42% to 44%</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volatility</w:t>
            </w: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1.01% to 1.22%</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53"/>
        </w:trPr>
        <w:tc>
          <w:tcPr>
            <w:tcW w:w="8200" w:type="dxa"/>
            <w:vAlign w:val="bottom"/>
            <w:gridSpan w:val="7"/>
          </w:tcPr>
          <w:p>
            <w:pPr>
              <w:ind w:left="320"/>
              <w:spacing w:after="0"/>
              <w:rPr>
                <w:sz w:val="20"/>
                <w:szCs w:val="20"/>
                <w:color w:val="auto"/>
              </w:rPr>
            </w:pPr>
            <w:r>
              <w:rPr>
                <w:rFonts w:ascii="Arial" w:cs="Arial" w:eastAsia="Arial" w:hAnsi="Arial"/>
                <w:sz w:val="18"/>
                <w:szCs w:val="18"/>
                <w:color w:val="auto"/>
              </w:rPr>
              <w:t>The following table presents the Award grants during the twenty-six weeks ended July 31, 2021:</w:t>
            </w: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Service Options</w:t>
            </w:r>
          </w:p>
        </w:tc>
        <w:tc>
          <w:tcPr>
            <w:tcW w:w="460" w:type="dxa"/>
            <w:vAlign w:val="bottom"/>
          </w:tcPr>
          <w:p>
            <w:pPr>
              <w:spacing w:after="0"/>
              <w:rPr>
                <w:sz w:val="17"/>
                <w:szCs w:val="17"/>
                <w:color w:val="auto"/>
              </w:rPr>
            </w:pPr>
          </w:p>
        </w:tc>
        <w:tc>
          <w:tcPr>
            <w:tcW w:w="172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Service Restricted</w:t>
            </w:r>
          </w:p>
        </w:tc>
        <w:tc>
          <w:tcPr>
            <w:tcW w:w="234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Performance Restricted</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b w:val="1"/>
                <w:bCs w:val="1"/>
                <w:color w:val="auto"/>
              </w:rPr>
              <w:t>Stock Units</w:t>
            </w:r>
          </w:p>
        </w:tc>
        <w:tc>
          <w:tcPr>
            <w:tcW w:w="580" w:type="dxa"/>
            <w:vAlign w:val="bottom"/>
          </w:tcPr>
          <w:p>
            <w:pPr>
              <w:spacing w:after="0"/>
              <w:rPr>
                <w:sz w:val="19"/>
                <w:szCs w:val="19"/>
                <w:color w:val="auto"/>
              </w:rPr>
            </w:pPr>
          </w:p>
        </w:tc>
        <w:tc>
          <w:tcPr>
            <w:tcW w:w="1760" w:type="dxa"/>
            <w:vAlign w:val="bottom"/>
          </w:tcPr>
          <w:p>
            <w:pPr>
              <w:jc w:val="right"/>
              <w:ind w:right="630"/>
              <w:spacing w:after="0"/>
              <w:rPr>
                <w:sz w:val="20"/>
                <w:szCs w:val="20"/>
                <w:color w:val="auto"/>
              </w:rPr>
            </w:pPr>
            <w:r>
              <w:rPr>
                <w:rFonts w:ascii="Arial" w:cs="Arial" w:eastAsia="Arial" w:hAnsi="Arial"/>
                <w:sz w:val="18"/>
                <w:szCs w:val="18"/>
                <w:b w:val="1"/>
                <w:bCs w:val="1"/>
                <w:color w:val="auto"/>
              </w:rPr>
              <w:t>Stock Units</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Number of shares</w:t>
            </w:r>
          </w:p>
        </w:tc>
        <w:tc>
          <w:tcPr>
            <w:tcW w:w="4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900,542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185,396</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192,919</w:t>
            </w:r>
          </w:p>
        </w:tc>
        <w:tc>
          <w:tcPr>
            <w:tcW w:w="0" w:type="dxa"/>
            <w:vAlign w:val="bottom"/>
          </w:tcPr>
          <w:p>
            <w:pPr>
              <w:spacing w:after="0"/>
              <w:rPr>
                <w:sz w:val="1"/>
                <w:szCs w:val="1"/>
                <w:color w:val="auto"/>
              </w:rPr>
            </w:pPr>
          </w:p>
        </w:tc>
      </w:tr>
      <w:tr>
        <w:trPr>
          <w:trHeight w:val="230"/>
        </w:trPr>
        <w:tc>
          <w:tcPr>
            <w:tcW w:w="4020" w:type="dxa"/>
            <w:vAlign w:val="bottom"/>
          </w:tcPr>
          <w:p>
            <w:pPr>
              <w:ind w:left="340"/>
              <w:spacing w:after="0"/>
              <w:rPr>
                <w:sz w:val="20"/>
                <w:szCs w:val="20"/>
                <w:color w:val="auto"/>
              </w:rPr>
            </w:pPr>
            <w:r>
              <w:rPr>
                <w:rFonts w:ascii="Arial" w:cs="Arial" w:eastAsia="Arial" w:hAnsi="Arial"/>
                <w:sz w:val="18"/>
                <w:szCs w:val="18"/>
                <w:color w:val="auto"/>
                <w:w w:val="92"/>
              </w:rPr>
              <w:t>Weighted average grant date fair value per Award</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exercise price per Award</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N/A</w:t>
            </w:r>
          </w:p>
        </w:tc>
        <w:tc>
          <w:tcPr>
            <w:tcW w:w="5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unrecognized compensation cost as of July 31,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Service Options</w:t>
            </w:r>
          </w:p>
        </w:tc>
        <w:tc>
          <w:tcPr>
            <w:tcW w:w="202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Service Restricted Stock</w:t>
            </w:r>
          </w:p>
        </w:tc>
        <w:tc>
          <w:tcPr>
            <w:tcW w:w="120" w:type="dxa"/>
            <w:vAlign w:val="bottom"/>
          </w:tcPr>
          <w:p>
            <w:pPr>
              <w:spacing w:after="0"/>
              <w:rPr>
                <w:sz w:val="18"/>
                <w:szCs w:val="18"/>
                <w:color w:val="auto"/>
              </w:rPr>
            </w:pPr>
          </w:p>
        </w:tc>
        <w:tc>
          <w:tcPr>
            <w:tcW w:w="20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Performance Restricted</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b w:val="1"/>
                <w:bCs w:val="1"/>
                <w:color w:val="auto"/>
              </w:rPr>
              <w:t>Units</w:t>
            </w:r>
          </w:p>
        </w:tc>
        <w:tc>
          <w:tcPr>
            <w:tcW w:w="120" w:type="dxa"/>
            <w:vAlign w:val="bottom"/>
          </w:tcPr>
          <w:p>
            <w:pPr>
              <w:spacing w:after="0"/>
              <w:rPr>
                <w:sz w:val="19"/>
                <w:szCs w:val="19"/>
                <w:color w:val="auto"/>
              </w:rPr>
            </w:pPr>
          </w:p>
        </w:tc>
        <w:tc>
          <w:tcPr>
            <w:tcW w:w="20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Stock Units</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10,474,721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4,495,775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4,193,693</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Weighted average life remaining in years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10. Earnings per Common Share</w:t>
      </w:r>
    </w:p>
    <w:p>
      <w:pPr>
        <w:spacing w:after="0" w:line="175" w:lineRule="exact"/>
        <w:rPr>
          <w:sz w:val="20"/>
          <w:szCs w:val="20"/>
          <w:color w:val="auto"/>
        </w:rPr>
      </w:pPr>
    </w:p>
    <w:p>
      <w:pPr>
        <w:jc w:val="both"/>
        <w:ind w:left="260" w:firstLine="324"/>
        <w:spacing w:after="0" w:line="255" w:lineRule="auto"/>
        <w:rPr>
          <w:sz w:val="20"/>
          <w:szCs w:val="20"/>
          <w:color w:val="auto"/>
        </w:rPr>
      </w:pPr>
      <w:r>
        <w:rPr>
          <w:rFonts w:ascii="Arial" w:cs="Arial" w:eastAsia="Arial" w:hAnsi="Arial"/>
          <w:sz w:val="18"/>
          <w:szCs w:val="18"/>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38" w:lineRule="exact"/>
        <w:rPr>
          <w:sz w:val="20"/>
          <w:szCs w:val="20"/>
          <w:color w:val="auto"/>
        </w:rPr>
      </w:pPr>
    </w:p>
    <w:p>
      <w:pPr>
        <w:jc w:val="both"/>
        <w:ind w:left="260" w:firstLine="324"/>
        <w:spacing w:after="0" w:line="277" w:lineRule="auto"/>
        <w:rPr>
          <w:sz w:val="20"/>
          <w:szCs w:val="20"/>
          <w:color w:val="auto"/>
        </w:rPr>
      </w:pPr>
      <w:r>
        <w:rPr>
          <w:rFonts w:ascii="Arial" w:cs="Arial" w:eastAsia="Arial" w:hAnsi="Arial"/>
          <w:sz w:val="18"/>
          <w:szCs w:val="18"/>
          <w:color w:val="auto"/>
        </w:rPr>
        <w:t>Basic and diluted weighted average common shares outstanding and basic and diluted earnings per common share are calculated as follows (amounts in thousands except per share amounts):</w:t>
      </w:r>
    </w:p>
    <w:p>
      <w:pPr>
        <w:spacing w:after="0" w:line="153"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gridSpan w:val="5"/>
          </w:tcPr>
          <w:p>
            <w:pPr>
              <w:ind w:left="620"/>
              <w:spacing w:after="0"/>
              <w:rPr>
                <w:sz w:val="20"/>
                <w:szCs w:val="20"/>
                <w:color w:val="auto"/>
              </w:rPr>
            </w:pPr>
            <w:r>
              <w:rPr>
                <w:rFonts w:ascii="Arial" w:cs="Arial" w:eastAsia="Arial" w:hAnsi="Arial"/>
                <w:sz w:val="18"/>
                <w:szCs w:val="18"/>
                <w:b w:val="1"/>
                <w:bCs w:val="1"/>
                <w:color w:val="auto"/>
              </w:rPr>
              <w:t>Thirteen Weeks Ended</w:t>
            </w:r>
          </w:p>
        </w:tc>
        <w:tc>
          <w:tcPr>
            <w:tcW w:w="220" w:type="dxa"/>
            <w:vAlign w:val="bottom"/>
          </w:tcPr>
          <w:p>
            <w:pPr>
              <w:spacing w:after="0"/>
              <w:rPr>
                <w:sz w:val="20"/>
                <w:szCs w:val="20"/>
                <w:color w:val="auto"/>
              </w:rPr>
            </w:pPr>
          </w:p>
        </w:tc>
        <w:tc>
          <w:tcPr>
            <w:tcW w:w="32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July 31, 2021</w:t>
            </w: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August 1, 2020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July 31, 2021</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August 1, 2020</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190,510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167,676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368,306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157,656</w:t>
            </w:r>
          </w:p>
        </w:tc>
        <w:tc>
          <w:tcPr>
            <w:tcW w:w="0" w:type="dxa"/>
            <w:vAlign w:val="bottom"/>
          </w:tcPr>
          <w:p>
            <w:pPr>
              <w:spacing w:after="0"/>
              <w:rPr>
                <w:sz w:val="1"/>
                <w:szCs w:val="1"/>
                <w:color w:val="auto"/>
              </w:rPr>
            </w:pPr>
          </w:p>
        </w:tc>
      </w:tr>
      <w:tr>
        <w:trPr>
          <w:trHeight w:val="88"/>
        </w:trPr>
        <w:tc>
          <w:tcPr>
            <w:tcW w:w="3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Weighted average common shares outstanding -</w:t>
            </w:r>
          </w:p>
        </w:tc>
        <w:tc>
          <w:tcPr>
            <w:tcW w:w="2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92,627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72,478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92,357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72,476</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140"/>
              <w:spacing w:after="0" w:line="176" w:lineRule="exact"/>
              <w:rPr>
                <w:sz w:val="20"/>
                <w:szCs w:val="20"/>
                <w:color w:val="auto"/>
              </w:rPr>
            </w:pPr>
            <w:r>
              <w:rPr>
                <w:rFonts w:ascii="Arial" w:cs="Arial" w:eastAsia="Arial" w:hAnsi="Arial"/>
                <w:sz w:val="18"/>
                <w:szCs w:val="18"/>
                <w:color w:val="auto"/>
                <w:w w:val="94"/>
              </w:rPr>
              <w:t>Dilutive effect of Service Restricted Units and</w:t>
            </w:r>
          </w:p>
        </w:tc>
        <w:tc>
          <w:tcPr>
            <w:tcW w:w="2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58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Service Restricted Stock Units </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Dilutive effect of Performance Restricted</w:t>
            </w: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8"/>
              </w:rPr>
              <w:t>Stock Units and Liquidity Event Restricted</w:t>
            </w:r>
          </w:p>
        </w:tc>
        <w:tc>
          <w:tcPr>
            <w:tcW w:w="2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591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 xml:space="preserve">Units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Dilutive effect of Service Options </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2,614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2,427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Dilutive effect of Performance Unit Options</w:t>
            </w:r>
          </w:p>
        </w:tc>
        <w:tc>
          <w:tcPr>
            <w:tcW w:w="2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962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and Performance Stock Options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Dilutive effect of ESPP shares</w:t>
            </w:r>
          </w:p>
        </w:tc>
        <w:tc>
          <w:tcPr>
            <w:tcW w:w="2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5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Weighted average common shares outstanding -</w:t>
            </w:r>
          </w:p>
        </w:tc>
        <w:tc>
          <w:tcPr>
            <w:tcW w:w="22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95,891</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74,439</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96,391</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74,487</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 - 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Earnings per common share - diluted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3.82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08"/>
        </w:trPr>
        <w:tc>
          <w:tcPr>
            <w:tcW w:w="3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0"/>
              <w:spacing w:after="0" w:line="176" w:lineRule="exact"/>
              <w:rPr>
                <w:sz w:val="20"/>
                <w:szCs w:val="20"/>
                <w:color w:val="auto"/>
              </w:rPr>
            </w:pPr>
            <w:r>
              <w:rPr>
                <w:rFonts w:ascii="Arial" w:cs="Arial" w:eastAsia="Arial" w:hAnsi="Arial"/>
                <w:sz w:val="18"/>
                <w:szCs w:val="18"/>
                <w:color w:val="auto"/>
                <w:w w:val="94"/>
              </w:rPr>
              <w:t>Anti-dilutive stock-based awards excluded from</w:t>
            </w:r>
          </w:p>
        </w:tc>
        <w:tc>
          <w:tcPr>
            <w:tcW w:w="2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304"/>
        </w:trPr>
        <w:tc>
          <w:tcPr>
            <w:tcW w:w="3580" w:type="dxa"/>
            <w:vAlign w:val="bottom"/>
          </w:tcPr>
          <w:p>
            <w:pPr>
              <w:ind w:left="20"/>
              <w:spacing w:after="0"/>
              <w:rPr>
                <w:sz w:val="20"/>
                <w:szCs w:val="20"/>
                <w:color w:val="auto"/>
              </w:rPr>
            </w:pPr>
            <w:r>
              <w:rPr>
                <w:rFonts w:ascii="Arial" w:cs="Arial" w:eastAsia="Arial" w:hAnsi="Arial"/>
                <w:sz w:val="18"/>
                <w:szCs w:val="18"/>
                <w:color w:val="auto"/>
              </w:rPr>
              <w:t xml:space="preserve">diluted calculation </w:t>
            </w:r>
            <w:r>
              <w:rPr>
                <w:rFonts w:ascii="Arial" w:cs="Arial" w:eastAsia="Arial" w:hAnsi="Arial"/>
                <w:sz w:val="23"/>
                <w:szCs w:val="23"/>
                <w:color w:val="auto"/>
                <w:vertAlign w:val="superscript"/>
              </w:rPr>
              <w:t>(1)</w:t>
            </w:r>
          </w:p>
        </w:tc>
        <w:tc>
          <w:tcPr>
            <w:tcW w:w="2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380" w:hanging="128"/>
        <w:spacing w:after="0"/>
        <w:tabs>
          <w:tab w:leader="none" w:pos="380" w:val="left"/>
        </w:tabs>
        <w:numPr>
          <w:ilvl w:val="0"/>
          <w:numId w:val="11"/>
        </w:numPr>
        <w:rPr>
          <w:rFonts w:ascii="Arial" w:cs="Arial" w:eastAsia="Arial" w:hAnsi="Arial"/>
          <w:sz w:val="15"/>
          <w:szCs w:val="15"/>
          <w:color w:val="auto"/>
          <w:vertAlign w:val="superscript"/>
        </w:rPr>
      </w:pPr>
      <w:r>
        <w:rPr>
          <w:rFonts w:ascii="Arial" w:cs="Arial" w:eastAsia="Arial" w:hAnsi="Arial"/>
          <w:sz w:val="11"/>
          <w:szCs w:val="11"/>
          <w:color w:val="auto"/>
        </w:rPr>
        <w:t>See Retrospective Presentation of Ownership Exchange in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jc w:val="both"/>
        <w:ind w:left="260" w:firstLine="324"/>
        <w:spacing w:after="0" w:line="273" w:lineRule="auto"/>
        <w:rPr>
          <w:sz w:val="20"/>
          <w:szCs w:val="20"/>
          <w:color w:val="auto"/>
        </w:rPr>
      </w:pPr>
      <w:r>
        <w:rPr>
          <w:rFonts w:ascii="Arial" w:cs="Arial" w:eastAsia="Arial" w:hAnsi="Arial"/>
          <w:sz w:val="17"/>
          <w:szCs w:val="17"/>
          <w:color w:val="auto"/>
        </w:rPr>
        <w:t>Prior to October 1, 2020, the Company, was treated as a flow through entity for U.S. federal income tax purposes and thus no federal income tax expense was recorded in our statements of income for periods prior to October 1, 2020. Our tax rate prior to October 1, 2020 was almost entirely the result of state income taxes. In connection with our IPO, as a result of the Reorganization Transactions completed on October 1, 2020, on and after October 1, 2020, the Company is treated as a U.S. corporation for U.S. federal, state, and local income tax purposes and accordingly, a provision for income taxes has been recorded for the anticipated tax consequences of our reported results of operations for federal, state and local income taxes since October 1, 2020. NAHC continued to operate as a tax partnership through January 30, 2021.</w:t>
      </w:r>
    </w:p>
    <w:p>
      <w:pPr>
        <w:spacing w:after="0" w:line="110" w:lineRule="exact"/>
        <w:rPr>
          <w:sz w:val="20"/>
          <w:szCs w:val="20"/>
          <w:color w:val="auto"/>
        </w:rPr>
      </w:pPr>
    </w:p>
    <w:p>
      <w:pPr>
        <w:jc w:val="both"/>
        <w:ind w:left="260" w:firstLine="324"/>
        <w:spacing w:after="0" w:line="263" w:lineRule="auto"/>
        <w:rPr>
          <w:sz w:val="20"/>
          <w:szCs w:val="20"/>
          <w:color w:val="auto"/>
        </w:rPr>
      </w:pPr>
      <w:r>
        <w:rPr>
          <w:rFonts w:ascii="Arial" w:cs="Arial" w:eastAsia="Arial" w:hAnsi="Arial"/>
          <w:sz w:val="18"/>
          <w:szCs w:val="18"/>
          <w:color w:val="auto"/>
        </w:rPr>
        <w:t>Effective January 31, 2021, NAHC discontinued partnership treatment for tax purposes. As a result, our deferred tax liability was no longer measured by reference to membership units in NAHC and instead was measured by reference to the underlying assets and liabilities of our operations. No change in the total reported deferred tax liability occurred as a result of the change in tax structure.</w:t>
      </w:r>
    </w:p>
    <w:p>
      <w:pPr>
        <w:spacing w:after="0" w:line="76" w:lineRule="exact"/>
        <w:rPr>
          <w:sz w:val="20"/>
          <w:szCs w:val="20"/>
          <w:color w:val="auto"/>
        </w:rPr>
      </w:pPr>
    </w:p>
    <w:p>
      <w:pPr>
        <w:jc w:val="both"/>
        <w:ind w:left="260" w:right="20" w:firstLine="324"/>
        <w:spacing w:after="0" w:line="271" w:lineRule="auto"/>
        <w:rPr>
          <w:sz w:val="20"/>
          <w:szCs w:val="20"/>
          <w:color w:val="auto"/>
        </w:rPr>
      </w:pPr>
      <w:r>
        <w:rPr>
          <w:rFonts w:ascii="Arial" w:cs="Arial" w:eastAsia="Arial" w:hAnsi="Arial"/>
          <w:sz w:val="18"/>
          <w:szCs w:val="18"/>
          <w:color w:val="auto"/>
        </w:rPr>
        <w:t>The table below reflects the allocation of the deferred tax liability previously reflected for “Investment in NAHC” to the underlying assets and liabilities of the business based on the estimated fair value as of January 31, 2021 (amounts in thousands):</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30, 2021</w:t>
            </w:r>
          </w:p>
        </w:tc>
        <w:tc>
          <w:tcPr>
            <w:tcW w:w="16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b w:val="1"/>
                <w:bCs w:val="1"/>
                <w:color w:val="auto"/>
              </w:rPr>
              <w:t>Effect of Change</w:t>
            </w:r>
          </w:p>
        </w:tc>
        <w:tc>
          <w:tcPr>
            <w:tcW w:w="180" w:type="dxa"/>
            <w:vAlign w:val="bottom"/>
          </w:tcPr>
          <w:p>
            <w:pPr>
              <w:spacing w:after="0"/>
              <w:rPr>
                <w:sz w:val="20"/>
                <w:szCs w:val="20"/>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January 31, 2021</w:t>
            </w: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51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30"/>
        </w:trPr>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liabilities and reserves</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37,760</w:t>
            </w:r>
          </w:p>
        </w:tc>
      </w:tr>
      <w:tr>
        <w:trPr>
          <w:trHeight w:val="229"/>
        </w:trPr>
        <w:tc>
          <w:tcPr>
            <w:tcW w:w="5100" w:type="dxa"/>
            <w:vAlign w:val="bottom"/>
          </w:tcPr>
          <w:p>
            <w:pPr>
              <w:ind w:left="260"/>
              <w:spacing w:after="0"/>
              <w:rPr>
                <w:sz w:val="20"/>
                <w:szCs w:val="20"/>
                <w:color w:val="auto"/>
              </w:rPr>
            </w:pPr>
            <w:r>
              <w:rPr>
                <w:rFonts w:ascii="Arial" w:cs="Arial" w:eastAsia="Arial" w:hAnsi="Arial"/>
                <w:sz w:val="18"/>
                <w:szCs w:val="18"/>
                <w:color w:val="auto"/>
              </w:rPr>
              <w:t>Equity compensation</w:t>
            </w:r>
          </w:p>
        </w:tc>
        <w:tc>
          <w:tcPr>
            <w:tcW w:w="180" w:type="dxa"/>
            <w:vAlign w:val="bottom"/>
          </w:tcPr>
          <w:p>
            <w:pPr>
              <w:spacing w:after="0"/>
              <w:rPr>
                <w:sz w:val="19"/>
                <w:szCs w:val="19"/>
                <w:color w:val="auto"/>
              </w:rPr>
            </w:pPr>
          </w:p>
        </w:tc>
        <w:tc>
          <w:tcPr>
            <w:tcW w:w="16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22,854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22,854</w:t>
            </w:r>
          </w:p>
        </w:tc>
      </w:tr>
      <w:tr>
        <w:trPr>
          <w:trHeight w:val="229"/>
        </w:trPr>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Pr>
          <w:p>
            <w:pPr>
              <w:ind w:left="480"/>
              <w:spacing w:after="0"/>
              <w:rPr>
                <w:sz w:val="20"/>
                <w:szCs w:val="20"/>
                <w:color w:val="auto"/>
              </w:rPr>
            </w:pPr>
            <w:r>
              <w:rPr>
                <w:rFonts w:ascii="Arial" w:cs="Arial" w:eastAsia="Arial" w:hAnsi="Arial"/>
                <w:sz w:val="18"/>
                <w:szCs w:val="18"/>
                <w:color w:val="auto"/>
              </w:rPr>
              <w:t>Total deferred tax assets</w:t>
            </w: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ind w:left="1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60,888</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60,888</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Investment in NAHC</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(138,358)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138,358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(17,387)</w:t>
            </w: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Prepaid items</w:t>
            </w:r>
          </w:p>
        </w:tc>
        <w:tc>
          <w:tcPr>
            <w:tcW w:w="180" w:type="dxa"/>
            <w:vAlign w:val="bottom"/>
          </w:tcPr>
          <w:p>
            <w:pPr>
              <w:spacing w:after="0"/>
              <w:rPr>
                <w:sz w:val="19"/>
                <w:szCs w:val="19"/>
                <w:color w:val="auto"/>
              </w:rPr>
            </w:pPr>
          </w:p>
        </w:tc>
        <w:tc>
          <w:tcPr>
            <w:tcW w:w="16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(4,124)</w:t>
            </w:r>
          </w:p>
        </w:tc>
      </w:tr>
      <w:tr>
        <w:trPr>
          <w:trHeight w:val="229"/>
        </w:trPr>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w:t>
            </w: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9"/>
                <w:szCs w:val="19"/>
                <w:color w:val="auto"/>
              </w:rPr>
            </w:pPr>
          </w:p>
        </w:tc>
        <w:tc>
          <w:tcPr>
            <w:tcW w:w="16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(166,204)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(166,204)</w:t>
            </w:r>
          </w:p>
        </w:tc>
      </w:tr>
      <w:tr>
        <w:trPr>
          <w:trHeight w:val="230"/>
        </w:trPr>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23"/>
        </w:trPr>
        <w:tc>
          <w:tcPr>
            <w:tcW w:w="5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deferred tax liabilities</w:t>
            </w:r>
          </w:p>
        </w:tc>
        <w:tc>
          <w:tcPr>
            <w:tcW w:w="18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(138,703)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(60,888)</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(199,591)</w:t>
            </w:r>
          </w:p>
        </w:tc>
      </w:tr>
      <w:tr>
        <w:trPr>
          <w:trHeight w:val="248"/>
        </w:trPr>
        <w:tc>
          <w:tcPr>
            <w:tcW w:w="5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net deferred tax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(138,703)</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260" w:firstLine="324"/>
        <w:spacing w:after="0" w:line="257" w:lineRule="auto"/>
        <w:rPr>
          <w:sz w:val="20"/>
          <w:szCs w:val="20"/>
          <w:color w:val="auto"/>
        </w:rPr>
      </w:pPr>
      <w:r>
        <w:rPr>
          <w:rFonts w:ascii="Arial" w:cs="Arial" w:eastAsia="Arial" w:hAnsi="Arial"/>
          <w:sz w:val="18"/>
          <w:szCs w:val="18"/>
          <w:color w:val="auto"/>
        </w:rPr>
        <w:t>The Company determines its income tax expense by applying an estimated annual effective tax rate to its income before income taxes for the interim period. The current tax payable is based on the estimated federal and state income tax payments, while the remainder of income tax expense or benefit for the period is recorded to the net deferred tax asset or liability account. For the thirteen and twenty-six weeks ended July 31, 2021, ASO, Inc. recorded $50.4 million and $97.5 million of income tax expense, respectively, which included changes in income taxes payable of $50.9 million and net deferred tax liabilities of $46.6 million as of July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93" w:right="339" w:bottom="1440" w:gutter="0" w:footer="0" w:header="0"/>
        </w:sectPr>
      </w:pPr>
    </w:p>
    <w:bookmarkStart w:id="23" w:name="page24"/>
    <w:bookmarkEnd w:id="23"/>
    <w:p>
      <w:pPr>
        <w:jc w:val="center"/>
        <w:ind w:right="8860"/>
        <w:spacing w:after="0"/>
        <w:rPr>
          <w:sz w:val="20"/>
          <w:szCs w:val="20"/>
          <w:color w:val="auto"/>
        </w:rPr>
      </w:pPr>
      <w:r>
        <w:rPr>
          <w:rFonts w:ascii="Arial" w:cs="Arial" w:eastAsia="Arial" w:hAnsi="Arial"/>
          <w:sz w:val="16"/>
          <w:szCs w:val="16"/>
          <w:b w:val="1"/>
          <w:bCs w:val="1"/>
          <w:color w:val="auto"/>
        </w:rPr>
        <w:t>12. Related Party Transactions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Monitoring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3, 2011 (the "Effective Date"), we entered into a monitoring agreement (the "Monitoring Agreement"), with Kohlberg Kravis Roberts</w:t>
      </w:r>
    </w:p>
    <w:p>
      <w:pPr>
        <w:spacing w:after="0" w:line="46" w:lineRule="exact"/>
        <w:rPr>
          <w:sz w:val="20"/>
          <w:szCs w:val="20"/>
          <w:color w:val="auto"/>
        </w:rPr>
      </w:pPr>
    </w:p>
    <w:p>
      <w:pPr>
        <w:jc w:val="both"/>
        <w:ind w:left="340" w:hanging="8"/>
        <w:spacing w:after="0" w:line="268" w:lineRule="auto"/>
        <w:tabs>
          <w:tab w:leader="none" w:pos="5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 L.P. (the "Adviser") pursuant to which the Adviser provided advisory, consulting and financial services to us. In accordance with the terms of the Monitoring Agreement, we paid an aggregate annual advisory fee which increased by 5.0% annually on each anniversary of the Effective Date. The Adviser also charged us a customary fee for services rendered in connection with securing, structuring and negotiating equity and debt financings by us. Additionally, we were required to reimburse the Adviser for any out-of-pocket expenses in connection with these services. The Monitoring Agreement continued in effect from year-to-year, unless amended or terminated by the Adviser and us. Upon the completion of the IPO in the third quarter of 2020, the Monitoring Agreement terminated. We recognized advisory fees related to the Monitoring Agreement, including reimbursement of expenses, of approximately $0.9 million and $1.8 million in the thirteen and twenty-six weeks ended August 1, 2020, respectively. These expenses are included in selling, general and administrative expenses in the statements of income.</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71"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In connection with the May 2021 Secondary Offering, we repurchased 3,229,974 shares of ASO, Inc. common stock at $30.96 per share for approximately $100.0 million, which were immediately retired by the Company (see Note 1).</w:t>
      </w:r>
    </w:p>
    <w:p>
      <w:pPr>
        <w:spacing w:after="0" w:line="197" w:lineRule="exact"/>
        <w:rPr>
          <w:sz w:val="20"/>
          <w:szCs w:val="20"/>
          <w:color w:val="auto"/>
        </w:rPr>
      </w:pPr>
    </w:p>
    <w:p>
      <w:pPr>
        <w:jc w:val="both"/>
        <w:ind w:left="340" w:firstLine="324"/>
        <w:spacing w:after="0" w:line="308" w:lineRule="auto"/>
        <w:rPr>
          <w:sz w:val="20"/>
          <w:szCs w:val="20"/>
          <w:color w:val="auto"/>
        </w:rPr>
      </w:pPr>
      <w:r>
        <w:rPr>
          <w:rFonts w:ascii="Arial" w:cs="Arial" w:eastAsia="Arial" w:hAnsi="Arial"/>
          <w:sz w:val="17"/>
          <w:szCs w:val="17"/>
          <w:color w:val="auto"/>
        </w:rPr>
        <w:t>Additionally, KKR has ownership interest in a broad range of portfolio companies and we may enter into commercial transactions for goods or services in the ordinary course of business with these companies. We do not believe such transactions are material to our business.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 in Managers</w:t>
      </w:r>
    </w:p>
    <w:p>
      <w:pPr>
        <w:spacing w:after="0" w:line="171"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During the twenty-six weeks ended August 1, 2020, Managers repurchased at fair market value approximately $37.0 thousand of Redeemable Membership Units from a director of the Company for cash. NAHC concurrently repurchased from Managers for cash, at fair market value, a number of NAHC membership units equal to the number of Redeemable Membership Units repurchased from the director.</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Note Receivable from Member and Distribution</w:t>
      </w:r>
    </w:p>
    <w:p>
      <w:pPr>
        <w:spacing w:after="0" w:line="171"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Prior to October 1, 2020, under NAHC's LLC agreement, certain members could require the Company to provide a tax loan on their behalf under certain circumstances. On April 10, 2019, the Company loaned $4.0 million with a note receivable issued to a member. The note receivable bore semi-annual compounding interest at 2.5% with outstanding principal and interest due on April 10, 2022. This note receivable was recorded in other non-current assets on the balance sheet.</w:t>
      </w:r>
    </w:p>
    <w:p>
      <w:pPr>
        <w:spacing w:after="0" w:line="133"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On April 5, 2018, the Company loaned $4.1 million with a note receivable issued to a member. The note receivable bore semi-annual compounding interest at 2.1%, with outstanding principal and interest due on April 5, 2021, and was recorded in prepaid expenses and other non-current assets on the balance sheet.</w:t>
      </w:r>
    </w:p>
    <w:p>
      <w:pPr>
        <w:spacing w:after="0" w:line="130" w:lineRule="exact"/>
        <w:rPr>
          <w:sz w:val="20"/>
          <w:szCs w:val="20"/>
          <w:color w:val="auto"/>
        </w:rPr>
      </w:pPr>
    </w:p>
    <w:p>
      <w:pPr>
        <w:jc w:val="both"/>
        <w:ind w:left="340" w:right="20" w:firstLine="324"/>
        <w:spacing w:after="0" w:line="263" w:lineRule="auto"/>
        <w:rPr>
          <w:sz w:val="20"/>
          <w:szCs w:val="20"/>
          <w:color w:val="auto"/>
        </w:rPr>
      </w:pPr>
      <w:r>
        <w:rPr>
          <w:rFonts w:ascii="Arial" w:cs="Arial" w:eastAsia="Arial" w:hAnsi="Arial"/>
          <w:sz w:val="18"/>
          <w:szCs w:val="18"/>
          <w:color w:val="auto"/>
        </w:rPr>
        <w:t>On August 28, 2020, the Company made a distribution to its members of record as of August 25, 2020, of $257.0 million (see Note 9). Of the $257.0 million, $8.5 million was used to offset and satisfy the remaining balances of the notes receivable and related interest receivable from a member.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left="80"/>
        <w:spacing w:after="0"/>
        <w:rPr>
          <w:sz w:val="20"/>
          <w:szCs w:val="20"/>
          <w:color w:val="auto"/>
        </w:rPr>
      </w:pPr>
      <w:r>
        <w:rPr>
          <w:rFonts w:ascii="Arial" w:cs="Arial" w:eastAsia="Arial" w:hAnsi="Arial"/>
          <w:sz w:val="18"/>
          <w:szCs w:val="18"/>
          <w:b w:val="1"/>
          <w:bCs w:val="1"/>
          <w:color w:val="auto"/>
        </w:rPr>
        <w:t>13. Commitments and Contingencies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Technology Related Commitments and Other</w:t>
      </w:r>
    </w:p>
    <w:p>
      <w:pPr>
        <w:spacing w:after="0" w:line="171"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As of July 31, 2021, we have obligations under technology related and other contractual commitments in the amount of $19.5 million. Of such commitments, approximately $10.6 million is payable in the next 12 months.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Guarantees</w:t>
      </w:r>
    </w:p>
    <w:p>
      <w:pPr>
        <w:spacing w:after="0" w:line="171"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ind w:left="340" w:firstLine="324"/>
        <w:spacing w:after="0" w:line="254" w:lineRule="auto"/>
        <w:rPr>
          <w:sz w:val="20"/>
          <w:szCs w:val="20"/>
          <w:color w:val="auto"/>
        </w:rPr>
      </w:pPr>
      <w:r>
        <w:rPr>
          <w:rFonts w:ascii="Arial" w:cs="Arial" w:eastAsia="Arial" w:hAnsi="Arial"/>
          <w:sz w:val="18"/>
          <w:szCs w:val="18"/>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Sponsorship Agreement and Intellectual Property Commitments</w:t>
      </w:r>
    </w:p>
    <w:p>
      <w:pPr>
        <w:spacing w:after="0" w:line="171" w:lineRule="exact"/>
        <w:rPr>
          <w:sz w:val="20"/>
          <w:szCs w:val="20"/>
          <w:color w:val="auto"/>
        </w:rPr>
      </w:pPr>
    </w:p>
    <w:p>
      <w:pPr>
        <w:jc w:val="both"/>
        <w:ind w:left="340" w:firstLine="324"/>
        <w:spacing w:after="0" w:line="275" w:lineRule="auto"/>
        <w:rPr>
          <w:sz w:val="20"/>
          <w:szCs w:val="20"/>
          <w:color w:val="auto"/>
        </w:rPr>
      </w:pPr>
      <w:r>
        <w:rPr>
          <w:rFonts w:ascii="Arial" w:cs="Arial" w:eastAsia="Arial" w:hAnsi="Arial"/>
          <w:sz w:val="17"/>
          <w:szCs w:val="17"/>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July 31, 2021, we have $19.7 million in related commitments through 2027, of which $8.7 million is payable in the next 12 months.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jc w:val="both"/>
        <w:ind w:left="340" w:firstLine="401"/>
        <w:spacing w:after="0" w:line="291" w:lineRule="auto"/>
        <w:rPr>
          <w:sz w:val="20"/>
          <w:szCs w:val="20"/>
          <w:color w:val="auto"/>
        </w:rPr>
      </w:pPr>
      <w:r>
        <w:rPr>
          <w:rFonts w:ascii="Arial" w:cs="Arial" w:eastAsia="Arial" w:hAnsi="Arial"/>
          <w:sz w:val="16"/>
          <w:szCs w:val="16"/>
          <w:color w:val="auto"/>
        </w:rPr>
        <w:t>On September 2, 2021, the Board of Directors of the Company authorized a new share repurchase program under which the Company may purchase up to $500 million of its outstanding shares during the three-year period ending September 2, 2024. Under the share repurchase program, repurchases can be made using a variety of methods, which may include open market purchases, block trades, privately negotiated transactions and/or a non-discretionary trading plan, all in compliance with the rules of the SEC and other applicable legal requirements. The timing, manner, price and amount of any common share repurchases will be determined by the Company in its discretion and will depend on a variety of factors, including legal requirements, price and economic and market conditions. The share repurchase program does not obligate the Company to acquire any particular number of common shares, and the program may be suspended, extended, modified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Quarterly Report, including this "Management’s Discussion and Analysis of Financial Condition and Results of Operations" and in the section entitled "Risk Factors,"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Quarterly Report.</w:t>
      </w:r>
    </w:p>
    <w:p>
      <w:pPr>
        <w:spacing w:after="0" w:line="14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forward-looking statements contained in this Quarterly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in the Company's Annual Report on Form 10-K for the fiscal year ended January 30, 2021 (the "Annual Report"), as filed with the Securities and Exchange Commission (the "SEC") on April 7, 2021, and in this Quarterly Report, as such risk factors may be updated from time to time in our periodic filings with the SEC, and are accessible on the SEC's website at www.sec.gov, and also include the following:</w:t>
      </w:r>
    </w:p>
    <w:p>
      <w:pPr>
        <w:spacing w:after="0" w:line="12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disruptions in our supply chain and losses of merchandise purchasing incentives;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failure of our third-party vendors of outsourced business services and solutions;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continue our store growth plans or manage our growth effectively, or any failure of our new stores to generate sales and/or achieve profitability;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related to our owned brand merchandise;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disruption in the operation of our distribution centers;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and seasonal fluctuations in our operating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occurrence of severe weather events, catastrophic health events, natural or man-made disasters, social and political conditions or civil unrest;</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avoid the infringement of third-party intellectual property rights;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our ability to meet our labor needs;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26" w:name="page27"/>
    <w:bookmarkEnd w:id="26"/>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geographic concentration of our stores;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merchandise costs and availability;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the growth of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key executives;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pursue strategic acquisitions and integrate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payment-related risks;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marketing and advertising programs;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substantial indebtedness; and</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investment funds and other entities affiliated with Kohlberg Kravis Roberts &amp; Co. L.P. (collectively "KKR")) have the ability to exert substantial influence over us and their interests may conflict with ours or yours in the future.</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in this Quarterly Report. Should one or more of these risks or uncertainties materialize, or should any of our assumptions prove incorrect, our actual results may vary in material respects from those projected in these forward-looking statements.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forward-looking statement made by us in this Quarterly Report speaks only as of the date of this Quarterly Report and are expressly qualified in their entirety by the cautionary statements included in this Quarterly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references to "Academy," "Academy Sports + Outdoors," "we," "us," "our" or the "Company" in this Quarterly Report refer to (1) prior to October 1, 2020, New Academy Holding Company, LLC, a Delaware limited liability company and the prior parent holding company for our operations, and its consolidated subsidiaries; and (2) on and after October 1, 2020, Academy Sports and Outdoors, Inc., a Delaware corporation and the current parent holding company of our operations,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7" w:name="page28"/>
    <w:bookmarkEnd w:id="27"/>
    <w:p>
      <w:pPr>
        <w:jc w:val="both"/>
        <w:ind w:firstLine="324"/>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financial statements and related notes included elsewhere in this Quarterly Report for the thirteen and twenty-six weeks ended July 31, 2021 and our audited financial statements for the fiscal year ended January 30, 2021 and the section entitled "Management's Discussion and Analysis of Financial Condition and Results of Operations" included in the Annual Report.</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This discussion contains forward-looking statements that involve risks and uncertainties. See the section of this Quarterly Report entitled "Cautionary Statement Regarding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the "Risk Factors" sections of the Annual Report and this Quarterly Report.</w:t>
      </w:r>
    </w:p>
    <w:p>
      <w:pPr>
        <w:spacing w:after="0" w:line="12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Academy Sports and Outdoors, Inc. conducts its operations through its subsidiaries, including its indirect subsidiary, Academy, Ltd., an operating company which is doing business as "Academy Sports + Outdoors." Any reference in this Quarterly Report to "year" or any year in particular refers to our fiscal year, which represents the fifty-two or fifty-three week period ending on the Saturday closest to January 31. Any reference in this Quarterly Report to the "current quarter", "2021 second quarter" or similar reference refers to the thirteen week period ended July 31, 2021, and any reference in this Quarterly Report to the "prior year quarter", "2020 second quarter" or similar reference refers to the thirteen week period ended August 1, 2020. Any reference in this Quarterly Report to "current year-to-date", "year-to-date 2021" or similar reference represents the twenty-six week period ended July 31, 2021, and any reference in this Quarterly Report to the "prior year-to-date", "year-to-date 2020" or similar reference refers to twenty-six week period ended August 1, 2020. Unless otherwise specified, all comparisons regarding the current period of 2021 are made to the corresponding period of 2020.</w:t>
      </w:r>
    </w:p>
    <w:p>
      <w:pPr>
        <w:spacing w:after="0" w:line="192"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i w:val="1"/>
          <w:iCs w:val="1"/>
          <w:color w:val="auto"/>
        </w:rPr>
        <w:t>All statements in this Quarterly Report concerning our current and planned operations are modified by reference to our discussion of recent developments related to the COVID-19 pandemic, and our ability to carry out our current and planned operations are dependent on further developments associated with the COVID-19 pandemic.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one of the leading full-line sporting goods and outdoor recreation retailers in the United States.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19 owned brands.</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July 31, 2021, we operated 259 stores that range in size from approximately 40,000 to 130,000 gross square feet, with an average size of approximately 70,000 gross square feet, throughout 16 contiguous states located primarily in the southern United States. Our stores are supported by approximately 22,000 team members, three distribution centers, and our rapidly growing e-commerce platform, which includes our website at www.academy.com and our mobile app, newly introduced in the 2021 second quarter. Additionally, we are deepening our customer relationships, further integrating our e-commerce platform with our stores and driving operating efficiencies by developing our omnichannel capabilities, such as our curbside pickup and ship-to-store programs, which we launched in 2020.</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color w:val="auto"/>
        </w:rPr>
        <w:t>The following table summarizes store activity for the periods indicated:</w:t>
      </w:r>
    </w:p>
    <w:p>
      <w:pPr>
        <w:spacing w:after="0" w:line="208"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Twenty-Six Weeks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4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w w:val="89"/>
              </w:rPr>
              <w:t>July 31, 2021</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August 1, 2020</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stores</w:t>
            </w:r>
          </w:p>
        </w:tc>
        <w:tc>
          <w:tcPr>
            <w:tcW w:w="14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259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Q1 new stores</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Q2 new stores</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Closed</w:t>
            </w:r>
          </w:p>
        </w:tc>
        <w:tc>
          <w:tcPr>
            <w:tcW w:w="1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Ending stores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259</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Relocated stores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553"/>
        </w:trPr>
        <w:tc>
          <w:tcPr>
            <w:tcW w:w="896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Trends and Other Factors Affecting Our Business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78"/>
        </w:trPr>
        <w:tc>
          <w:tcPr>
            <w:tcW w:w="8960" w:type="dxa"/>
            <w:vAlign w:val="bottom"/>
            <w:gridSpan w:val="2"/>
          </w:tcPr>
          <w:p>
            <w:pPr>
              <w:ind w:left="340"/>
              <w:spacing w:after="0"/>
              <w:rPr>
                <w:sz w:val="20"/>
                <w:szCs w:val="20"/>
                <w:color w:val="auto"/>
              </w:rPr>
            </w:pPr>
            <w:r>
              <w:rPr>
                <w:rFonts w:ascii="Arial" w:cs="Arial" w:eastAsia="Arial" w:hAnsi="Arial"/>
                <w:sz w:val="18"/>
                <w:szCs w:val="18"/>
                <w:color w:val="auto"/>
              </w:rPr>
              <w:t>Various trends and other factors affect or have affected our operating results, including:</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14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Overall Economic Trends. </w:t>
      </w:r>
      <w:r>
        <w:rPr>
          <w:rFonts w:ascii="Arial" w:cs="Arial" w:eastAsia="Arial" w:hAnsi="Arial"/>
          <w:sz w:val="17"/>
          <w:szCs w:val="17"/>
          <w:color w:val="auto"/>
        </w:rPr>
        <w:t>All of our sales are generated within the United States, making our results of operations highly dependent on the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economy and U.S. consumer discretionary spending. Macroeconomic factors that may affect customer spending patterns, and thereby our results of operations, include, but are not limited to: health of the economy; consumer confidence in the economy; financial market volatility; wages, jobs and unemployment trends; the housing market, including real estate prices and mortgage rates; consumer credit availability; consumer debt levels; gasoline and fuel prices; interest rates and inflation; tax rates and tax policy; immigration policy; import and customs duties/tariffs and policy; impact of natural or man-made disasters; legislation and regulations; international unrest, trade disputes, labor shortages, and other disruptions to the supply chain; changes to raw material and commodity prices; national and international security and safety concerns; and impact any of public health pandemics. Factors that impact consumer discretionary spending, which remains volatile globally, continue to create a complex and challenging retail environment for us. See the section of this Quarterly Report entitled "Impact of COVID-19 on Our Business."</w:t>
      </w:r>
    </w:p>
    <w:p>
      <w:pPr>
        <w:spacing w:after="0" w:line="12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Consumer Preferences and Demands. </w:t>
      </w:r>
      <w:r>
        <w:rPr>
          <w:rFonts w:ascii="Arial" w:cs="Arial" w:eastAsia="Arial" w:hAnsi="Arial"/>
          <w:sz w:val="16"/>
          <w:szCs w:val="16"/>
          <w:color w:val="auto"/>
        </w:rPr>
        <w:t>The level of success we achieve is dependent on, among other factors, how accurately and timely we predict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tastes and preferences regarding sporting goods and outdoor recreation merchandise, the level of consumer demand, the availability of merchandise, and the competitive environment. Our products must appeal to a broad range of customers whose preferences cannot be predicted with certainty and are subject to change. We must identify, obtain supplies of, and offer to our customers, attractive and high-quality merchandise on a continuous basis. It is difficult to predict consistently and successfully the products and services our customers will demand as we often purchase products from our vendors several months in advance of the proposed delivery. If we misjudge the market for our products, we may be faced with excess inventories for some products. We utilize a variety of measures to help us identify products that are relevant to our customer base and to better understand changing customer trends, such as social media analysis, internet search analytics, internal customer insights and vendor intelligence.</w:t>
      </w:r>
    </w:p>
    <w:p>
      <w:pPr>
        <w:spacing w:after="0" w:line="1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Strategic Inventory Management. </w:t>
      </w:r>
      <w:r>
        <w:rPr>
          <w:rFonts w:ascii="Arial" w:cs="Arial" w:eastAsia="Arial" w:hAnsi="Arial"/>
          <w:sz w:val="17"/>
          <w:szCs w:val="17"/>
          <w:color w:val="auto"/>
        </w:rPr>
        <w:t>We must maintain sufficient inventory levels of merchandise that our customers desire to successfully operate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increasing our average inventory turns from 3.36x to 4.04x in the twelve months ended August 1, 2020 and July 31, 2021, respectively. We have coupled these tools with the data we have been able to collect from our Academy Credit Card program and targeted customer surveys, so that we can better estimate future inventory requirements. It is imperative that we continue to find innovative ways to strengthen our inventory management if we are to remain competitive and expand our margins on a go-forward basis. During 2020 and through the 2021 first quarter, we experienced significant inventory reductions from high sell-through during the period. In the 2021 second quarter, we had increased inventory relative to the prior year; however, despite the improved inventory levels, we expect to continue to use cash</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throughout the rest of the current fiscal year to build toward our optimal inventory position, which we believe will continue to impact our net cash provided by operating activities during the remainder of 2021.</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Value Strategy. </w:t>
      </w:r>
      <w:r>
        <w:rPr>
          <w:rFonts w:ascii="Arial" w:cs="Arial" w:eastAsia="Arial" w:hAnsi="Arial"/>
          <w:sz w:val="17"/>
          <w:szCs w:val="17"/>
          <w:color w:val="auto"/>
        </w:rPr>
        <w:t>We offer a broad assortment of products at competitive prices that offer extraordinary value. Our in-store experience includes value-added customer service delivered by our highly trained and passionate staff, such as free assembly of certain products (such as bicycles, grills, and bows), fitness equipment demonstrations, issuances and renewals of hunting and fishing licenses, fishing line spooling and assisting customers with carrying bulk items to the car, among others. Our goal is to consistently offer better value than our peer retailers. Our value-based pricing gives us an advantage over the specialty retailers and other large format retailers, who typically offer their more limited assortment at premium prices. Our broad assortment gives us an advantage over mass general merchants who typically do not carry the leading national brands sold at Academy. We have also continued to add owned brand products to our assortment of products, which we generally price lower than the national brand products of comparable quality that we also offer. A shift in our sales mix in which we sell more units of our owned brand products and fewer units of the national brand products would generally have a positive impact on our gross margin but an adverse impact on our total net sales.</w:t>
      </w:r>
    </w:p>
    <w:p>
      <w:pPr>
        <w:spacing w:after="0" w:line="12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E-commerce. </w:t>
      </w:r>
      <w:r>
        <w:rPr>
          <w:rFonts w:ascii="Arial" w:cs="Arial" w:eastAsia="Arial" w:hAnsi="Arial"/>
          <w:sz w:val="16"/>
          <w:szCs w:val="16"/>
          <w:color w:val="auto"/>
        </w:rPr>
        <w:t>We expect that the expansion and enhancement of our omnichannel capabilities will be a key driver of growth in our net sales and gross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margin. We continue to invest in initiatives that will increase traffic to e-commerce and drive increased online sales conversion. Our improved website and mobile app, which launched in the second quarter of 2021, also support our stores with digital marketing and our buy-online-pickup-in-store ("BOPIS") and ship-to-store programs. Our e-commerce platform also allows us to reach customers outside of our current store footprint and introduces new customers to the Academy brand. In both the thirteen and twenty-six weeks ended July 31, 2021, BOPIS accounted for approximately half of our e-commerce sales. Our e-commerce platform also serves as a medium for marketing and product education, allowing us to connect further with our customers. During the year-to-date 2021, stores facilitated approximately 95% of our total sales, including ship-from-store, BOPIS and in-store retail sales.</w:t>
      </w:r>
    </w:p>
    <w:p>
      <w:pPr>
        <w:spacing w:after="0" w:line="11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believe it is important that we continue to grow our omnichannel capabilities, especially in light of changing consumer preferences as a result of the COVID-19 pandemic, which, together with recent enhancements made to our website and omnichannel capabilities, contributed to the substantial increase in e-commerce sales during 2020. It is, however, difficult to ascertain with precision what portion of our e-commerce sales increase was attributable to the COVID-19 pandemic as compared to such recent enhancements. During the year-to-date 2021, e-commerce penetration was 7.9% compared to 10.9% in the year-to-date 2020 and 3.4% in the year-to-date 2019. Our e-commerce sales declined 10.8% in the year-to-date 2021 relative to the prior year-to-date which we believe was primarily driven by a demand shift from e-commerce to in-store as more and more customers are becoming comfortable shopping in our stores and the easing of COVID-19 restrictions; however, our e-commerce sales increased 241.9% when compared to year-to-date 2019. We expect to continue to expand and enhance our omnichannel capabilities, including BOPIS, ship-from-store and ship-to-store, which will continue to require significant investments by us.</w:t>
      </w:r>
    </w:p>
    <w:p>
      <w:pPr>
        <w:spacing w:after="0" w:line="12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Competition. </w:t>
      </w:r>
      <w:r>
        <w:rPr>
          <w:rFonts w:ascii="Arial" w:cs="Arial" w:eastAsia="Arial" w:hAnsi="Arial"/>
          <w:sz w:val="17"/>
          <w:szCs w:val="17"/>
          <w:color w:val="auto"/>
        </w:rPr>
        <w:t>The U.S. sporting goods and outdoor recreation retail industries are highly competitive and fragmented. We compete with specialty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footwear and outdoor retailers, traditional sporting goods stores, large format sporting goods stores, mass general merchants and catalogue and internet retailers. This competition takes place both in physical retail locations and online. Some of our competitors may be significantly larger and have substantially greater resources than us. 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We may require significant capital in the future to sustain or grow our business, including our store and e-commerce activities, due to increased competition.</w:t>
      </w:r>
    </w:p>
    <w:p>
      <w:pPr>
        <w:spacing w:after="0" w:line="12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Sourcing and Supply Chain Management. </w:t>
      </w:r>
      <w:r>
        <w:rPr>
          <w:rFonts w:ascii="Arial" w:cs="Arial" w:eastAsia="Arial" w:hAnsi="Arial"/>
          <w:sz w:val="16"/>
          <w:szCs w:val="16"/>
          <w:color w:val="auto"/>
        </w:rPr>
        <w:t>For our business to be successful, our suppliers must provide us with quality products in substantial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quantities, in compliance with regulatory requirements, at acceptable costs and on a timely basis. Competition for resources throughout the supply chain, such as production and transportation capacities, has increased. Trends affecting the supply chain include the impact of fluctuating prices of labor and raw materials on our suppliers, as well as the impact of the COVID-19 pandemic.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Changes in our relationships with our suppliers (which can occur for various reasons in or out of our control) also have the potential to increase our expenses and adversely affect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 In addition, the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0" w:name="page31"/>
    <w:bookmarkEnd w:id="30"/>
    <w:p>
      <w:pPr>
        <w:jc w:val="both"/>
        <w:spacing w:after="0" w:line="273" w:lineRule="auto"/>
        <w:rPr>
          <w:sz w:val="20"/>
          <w:szCs w:val="20"/>
          <w:color w:val="auto"/>
        </w:rPr>
      </w:pPr>
      <w:r>
        <w:rPr>
          <w:rFonts w:ascii="Arial" w:cs="Arial" w:eastAsia="Arial" w:hAnsi="Arial"/>
          <w:sz w:val="17"/>
          <w:szCs w:val="17"/>
          <w:color w:val="auto"/>
        </w:rPr>
        <w:t>announcement or imposition of any new or increased tariffs, duties or taxes as a result of trade or political tensions between the United States and other countries or otherwise could adversely affect our supply chain. In recent years, the Trump administration imposed multiple rounds of tariffs on exports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net sales and/or gross margin. However, no significant modifications have been enacted to date, relative to the escalated tariffs, which impact our business.</w:t>
      </w:r>
    </w:p>
    <w:p>
      <w:pPr>
        <w:spacing w:after="0" w:line="12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New Store Openings. </w:t>
      </w:r>
      <w:r>
        <w:rPr>
          <w:rFonts w:ascii="Arial" w:cs="Arial" w:eastAsia="Arial" w:hAnsi="Arial"/>
          <w:sz w:val="17"/>
          <w:szCs w:val="17"/>
          <w:color w:val="auto"/>
        </w:rPr>
        <w:t>We expect that new stores will be a key driver of growth in our net sales and gross margin in the future. Our results of operations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been and will continue to be materially affected by the timing and number of new store openings. We are continually assessing the number of locations available that could accommodate our preferred size of stores in markets we would consider and we expect, subject to the impact of the COVID-19 pandemic, to open eight to 10 new stores per year, starting in 2022, similar to our growth rates from 2018 through 2019. The performance of new stores may vary depending on various factors such as the store opening date, the time of year of a particular opening, the amount of store opening costs, the amount of store occupancy costs and the location of the new store, including whether it is located in a new or existing market. For example, we typically incur higher than normal team member costs at the time of a new store opening associated with set-up and other opening costs. Most of our stores achieve profitability within the first twelve months of opening a store. We believe our real estate strategy has positioned us well for further expansion. However, our planned store expansion will place increased demands on our operational, managerial, administrative and other resources. New stores in new markets, where we are less familiar with the target customer and less well-known by the target customer, may face different or additional risks and increased costs compared to new stores in existing markets. We may have to broaden our assortment to merchandise more locally as we grow into newer markets.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income and net income.</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b w:val="1"/>
          <w:bCs w:val="1"/>
          <w:i w:val="1"/>
          <w:iCs w:val="1"/>
          <w:color w:val="auto"/>
        </w:rPr>
        <w:t xml:space="preserve">Interim Results and Seasonality. </w:t>
      </w:r>
      <w:r>
        <w:rPr>
          <w:rFonts w:ascii="Arial" w:cs="Arial" w:eastAsia="Arial" w:hAnsi="Arial"/>
          <w:sz w:val="16"/>
          <w:szCs w:val="16"/>
          <w:color w:val="auto"/>
        </w:rPr>
        <w:t>Our business is subject to seasonal fluctuations. A significant portion of our net sales and profits is driven by summer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9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b w:val="1"/>
          <w:bCs w:val="1"/>
          <w:i w:val="1"/>
          <w:iCs w:val="1"/>
          <w:color w:val="auto"/>
        </w:rPr>
        <w:t xml:space="preserve">53rd Week. </w:t>
      </w:r>
      <w:r>
        <w:rPr>
          <w:rFonts w:ascii="Arial" w:cs="Arial" w:eastAsia="Arial" w:hAnsi="Arial"/>
          <w:sz w:val="16"/>
          <w:szCs w:val="16"/>
          <w:color w:val="auto"/>
        </w:rPr>
        <w:t>We operate on the retail industry’s 4-5-4 calendar. The 4-5-4 calendar is a guide for retailers that ensures sales comparability between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dividing the year into months based on a 4 weeks – 5 weeks – 4 weeks format. Every five to six years a week is added to the 4-5-4 fiscal calendar.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outbreak of COVID-19, which has been declared a global pandemic by the World Health Organization, continues to affect our business, as well as our customers, team members and suppliers, and has resulted in federal, state and local governmental authority safety recommendations and requirements aimed at mitigating the spread of the virus, such as stay-at-home orders, prohibitions of large group gatherings, travel restrictions and closures of certain businesses. The scope and nature of these impacts continue to evolve on a daily basis, including any potential resurgence in COVID-19 cases.</w:t>
      </w:r>
    </w:p>
    <w:p>
      <w:pPr>
        <w:spacing w:after="0" w:line="10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response to these restrictions, and in order to serve our customers while also providing for the safety of our customers, team members and service providers, we have taken many actions, including cleaning each store professionally on a regular basis, equipping each store with hand sanitizer stations and signage illustrating how to socially distance within the store, wearing face coverings, limiting the number of customers admitted at one time, and having protective shields installed at cash registers and other countertops. We have incurred increased costs related to the implementation of these measures, and temporary wage premiums and additional sick time for our active store and distribution center team members. To mitigate the cost of these measures, during the thirteen weeks ended May 2, 2020, we temporarily furloughed a significant number of corporate, store and distribution center team members and enforced temporary pay cuts for executives and remaining active team members as well as other strategic actions to significantly reduce operating expenses during the period. We also drew down $500 million on our ABL Facility (as defined below) in March 2020 as a precautionary measure to ensure financial flexibility and maximize liquidity. All three of our distribution centers remained open during 2020 and through year-to-date 2021, all of our 259 stores have been fully operational since May 20, 2020, and our corporate office has been fully open since June 8, 2020. We continue to monitor the rapidly evolving situation and expect to continue to adapt our operations to address federal, state, and local requirements as well as to implement standards or processes that we determine to be in the best interest of our team members, customers, and communities.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1" w:name="page32"/>
    <w:bookmarkEnd w:id="31"/>
    <w:p>
      <w:pPr>
        <w:jc w:val="both"/>
        <w:ind w:firstLine="324"/>
        <w:spacing w:after="0" w:line="269" w:lineRule="auto"/>
        <w:rPr>
          <w:sz w:val="20"/>
          <w:szCs w:val="20"/>
          <w:color w:val="auto"/>
        </w:rPr>
      </w:pPr>
      <w:r>
        <w:rPr>
          <w:rFonts w:ascii="Arial" w:cs="Arial" w:eastAsia="Arial" w:hAnsi="Arial"/>
          <w:sz w:val="17"/>
          <w:szCs w:val="17"/>
          <w:color w:val="auto"/>
        </w:rPr>
        <w:t>The impact of the pandemic and actions taken in response to it had varying effects on our results of operations, as further discussed below, and our business has been especially unpredictable. However, as an essential retailer, we have been able to serve our customers as their needs evolved during the pandemic. Early in the pandemic, we saw the acceleration of sales in specific categories, such as outdoor cooking, camping, shooting sports and hunting. Later in the 2020 first quarter, customers realized they needed to find ways to entertain their families and stay fit while schools and gyms closed, so they turned to us for isolated recreation, outdoor and leisure activities that we support, and as a result, we saw increased sales of weights, yoga mats, treadmills, indoor bicycles, fishing, hunting and camping gear, backyard and driveway games, trampolines, patio seating and grills. We anticipate that the increased popularity of isolated recreation, outdoor and leisure activity products will continue for the duration of the pandemic and will result in a long-term increase to our customer base. At the same time, during the year-to-date 2020 we experienced decreased sales of certain of our offerings, primarily for apparel and footwear, and had to occasionally cancel certain of our purchase orders for these products. Despite the initial challenges in 2020 with sales declines in our footwear and apparel merchandise divisions, these categories ultimately experienced positive comparable sales growth for 2020. The outdoors and sports and recreation divisions had consistent positive store sales growth throughout 2020 and ultimately experienced significant positive comparable sales growth in 2020.</w:t>
      </w:r>
    </w:p>
    <w:p>
      <w:pPr>
        <w:spacing w:after="0" w:line="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year-to-date 2021, we experienced double digit comparable sales growth in most of our merchandise divisions. Additionally, our sales mix has returned to more balanced levels relative to the prior year which has contributed to improved margins as our footwear and apparel sales increased over the year-to-date 2020. In-store traffic has increased recently and relative to the prior year. We believe the increase is attributable to the easing of COVID-19 restrictions and increased availability of vaccinations throughout our footprint, which has contributed to increased customer comfort with shopping in our stores. Additionally, we have seen recent demand increases from various factors, such as the U.S. government stimulus payments, enhanced unemployment benefits and the gradual return of team sports and in-person education.</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believe that our consumers feel comfortable visiting our stores due to the fact that we have big-box stores and curbside pick-up for online orders, making it easier to socially distance, and that we are not in, or tethered to, malls, as customers seek to avoid crowded spaces. We also saw a significant increase during 2020 of customers purchasing our products through omnichannel platforms, specifically as customers increasingly take advantage of our curbside pick-up service, which we launched during the 2020 first quarter and ship-to-store, which launched in the 2020 third quarter, which gives our customers more options on how to shop Academy. While the easing of most COVID-19 restrictions in the year-to-date 2021 has allowed for greater traffic in our stores, we believe it has also resulted in decreased e-commerce sales penetration when compared to the prior year.</w:t>
      </w:r>
    </w:p>
    <w:p>
      <w:pPr>
        <w:spacing w:after="0" w:line="11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extent to which our operations and business trends will be impacted by, and any unforeseen costs will result from, the pandemic will depend largely on future developments, which are highly uncertain and cannot be accurately predicted. These developments include, among other things, new information that may emerge concerning the severity of the outbreak and health implications, the development and availability of vaccines to mitigate the risk of COVID-19, actions by government authorities to contain the outbreak or treat its impact, and changes in consumer behavior resulting from the outbreak and such government actions. We continue to monitor the evolving situation as there remain many uncertainties regarding the pandemic and its resurgence, including the anticipated duration. See the section of the Annual Report entitled "Risk Factors—Risks Related to Our Business—The impact of COVID-19 may adversely affect our business and financial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Assess the Performance of Our Business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 See "Non-GAAP Measures" below.</w:t>
      </w:r>
    </w:p>
    <w:p>
      <w:pPr>
        <w:spacing w:after="0" w:line="9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Comparable Sales. </w:t>
      </w:r>
      <w:r>
        <w:rPr>
          <w:rFonts w:ascii="Arial" w:cs="Arial" w:eastAsia="Arial" w:hAnsi="Arial"/>
          <w:sz w:val="16"/>
          <w:szCs w:val="16"/>
          <w:color w:val="auto"/>
        </w:rPr>
        <w:t>We define comparable sales as the percentage of period-over-period net sales increase or decrease, in the aggregate, for stores open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thirteen full fiscal months, as well as for all e-commerce sales. There may be variations in the way in which some of our competitors and other retailers calculate comparable sales. As a result, data in this Quarterly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are allocated to e-commerce sales for the purpose of measuring comparable sales, regardless of how those sales are fulfilled, whether shipped to home or picked up in-store or curbside through BOPIS. For example, all BOPIS transactions, which are originated by our website, are allocated to e-commerce sales for the purpose of comparable sales, despite the fact that our customers pick-up these purchases from a specific store. Increases or decreases in e-commerce between periods being compared directly impact the comparable sales results. Various factors affect comparable sales, including consumer preferences, buying trends and overall economic trends; our ability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2" w:name="page33"/>
    <w:bookmarkEnd w:id="32"/>
    <w:p>
      <w:pPr>
        <w:jc w:val="both"/>
        <w:spacing w:after="0" w:line="257" w:lineRule="auto"/>
        <w:rPr>
          <w:sz w:val="20"/>
          <w:szCs w:val="20"/>
          <w:color w:val="auto"/>
        </w:rPr>
      </w:pPr>
      <w:r>
        <w:rPr>
          <w:rFonts w:ascii="Arial" w:cs="Arial" w:eastAsia="Arial" w:hAnsi="Arial"/>
          <w:sz w:val="18"/>
          <w:szCs w:val="18"/>
          <w:color w:val="auto"/>
        </w:rPr>
        <w:t>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thirteen months.</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b w:val="1"/>
          <w:bCs w:val="1"/>
          <w:i w:val="1"/>
          <w:iCs w:val="1"/>
          <w:color w:val="auto"/>
        </w:rPr>
        <w:t xml:space="preserve">Adjusted EBITDA, Adjusted EBIT, Adjusted Net Income, Pro Forma Adjusted Net Income, Pro Forma Adjusted Earnings per Share and Adjusted Free Cash Flow. </w:t>
      </w:r>
      <w:r>
        <w:rPr>
          <w:rFonts w:ascii="Arial" w:cs="Arial" w:eastAsia="Arial" w:hAnsi="Arial"/>
          <w:sz w:val="16"/>
          <w:szCs w:val="16"/>
          <w:color w:val="auto"/>
        </w:rPr>
        <w:t>Management uses Adjusted EBITDA, Adjusted EBIT, Adjusted Net Income, Pro Forma Adjusted Net Income, Pro Forma Adjusted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spacing w:after="0" w:line="10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E-commerce Penetration. </w:t>
      </w:r>
      <w:r>
        <w:rPr>
          <w:rFonts w:ascii="Arial" w:cs="Arial" w:eastAsia="Arial" w:hAnsi="Arial"/>
          <w:sz w:val="18"/>
          <w:szCs w:val="18"/>
          <w:color w:val="auto"/>
        </w:rPr>
        <w:t>E-commerce penetration is defined as total e-commerce merchandise sales (which includes BOPIS) divided by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merchandise sales.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Components of Our Results of Operations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profitability is primarily influenced by fluctuations in net sales, gross margin and our ability to leverage selling, general and administrative expenses.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Net sales are derived from in-store and e-commerce merchandise sales, net of sales tax and an allowance for merchandise returns.</w:t>
      </w:r>
    </w:p>
    <w:p>
      <w:pPr>
        <w:spacing w:after="0" w:line="18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market and sales promotions.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is our net sales less cost of goods sold. Our cost of goods sold includes the direct cost of merchandise and costs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procurement, warehousing and distribution. These costs consist primarily of payroll and benefits, occupancy costs and freight and are generally variable in nature relative to our sales volume.</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gross margin depends on a number of factors, such as net sales increases or decreases, our promotional activities, product mix including owned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("SG&amp;A") expenses include store and corporate administrative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payroll and payroll benefits, store and corporate headquarters occupancy costs, advertising, credit card processing, information technology, pre-opening costs and other store and administrative expenses. These expenses are both variable and fixed in nature.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 advertising expenses, with efficiently and effectively servicing our customers. We expect that our SG&amp;A expenses will increase in future periods due to our continuing growth and in part to additional legal, accounting, insurance and other expenses we expect to incur as a result of being a newly public company.</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Income Tax Expense (Benefit). </w:t>
      </w:r>
      <w:r>
        <w:rPr>
          <w:rFonts w:ascii="Arial" w:cs="Arial" w:eastAsia="Arial" w:hAnsi="Arial"/>
          <w:sz w:val="17"/>
          <w:szCs w:val="17"/>
          <w:color w:val="auto"/>
        </w:rPr>
        <w:t>Prior to October 1, 2020, New Academy Holding Company, LLC, our prior ultimate parent company, was treated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flow through entity for U.S. federal income tax purposes and thus no federal income tax expense was recorded in our consolidated statements of income for periods prior to October 1, 2020. Our tax rate prior to October 1, 2020 was almost entirely the result of state income taxes. In connection with our initial public offering ("IPO"), as a result of the Reorganization Transactions (see Note 1 to the financial statements included in this Quarterly Report) completed on October 1, 2020, Academy Sports and Outdoors, Inc. ("ASO, Inc.") is treated as a U.S. corporation for U.S. federal, state, and local income tax purposes and accordingly, a provision for income taxes has been recorded for the anticipated tax consequences of our reported results of operations for federal, state and local income taxes since October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Thirteen Weeks Ended July 31, 2021 Compared to Thirteen Weeks Ended August 1, 2020</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amounts and information derived from our unaudited statements of income for the periods indicated as follows (dollar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7"/>
          </w:tcPr>
          <w:p>
            <w:pPr>
              <w:ind w:left="440"/>
              <w:spacing w:after="0"/>
              <w:rPr>
                <w:sz w:val="20"/>
                <w:szCs w:val="20"/>
                <w:color w:val="auto"/>
              </w:rPr>
            </w:pPr>
            <w:r>
              <w:rPr>
                <w:rFonts w:ascii="Arial" w:cs="Arial" w:eastAsia="Arial" w:hAnsi="Arial"/>
                <w:sz w:val="18"/>
                <w:szCs w:val="18"/>
                <w:b w:val="1"/>
                <w:bCs w:val="1"/>
                <w:color w:val="auto"/>
              </w:rPr>
              <w:t>Thirteen Weeks Ended</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37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w w:val="93"/>
              </w:rPr>
              <w:t>July 31, 2021</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89"/>
              </w:rPr>
              <w:t>August 1, 2020</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Dollars</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Percent</w:t>
            </w:r>
          </w:p>
        </w:tc>
      </w:tr>
      <w:tr>
        <w:trPr>
          <w:trHeight w:val="22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1,791,530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1,606,420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185,110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1,149,034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64.1 %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1,109,919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39,115</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3.5 %</w:t>
            </w:r>
          </w:p>
        </w:tc>
      </w:tr>
      <w:tr>
        <w:trPr>
          <w:trHeight w:val="223"/>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642,496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496,501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145,995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29.4 %</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387,938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312,713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75,225</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24.1 %</w:t>
            </w:r>
          </w:p>
        </w:tc>
      </w:tr>
      <w:tr>
        <w:trPr>
          <w:trHeight w:val="223"/>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254,558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183,788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38.5 %</w:t>
            </w: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12,157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23,566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(11,409)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(48.4)%</w:t>
            </w: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(Gain) loss on early extinguishment of debt,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17.0 %</w:t>
            </w:r>
          </w:p>
        </w:tc>
      </w:tr>
      <w:tr>
        <w:trPr>
          <w:trHeight w:val="223"/>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240,897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168,681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42.8 %</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50,387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r>
      <w:tr>
        <w:trPr>
          <w:trHeight w:val="248"/>
        </w:trPr>
        <w:tc>
          <w:tcPr>
            <w:tcW w:w="3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190,510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167,676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*Percentages in table may not sum properly due to rounding.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2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i w:val="1"/>
          <w:iCs w:val="1"/>
          <w:color w:val="auto"/>
        </w:rPr>
        <w:t>Net Sales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 increased $185.1 million, or 11.5%, in the 2021 second quarter over the prior year second quarter due to an increase in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of 11.4% and strong sales performances across all of our merchandise divisions.</w:t>
      </w:r>
    </w:p>
    <w:p>
      <w:pPr>
        <w:spacing w:after="0" w:line="11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2021 second quarter comparable sales increase of 11.4% was driven by increased sales across all merchandise divisions and almost every product category. The increase in comparable sales was led by strong performances in apparel, footwear and sports and recreation. The apparel division experienced strong sales across all product categories with the highest sales increases in outdoor and seasonal and athletic. The footwear division increased due to strong sales across every category especially in work, casual and youth and athletic. The sports and recreation merchandise division comparable sales increase was also driven by strong sales across every category especially in team sports where football and baseball sales were adversely impacted by the pandemic during the prior year second quarter. The outdoor merchandise division increase was led by increased ammunition and camping sales, and partially offset by a decrease in the fishing category, which had a significant increase in the prior year due to the increased popularity of isolated recreation.</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E-commerce net sales decreased $1.4 million, or 0.9%, in the 2021 second quarter compared to the prior year second quarter and represented 8.4% of merchandise sales the 2021 second quarter compared to 9.4% for the prior year second quarter. We believe the decline in e-commerce was generated by a demand shift from e-commerce to in-store sales caused by the easing of COVID-19 restrictions, as well as a greater comfort level amongst our customers for visiting our stores in person.</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increased $146.0 million, or 29.4%, to $642.5 million in the 2021 second quarter from $496.5 million in the 2020 second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As a percentage of net sales, gross margin increased 5.0% from 30.9% in the 2020 second quarter to 35.9% in the 2021 second quarter. The increase of 500 basis points in gross margin is primarily attributable to:</w:t>
      </w:r>
    </w:p>
    <w:p>
      <w:pPr>
        <w:spacing w:after="0" w:line="130" w:lineRule="exact"/>
        <w:rPr>
          <w:sz w:val="20"/>
          <w:szCs w:val="20"/>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298 basis points of favorability in merchandise margins due to a shift in higher margin goods driving the increased sales, higher average unit retails, and less promotional activity from the prior year;</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139 basis points of favorability in inventory overhead expenditures as a result of lower expense absorption rates from higher inventory turnover rates;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55 basis points of favorability as result of higher vendor allowances.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SG&amp;A expenses increased $75.2 million to $387.9 million in the 2021 second quarter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$312.7 million in the 2020 second quarter. As a percentage of net sales, SG&amp;A expenses were up 2.2% to 21.7% in the 2021 second quarter compared to 19.5% in the 2020 second quarter. The increase of 220 basis points in SG&amp;A is primarily attributable to:</w:t>
      </w:r>
    </w:p>
    <w:p>
      <w:pPr>
        <w:spacing w:after="0" w:line="130" w:lineRule="exact"/>
        <w:rPr>
          <w:sz w:val="20"/>
          <w:szCs w:val="20"/>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170 basis point increase in employee costs, primarily driven by increased equity compensation expense resulting from a vesting event (the "2021 Vesting Event"; see Note 1 to the financial statements included in this Quarterly Report); and</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76 basis point increase in advertising as a result of increased marketing and promotional activities relative to the prior year quarter, which included an initiative to lower advertising costs to help mitigate the financial impact of COVID-19 on the business.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decreased $11.4 million, or 48.4%, in the 2021 second quarter when compared with the 2020 second quarter,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as a result of a lower outstanding principal balance on the Term Loan (as defined below) in the current year compared to the prior year due to debt refinancing activities as well as lower interest on the ABL Facility from our $500.0 million draw-down in the first quarter of 2020 taken as a precautionary measure at the beginning of the COVID-19 pandemic. We repaid the $500.0 million draw-down during the 2020 second quarter.</w:t>
      </w:r>
    </w:p>
    <w:p>
      <w:pPr>
        <w:spacing w:after="0" w:line="19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(Gain) Loss on Early Extinguishment of Debt, net. </w:t>
      </w:r>
      <w:r>
        <w:rPr>
          <w:rFonts w:ascii="Arial" w:cs="Arial" w:eastAsia="Arial" w:hAnsi="Arial"/>
          <w:sz w:val="17"/>
          <w:szCs w:val="17"/>
          <w:color w:val="auto"/>
        </w:rPr>
        <w:t>(Gain) loss on early retirement of debt, net decreased $10.1 million, or 128.6%, to a loss of $2.2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from a gain of $7.8 million in the 2020 second quarter. During the second quarter of 2021, we refinanced our Term Loan (as defined below), which resulted in a loss on early retirement of debt of $2.2 million. During the second quarter of 2020, we repurchased $23.9 million in principal on the Term Loan, which was trading at a discount, in open market transactions for $16.0 million and recognized a net gain of $7.8 million.</w:t>
      </w:r>
    </w:p>
    <w:p>
      <w:pPr>
        <w:spacing w:after="0" w:line="19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increased $49.4 million to $50.4 million in the 2021 second quarter as compared to $1.0 million in the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second quarter. As a result of the Reorganization Transactions, which occurred on October 1, 2020, ASO, Inc. became subject to U.S. federal income taxes</w:t>
      </w:r>
    </w:p>
    <w:p>
      <w:pPr>
        <w:jc w:val="both"/>
        <w:spacing w:after="0" w:line="342" w:lineRule="auto"/>
        <w:rPr>
          <w:sz w:val="20"/>
          <w:szCs w:val="20"/>
          <w:color w:val="auto"/>
        </w:rPr>
      </w:pPr>
      <w:r>
        <w:rPr>
          <w:rFonts w:ascii="Arial" w:cs="Arial" w:eastAsia="Arial" w:hAnsi="Arial"/>
          <w:sz w:val="16"/>
          <w:szCs w:val="16"/>
          <w:color w:val="auto"/>
        </w:rPr>
        <w:t>and is being taxed at the prevailing corporate rates. ASO, Inc.’s effective tax rate for the 2021 second quarter was 20.9%. The effective tax rate was reduced by approximately 3.9% for the benefit of tax deductions related to the vesting or exercise of several equity compensation awards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Twenty-Six Weeks Ended July 31, 2021 Compared to Twenty-Six Weeks Ended August 1, 2020</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amounts and information derived from our unaudited statements of income for the periods indicated as follows (dollar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ind w:left="380"/>
              <w:spacing w:after="0"/>
              <w:rPr>
                <w:sz w:val="20"/>
                <w:szCs w:val="20"/>
                <w:color w:val="auto"/>
              </w:rPr>
            </w:pPr>
            <w:r>
              <w:rPr>
                <w:rFonts w:ascii="Arial" w:cs="Arial" w:eastAsia="Arial" w:hAnsi="Arial"/>
                <w:sz w:val="18"/>
                <w:szCs w:val="18"/>
                <w:b w:val="1"/>
                <w:bCs w:val="1"/>
                <w:color w:val="auto"/>
              </w:rPr>
              <w:t>Twenty-Six Weeks Ended</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0"/>
              </w:rPr>
              <w:t>Change</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3"/>
          </w:tcPr>
          <w:p>
            <w:pPr>
              <w:ind w:left="540"/>
              <w:spacing w:after="0"/>
              <w:rPr>
                <w:sz w:val="20"/>
                <w:szCs w:val="20"/>
                <w:color w:val="auto"/>
              </w:rPr>
            </w:pPr>
            <w:r>
              <w:rPr>
                <w:rFonts w:ascii="Arial" w:cs="Arial" w:eastAsia="Arial" w:hAnsi="Arial"/>
                <w:sz w:val="18"/>
                <w:szCs w:val="18"/>
                <w:b w:val="1"/>
                <w:bCs w:val="1"/>
                <w:color w:val="auto"/>
                <w:w w:val="95"/>
              </w:rPr>
              <w:t>July 31, 2021</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3"/>
          </w:tcPr>
          <w:p>
            <w:pPr>
              <w:ind w:left="460"/>
              <w:spacing w:after="0"/>
              <w:rPr>
                <w:sz w:val="20"/>
                <w:szCs w:val="20"/>
                <w:color w:val="auto"/>
              </w:rPr>
            </w:pPr>
            <w:r>
              <w:rPr>
                <w:rFonts w:ascii="Arial" w:cs="Arial" w:eastAsia="Arial" w:hAnsi="Arial"/>
                <w:sz w:val="18"/>
                <w:szCs w:val="18"/>
                <w:b w:val="1"/>
                <w:bCs w:val="1"/>
                <w:color w:val="auto"/>
                <w:w w:val="91"/>
              </w:rPr>
              <w:t>August 1, 2020</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Dollars</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w w:val="87"/>
              </w:rPr>
              <w:t>Percent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3,371,863</w:t>
            </w:r>
          </w:p>
        </w:tc>
        <w:tc>
          <w:tcPr>
            <w:tcW w:w="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2,742,721</w:t>
            </w: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629,142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2,165,666</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64.2 %</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1,948,275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1,206,197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794,446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51.8 %</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2"/>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712,565</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21.1 %</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596,636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493,632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197,810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149.5 %</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26,706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0.8 %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48,088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(Gain) loss on early extinguishment of debt,</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2,239</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0.1 %</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(1,132)</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0.0 %</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465,819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159,174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192.6 %</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97,513</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2.9 %</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368,306</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157,656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*Percentages in table may not sum properly due to rounding.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2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i w:val="1"/>
          <w:iCs w:val="1"/>
          <w:color w:val="auto"/>
        </w:rPr>
        <w:t>Net Sales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 increased $629.1 million, or 22.9%, for the year-to-date 2021 compared to year-to-date 2020 as a result of increased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of 22.8% and strong sales performances across all of our merchandise divisions.</w:t>
      </w:r>
    </w:p>
    <w:p>
      <w:pPr>
        <w:spacing w:after="0" w:line="11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year-to-date comparable sales increase of 22.8% was driven by increased sales across all merchandise divisions and almost every product category. The increase in comparable sales was led by strong performances in apparel, footwear and sports and recreation. The apparel division experienced strong sales across all product categories with the highest sales increases in athletic and outdoor and seasonal. The footwear division increased due to strong sales across every category especially in work, casual and youth and athletic. The sports and recreation merchandise division comparable sales increase was also driven by strong sales across every category especially in team sports where baseball sales were adversely impacted by the pandemic during the prior year second quarter. The outdoor merchandise division increase was led by increased ammunition and camping sales, and partially offset by a decrease in the fishing category, which had a significant increase in the prior year due to the increased popularity of isolated recreation.</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E-commerce net sales decreased $32.3 million, or 10.8%, in the year-to-date 2021 compared to the year-to-date 2020 and represented 7.9% of merchandise sales for the current year-to-date compared to 10.9% for the prior year-to-date. We believe the decline in e-commerce was generated by a demand shift from e-commerce to in-store sales caused by the easing of COVID-19 restrictions, as well as a greater comfort level amongst our customers for visiting our stores in person.</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increased $411.8 million, or 51.8%, to $1,206.2 million for the year-to-date 2021 from $794.4 million for the year-to-date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As a percentage of net sales, gross margin increased 6.8% from 29.0% in the prior year-to-date to 35.8% in the current year-to-date. The increase of 680 basis points in gross margin is primarily attributable to:</w:t>
      </w:r>
    </w:p>
    <w:p>
      <w:pPr>
        <w:spacing w:after="0" w:line="130" w:lineRule="exact"/>
        <w:rPr>
          <w:sz w:val="20"/>
          <w:szCs w:val="20"/>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495 basis points of favorability in merchandise margins due to a shift in higher margin goods driving the increased sales, higher average unit retails, and less clearance and promotional activity from the prior year; and</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152 basis points of favorability in inventory overhead expenditures as a result of lower expense absorption rates from higher inventory turnover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6" w:name="page37"/>
    <w:bookmarkEnd w:id="36"/>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SG&amp;A expenses increased $115.9 million, or 19.4%, to $712.6 million for the year-to-date 2021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$596.6 million for the year-to-date 2020. As a percentage of net sales, SG&amp;A expenses were down 0.7% to 21.1% in the current year-to-date compared to 21.8% in the prior year-to-date. The decrease of 70 basis points in SG&amp;A is primarily attributable to:</w:t>
      </w:r>
    </w:p>
    <w:p>
      <w:pPr>
        <w:spacing w:after="0" w:line="130" w:lineRule="exact"/>
        <w:rPr>
          <w:sz w:val="20"/>
          <w:szCs w:val="20"/>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112 basis point decrease in property and facility fees as a result of leveraging costs on increased sales and decreased depreciation costs; partially offset by a</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44 basis point increase in advertising as a result of increased marketing and promotional activities relative to the prior year, which included an initiative to lower advertising costs to help mitigate the financial impact of COVID-19 on the business.</w:t>
      </w:r>
    </w:p>
    <w:p>
      <w:pPr>
        <w:spacing w:after="0" w:line="19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decreased $21.4 million, or 44.5%, for the year-to-date 2021 when compared to the year-to-date 2020, primarily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result of a lower outstanding principal balance on the Term Loan (as defined below) in the current year compared to the prior year due to debt refinancing activities as well as lower interest on the ABL Facility from our $500.0 million draw-down in the first quarter of 2020 taken as a precautionary measure at the beginning of the COVID-19 pandemic. We repaid the $500.0 million draw-down during the 2020 second quarter.</w:t>
      </w:r>
    </w:p>
    <w:p>
      <w:pPr>
        <w:spacing w:after="0" w:line="19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b w:val="1"/>
          <w:bCs w:val="1"/>
          <w:i w:val="1"/>
          <w:iCs w:val="1"/>
          <w:color w:val="auto"/>
        </w:rPr>
        <w:t xml:space="preserve">(Gain) Loss on Early Extinguishment of Debt, net. </w:t>
      </w:r>
      <w:r>
        <w:rPr>
          <w:rFonts w:ascii="Arial" w:cs="Arial" w:eastAsia="Arial" w:hAnsi="Arial"/>
          <w:sz w:val="16"/>
          <w:szCs w:val="16"/>
          <w:color w:val="auto"/>
        </w:rPr>
        <w:t>(Gain) loss on early retirement of debt, net decreased $10.1 million, or 128.6%, to a loss of $2.2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the year-to-date 2021 from a gain of $7.8 million in the year-to-date 2020. During the second quarter of 2021, we refinanced our Term Loan (as defined below), which resulted in a loss on early retirement of debt of $2.2 million. During the second quarter of 2020, we repurchased $23.9 million in principal on the Term Loan, which was trading at a discount, in open market transactions for $16.0 million and recognized a net gain of $7.8 million.</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Other (Income), net. </w:t>
      </w:r>
      <w:r>
        <w:rPr>
          <w:rFonts w:ascii="Arial" w:cs="Arial" w:eastAsia="Arial" w:hAnsi="Arial"/>
          <w:sz w:val="17"/>
          <w:szCs w:val="17"/>
          <w:color w:val="auto"/>
        </w:rPr>
        <w:t>Other income, net, decreased $0.5 million due to lower earned interest on money market funds from lower balances and lower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rates during the current year-to-date relative to the prior year-to-date. The higher prior year investments in money market accounts were driven by the precautionary draw-down of $500.0 million on our ABL Facility at the beginning of the COVID-19 pandemic.</w:t>
      </w:r>
    </w:p>
    <w:p>
      <w:pPr>
        <w:spacing w:after="0" w:line="1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increased $96.0 million to $97.5 million for the year-to-date 2021 as compared to $1.5 million for the year-to-date 2020. As a result of the Reorganization Transactions, which occurred on October 1, 2020, ASO, Inc. became subject to U.S. federal income taxes</w:t>
      </w:r>
    </w:p>
    <w:p>
      <w:pPr>
        <w:spacing w:after="0" w:line="1"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and is being taxed at the prevailing corporate rates. ASO, Inc.’s effective tax rate for the year-to-date 2021 was 20.9%. The effective tax rate was reduced by approximately 3.9% for the benefit of tax deductions related to the vesting or exercise of several equity compensation awards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Adjusted EBITDA, Adjusted EBIT, Adjusted Net Income, Pro Forma Adjusted Net Income, Pro Forma Adjusted Earnings per Share and Adjusted Free Cash Flow, as shown below, have been presented in this Quarterly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further adjusted to exclude consulting fees, private equity sponsor monitoring fees, equity compensation expense, (gain) loss on early extinguishment of debt, net, severance and executive transition costs, costs related to the COVID-19 pandemic, payroll taxes associated with the 2021 Vesting Event and other adjustments. We define Adjusted EBIT as net income (loss) before interest expense, net, and income tax expense, further adjusted to exclude consulting fees, private equity sponsor monitoring fees, equity compensation expense, (gain) loss on early extinguishment of debt, net, severance and executive transition costs, costs related to the COVID-19 pandemic, payroll taxes associated with the 2021 Vesting Event and other adjustments. We describe these adjustments reconciling net income (loss) to Adjusted EBITDA and to Adjusted EBIT in the applicable table below. We define Adjusted Net Income as net income (loss), plus consulting fees, private equity sponsor monitoring fees, equity compensation expense, (gain) loss on early extinguishment of debt, net, severance and executive transition costs, costs related to the COVID-19 pandemic, payroll taxes associated with the 2021 Vesting Event and other adjustments, less the tax effect of these adjustments. We define Pro Forma Adjusted Net Income as Adjusted Net Income less the retrospective tax effect of Adjusted Net Income at our estimated effective tax rate of approximately 25% for periods prior to October 1, 2020, the effective date of our conversion to a C-Corporation. We define basic Pro Forma Adjusted Earnings per Share as Pro Forma Adjusted Net Income divided by the basic weighted average common shares outstanding during the period and diluted Pro Forma Adjusted Earnings per Share as Pro Forma Adjusted Net Income divided by the diluted weighted average common shares outstanding during the period. We describe these adjustments reconciling net income (loss) to Adjusted Net Income, Pro Forma Adjusted Net Income and Pro Forma Adjusted Earnings per Share in the applicable table below. We describe Adjusted Free Cash Flow as net cash provided by (used in) operating activities less net cash used in investing activities. We describe this adjustment by reconciling net cash provided by operating activities to Adjusted Free Cash Flow in the applicable table below.</w:t>
      </w:r>
    </w:p>
    <w:p>
      <w:pPr>
        <w:spacing w:after="0" w:line="12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believe Adjusted EBITDA, Adjusted EBIT, Adjusted Net Income, Pro Forma Adjusted Net Income and Pro Forma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Pro Forma Adjusted Net Income and Pro Forma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Pro Forma Adjusted Net Income, Pro Forma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Management supplements GAAP results with non-GAAP financial measures to provide a more complete understanding of the factors and trends affecting the business than GAAP results alone. Adjusted EBITDA, Adjusted EBIT, Adjusted Net Income, Pro Forma Adjusted Net Income, Pro Forma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Pro Forma Adjusted Net Income and Pro Forma Adjusted Earnings per Share should not be construed to imply that our future results will be unaffected by unusual or non-recurring items. In evaluating Adjusted EBITDA, Adjusted EBIT, Adjusted Net Income, Pro Forma Adjusted Net Income, Pro Forma Adjusted Earnings per Share and Adjusted Free Cash Flow, you should be aware that in the future we may incur expenses that are the same as or similar to some of the adjustments in this presentation. Our presentation of Adjusted EBITDA, Adjusted EBIT, Adjusted Net Income, Pro Forma Adjusted Net Income, Pro Forma Adjusted Earnings per Share and Adjusted Free Cash Flow should not be construed to imply that our future results will be unaffected by any such adjustments.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8" w:name="page39"/>
    <w:bookmarkEnd w:id="38"/>
    <w:p>
      <w:pPr>
        <w:jc w:val="both"/>
        <w:ind w:firstLine="324"/>
        <w:spacing w:after="0" w:line="263" w:lineRule="auto"/>
        <w:rPr>
          <w:sz w:val="20"/>
          <w:szCs w:val="20"/>
          <w:color w:val="auto"/>
        </w:rPr>
      </w:pPr>
      <w:r>
        <w:rPr>
          <w:rFonts w:ascii="Arial" w:cs="Arial" w:eastAsia="Arial" w:hAnsi="Arial"/>
          <w:sz w:val="18"/>
          <w:szCs w:val="18"/>
          <w:color w:val="auto"/>
        </w:rPr>
        <w:t>Our Adjusted EBITDA, Adjusted EBIT, Adjusted Net Income, Pro Forma Adjusted Net Income, Pro Forma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30" w:lineRule="exact"/>
        <w:rPr>
          <w:sz w:val="20"/>
          <w:szCs w:val="20"/>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Pro Forma Adjusted Net Income and Pro Forma Adjusted Earnings per Share do not reflect costs or cash outlays for capital expenditures or contractual commitments;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Pro Forma Adjusted Net Income and Pro Forma Adjusted Earnings per Share do not reflect changes in, or cash requirements for, our working capital needs;</w:t>
      </w:r>
    </w:p>
    <w:p>
      <w:pPr>
        <w:spacing w:after="0" w:line="8" w:lineRule="exact"/>
        <w:rPr>
          <w:rFonts w:ascii="Arial" w:cs="Arial" w:eastAsia="Arial" w:hAnsi="Arial"/>
          <w:sz w:val="18"/>
          <w:szCs w:val="18"/>
          <w:color w:val="auto"/>
        </w:rPr>
      </w:pPr>
    </w:p>
    <w:p>
      <w:pPr>
        <w:ind w:left="660" w:hanging="328"/>
        <w:spacing w:after="0" w:line="316"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1"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and Adjusted EBIT do not reflect period to period changes in taxes, income tax expense or the cash necessary to pay income taxes;</w:t>
      </w:r>
    </w:p>
    <w:p>
      <w:pPr>
        <w:spacing w:after="0" w:line="8"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Adjusted EBITDA, Adjusted EBIT, Adjusted Net Income, Pro Forma Adjusted Net Income and Pro Forma Adjusted Earnings per Share do not reflect the impact of earnings or charges resulting from matters we consider not to be indicative of our ongoing operations;</w:t>
      </w:r>
    </w:p>
    <w:p>
      <w:pPr>
        <w:ind w:left="660" w:hanging="328"/>
        <w:spacing w:after="0" w:line="298"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of these limitations, Adjusted EBITDA, Adjusted EBIT, Adjusted Net Income, Pro Forma Adjusted Net Income, Pro Forma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Pro Forma Adjusted Net Income, Pro Forma Adjusted Earnings per Share and Adjusted Free Cash Flow supplementally.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reconciliations of net income to Adjusted EBITDA and to Adjusted EBIT for the periods presented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5"/>
          </w:tcPr>
          <w:p>
            <w:pPr>
              <w:ind w:left="560"/>
              <w:spacing w:after="0"/>
              <w:rPr>
                <w:sz w:val="20"/>
                <w:szCs w:val="20"/>
                <w:color w:val="auto"/>
              </w:rPr>
            </w:pPr>
            <w:r>
              <w:rPr>
                <w:rFonts w:ascii="Arial" w:cs="Arial" w:eastAsia="Arial" w:hAnsi="Arial"/>
                <w:sz w:val="18"/>
                <w:szCs w:val="18"/>
                <w:b w:val="1"/>
                <w:bCs w:val="1"/>
                <w:color w:val="auto"/>
              </w:rPr>
              <w:t>Thirteen Weeks Ended</w:t>
            </w:r>
          </w:p>
        </w:tc>
        <w:tc>
          <w:tcPr>
            <w:tcW w:w="200" w:type="dxa"/>
            <w:vAlign w:val="bottom"/>
          </w:tcPr>
          <w:p>
            <w:pPr>
              <w:spacing w:after="0"/>
              <w:rPr>
                <w:sz w:val="20"/>
                <w:szCs w:val="20"/>
                <w:color w:val="auto"/>
              </w:rPr>
            </w:pPr>
          </w:p>
        </w:tc>
        <w:tc>
          <w:tcPr>
            <w:tcW w:w="30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Twenty-Six Weeks Ended</w:t>
            </w:r>
          </w:p>
        </w:tc>
      </w:tr>
      <w:tr>
        <w:trPr>
          <w:trHeight w:val="223"/>
        </w:trPr>
        <w:tc>
          <w:tcPr>
            <w:tcW w:w="4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July 31, 2021</w:t>
            </w: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August 1, 2020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July 31, 2021</w:t>
            </w: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August 1, 2020</w:t>
            </w: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190,510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368,306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157,656</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12,157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23,566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26,706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48,088</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97,513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26,010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26,704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51,308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54,151</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Consulting fees (a)</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Private equity sponsor monitoring fee (b)</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1,840</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 (c)</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33,205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(Gain) loss on early extinguishment of debt,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2,239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2,239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(7,831)</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executive transition costs (d)</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Costs related to the COVID-19 pandemic (e)</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17,632</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taxes associated with the 2021 Vesting Event (f)</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(g)</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w:t>
            </w:r>
          </w:p>
        </w:tc>
      </w:tr>
      <w:tr>
        <w:trPr>
          <w:trHeight w:val="223"/>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324,416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595,409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282,902</w:t>
            </w:r>
          </w:p>
        </w:tc>
      </w:tr>
      <w:tr>
        <w:trPr>
          <w:trHeight w:val="22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Depreciation and amortization</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(51,308)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(54,151)</w:t>
            </w:r>
          </w:p>
        </w:tc>
      </w:tr>
      <w:tr>
        <w:trPr>
          <w:trHeight w:val="221"/>
        </w:trPr>
        <w:tc>
          <w:tcPr>
            <w:tcW w:w="4600" w:type="dxa"/>
            <w:vAlign w:val="bottom"/>
            <w:tcBorders>
              <w:bottom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Adjusted EBIT</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298,406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202,941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544,101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228,751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540" w:hanging="51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outside consulting fees associated with our strategic cost savings and business optimization initiatives.</w:t>
      </w:r>
    </w:p>
    <w:p>
      <w:pPr>
        <w:spacing w:after="0" w:line="23" w:lineRule="exact"/>
        <w:rPr>
          <w:rFonts w:ascii="Arial" w:cs="Arial" w:eastAsia="Arial" w:hAnsi="Arial"/>
          <w:sz w:val="18"/>
          <w:szCs w:val="18"/>
          <w:color w:val="auto"/>
        </w:rPr>
      </w:pPr>
    </w:p>
    <w:p>
      <w:pPr>
        <w:ind w:left="540" w:hanging="514"/>
        <w:spacing w:after="0"/>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our contractual payments under the Monitoring Agreement. See Note 12 to the financial statements included in this Quarterly Report.</w:t>
      </w:r>
    </w:p>
    <w:p>
      <w:pPr>
        <w:spacing w:after="0" w:line="45" w:lineRule="exact"/>
        <w:rPr>
          <w:rFonts w:ascii="Arial" w:cs="Arial" w:eastAsia="Arial" w:hAnsi="Arial"/>
          <w:sz w:val="16"/>
          <w:szCs w:val="16"/>
          <w:color w:val="auto"/>
        </w:rPr>
      </w:pPr>
    </w:p>
    <w:p>
      <w:pPr>
        <w:jc w:val="both"/>
        <w:ind w:left="540" w:right="20" w:hanging="514"/>
        <w:spacing w:after="0" w:line="224"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non-cash charges related to equity based compensation, which vary from period to period depending on certain factors such as the 2021 Vesting Event (see Note 1 to the financial statements included in this Quarterly Report), timing and valuation of awards, achievement of performance targets and equity award forfeitures.</w:t>
      </w:r>
    </w:p>
    <w:p>
      <w:pPr>
        <w:ind w:left="540" w:hanging="51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severance costs associated with executive leadership changes and enterprise-wide organizational changes.</w:t>
      </w:r>
    </w:p>
    <w:p>
      <w:pPr>
        <w:spacing w:after="0" w:line="22" w:lineRule="exact"/>
        <w:rPr>
          <w:rFonts w:ascii="Arial" w:cs="Arial" w:eastAsia="Arial" w:hAnsi="Arial"/>
          <w:sz w:val="18"/>
          <w:szCs w:val="18"/>
          <w:color w:val="auto"/>
        </w:rPr>
      </w:pPr>
    </w:p>
    <w:p>
      <w:pPr>
        <w:jc w:val="both"/>
        <w:ind w:left="540" w:right="20" w:hanging="514"/>
        <w:spacing w:after="0" w:line="246"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costs incurred during the thirteen and twenty-six weeks ended August 1,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ind w:left="20"/>
        <w:spacing w:after="0" w:line="207" w:lineRule="auto"/>
        <w:rPr>
          <w:sz w:val="20"/>
          <w:szCs w:val="20"/>
          <w:color w:val="auto"/>
        </w:rPr>
      </w:pPr>
      <w:r>
        <w:rPr>
          <w:rFonts w:ascii="Arial" w:cs="Arial" w:eastAsia="Arial" w:hAnsi="Arial"/>
          <w:sz w:val="18"/>
          <w:szCs w:val="18"/>
          <w:color w:val="auto"/>
        </w:rPr>
        <w:t>(f)</w:t>
      </w:r>
    </w:p>
    <w:p>
      <w:pPr>
        <w:ind w:left="540"/>
        <w:spacing w:after="0"/>
        <w:rPr>
          <w:sz w:val="20"/>
          <w:szCs w:val="20"/>
          <w:color w:val="auto"/>
        </w:rPr>
      </w:pPr>
      <w:r>
        <w:rPr>
          <w:rFonts w:ascii="Arial" w:cs="Arial" w:eastAsia="Arial" w:hAnsi="Arial"/>
          <w:sz w:val="18"/>
          <w:szCs w:val="18"/>
          <w:color w:val="auto"/>
        </w:rPr>
        <w:t>Represents cash expenses related to taxes on equity-based compensation resulting from the 2021 Vesting Event.</w:t>
      </w:r>
    </w:p>
    <w:p>
      <w:pPr>
        <w:spacing w:after="0" w:line="7" w:lineRule="exact"/>
        <w:rPr>
          <w:sz w:val="20"/>
          <w:szCs w:val="20"/>
          <w:color w:val="auto"/>
        </w:rPr>
      </w:pPr>
    </w:p>
    <w:p>
      <w:pPr>
        <w:jc w:val="both"/>
        <w:ind w:left="540" w:right="20" w:hanging="514"/>
        <w:spacing w:after="0" w:line="219"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adjustments include (representing deductions or additions to Adjusted EBITDA and Adjusted EBIT)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Adjusted Net Income, Pro Forma Adjusted Net Income and Pro Forma Adjusted Earnings per Share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net income to Adjusted Net Income, Pro Forma Adjusted Net Income and Pro Forma Adjusted Earnings per Share for the periods presented (amounts in thousands,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5"/>
          </w:tcPr>
          <w:p>
            <w:pPr>
              <w:ind w:left="640"/>
              <w:spacing w:after="0"/>
              <w:rPr>
                <w:sz w:val="20"/>
                <w:szCs w:val="20"/>
                <w:color w:val="auto"/>
              </w:rPr>
            </w:pPr>
            <w:r>
              <w:rPr>
                <w:rFonts w:ascii="Arial" w:cs="Arial" w:eastAsia="Arial" w:hAnsi="Arial"/>
                <w:sz w:val="16"/>
                <w:szCs w:val="16"/>
                <w:b w:val="1"/>
                <w:bCs w:val="1"/>
                <w:color w:val="auto"/>
              </w:rPr>
              <w:t>Thirteen Weeks Ended</w:t>
            </w:r>
          </w:p>
        </w:tc>
        <w:tc>
          <w:tcPr>
            <w:tcW w:w="220" w:type="dxa"/>
            <w:vAlign w:val="bottom"/>
          </w:tcPr>
          <w:p>
            <w:pPr>
              <w:spacing w:after="0"/>
              <w:rPr>
                <w:sz w:val="18"/>
                <w:szCs w:val="18"/>
                <w:color w:val="auto"/>
              </w:rPr>
            </w:pPr>
          </w:p>
        </w:tc>
        <w:tc>
          <w:tcPr>
            <w:tcW w:w="30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Twenty-Six Weeks Ended</w:t>
            </w:r>
          </w:p>
        </w:tc>
      </w:tr>
      <w:tr>
        <w:trPr>
          <w:trHeight w:val="210"/>
        </w:trPr>
        <w:tc>
          <w:tcPr>
            <w:tcW w:w="45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July 31, 2021</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7"/>
              </w:rPr>
              <w:t>August 1, 2020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July 31, 2021</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7"/>
              </w:rPr>
              <w:t>August 1, 2020</w:t>
            </w:r>
          </w:p>
        </w:tc>
      </w:tr>
      <w:tr>
        <w:trPr>
          <w:trHeight w:val="212"/>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190,510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167,676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368,306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157,656</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Consulting fees (a)</w:t>
            </w:r>
          </w:p>
        </w:tc>
        <w:tc>
          <w:tcPr>
            <w:tcW w:w="2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equity sponsor monitoring fee (b)</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Equity compensation (c)</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27,331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33,205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3,690</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on early extinguishment of debt, net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Severance and executive transition costs (d)</w:t>
            </w:r>
          </w:p>
        </w:tc>
        <w:tc>
          <w:tcPr>
            <w:tcW w:w="2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4,137</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related to the COVID-19 pandemic (e)</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17,632</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Payroll taxes associated with the 2021 Vesting Event (f)</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15,418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15,418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w:t>
            </w: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Tax effects of these adjustments (h)</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(12,801)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12"/>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Adjusted Net Income</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224,550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407,081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179,106</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Estimated tax effect of change to C-Corporation status (i)</w:t>
            </w:r>
          </w:p>
        </w:tc>
        <w:tc>
          <w:tcPr>
            <w:tcW w:w="2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(43,947)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(44,262)</w:t>
            </w:r>
          </w:p>
        </w:tc>
      </w:tr>
      <w:tr>
        <w:trPr>
          <w:trHeight w:val="237"/>
        </w:trPr>
        <w:tc>
          <w:tcPr>
            <w:tcW w:w="45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Pro Forma Adjusted Net Income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224,550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407,081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134,844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4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 Forma Adjusted Earnings per Share</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4580" w:type="dxa"/>
            <w:vAlign w:val="bottom"/>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2.42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4.41</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9"/>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458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 xml:space="preserve">Basic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92,627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92,357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72,476</w:t>
            </w:r>
          </w:p>
        </w:tc>
      </w:tr>
      <w:tr>
        <w:trPr>
          <w:trHeight w:val="230"/>
        </w:trPr>
        <w:tc>
          <w:tcPr>
            <w:tcW w:w="4580" w:type="dxa"/>
            <w:vAlign w:val="bottom"/>
          </w:tcPr>
          <w:p>
            <w:pPr>
              <w:ind w:left="240"/>
              <w:spacing w:after="0" w:line="230" w:lineRule="exact"/>
              <w:rPr>
                <w:sz w:val="20"/>
                <w:szCs w:val="20"/>
                <w:color w:val="auto"/>
              </w:rPr>
            </w:pPr>
            <w:r>
              <w:rPr>
                <w:rFonts w:ascii="Arial" w:cs="Arial" w:eastAsia="Arial" w:hAnsi="Arial"/>
                <w:sz w:val="16"/>
                <w:szCs w:val="16"/>
                <w:color w:val="auto"/>
              </w:rPr>
              <w:t xml:space="preserve">Diluted </w:t>
            </w:r>
            <w:r>
              <w:rPr>
                <w:rFonts w:ascii="Arial" w:cs="Arial" w:eastAsia="Arial" w:hAnsi="Arial"/>
                <w:sz w:val="21"/>
                <w:szCs w:val="21"/>
                <w:color w:val="auto"/>
                <w:vertAlign w:val="superscript"/>
              </w:rPr>
              <w:t>(1)</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95,891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74,439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96,391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74,487</w:t>
            </w:r>
          </w:p>
        </w:tc>
      </w:tr>
    </w:tbl>
    <w:p>
      <w:pPr>
        <w:ind w:left="180" w:hanging="154"/>
        <w:spacing w:after="0" w:line="227" w:lineRule="auto"/>
        <w:tabs>
          <w:tab w:leader="none" w:pos="18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See Retrospective Presentation of Ownership Exchange in Note 2 to the financial statements.</w:t>
      </w:r>
    </w:p>
    <w:p>
      <w:pPr>
        <w:spacing w:after="0" w:line="104" w:lineRule="exact"/>
        <w:rPr>
          <w:sz w:val="20"/>
          <w:szCs w:val="20"/>
          <w:color w:val="auto"/>
        </w:rPr>
      </w:pPr>
    </w:p>
    <w:p>
      <w:pPr>
        <w:ind w:left="520" w:hanging="494"/>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outside consulting fees associated with our strategic cost savings and business optimization initiatives.</w:t>
      </w:r>
    </w:p>
    <w:p>
      <w:pPr>
        <w:spacing w:after="0" w:line="32" w:lineRule="exact"/>
        <w:rPr>
          <w:rFonts w:ascii="Arial" w:cs="Arial" w:eastAsia="Arial" w:hAnsi="Arial"/>
          <w:sz w:val="16"/>
          <w:szCs w:val="16"/>
          <w:color w:val="auto"/>
        </w:rPr>
      </w:pPr>
    </w:p>
    <w:p>
      <w:pPr>
        <w:ind w:left="520" w:hanging="494"/>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our contractual payments under the Monitoring Agreement. See Note 12 to the financial statements included in this Quarterly Report.</w:t>
      </w:r>
    </w:p>
    <w:p>
      <w:pPr>
        <w:spacing w:after="0" w:line="32" w:lineRule="exact"/>
        <w:rPr>
          <w:rFonts w:ascii="Arial" w:cs="Arial" w:eastAsia="Arial" w:hAnsi="Arial"/>
          <w:sz w:val="16"/>
          <w:szCs w:val="16"/>
          <w:color w:val="auto"/>
        </w:rPr>
      </w:pPr>
    </w:p>
    <w:p>
      <w:pPr>
        <w:ind w:left="520" w:right="20" w:hanging="494"/>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non-cash charges related to equity based compensation, which vary from period to period depending on certain factors such as the 2021 Vesting Event, timing and valuation of awards, achievement of performance targets and equity award forfeitures.</w:t>
      </w:r>
    </w:p>
    <w:p>
      <w:pPr>
        <w:spacing w:after="0" w:line="10" w:lineRule="exact"/>
        <w:rPr>
          <w:rFonts w:ascii="Arial" w:cs="Arial" w:eastAsia="Arial" w:hAnsi="Arial"/>
          <w:sz w:val="16"/>
          <w:szCs w:val="16"/>
          <w:color w:val="auto"/>
        </w:rPr>
      </w:pPr>
    </w:p>
    <w:p>
      <w:pPr>
        <w:ind w:left="520" w:hanging="494"/>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severance costs associated with executive leadership changes and enterprise-wide organizational changes.</w:t>
      </w:r>
    </w:p>
    <w:p>
      <w:pPr>
        <w:spacing w:after="0" w:line="32" w:lineRule="exact"/>
        <w:rPr>
          <w:rFonts w:ascii="Arial" w:cs="Arial" w:eastAsia="Arial" w:hAnsi="Arial"/>
          <w:sz w:val="16"/>
          <w:szCs w:val="16"/>
          <w:color w:val="auto"/>
        </w:rPr>
      </w:pPr>
    </w:p>
    <w:p>
      <w:pPr>
        <w:jc w:val="both"/>
        <w:ind w:left="520" w:right="20" w:hanging="494"/>
        <w:spacing w:after="0" w:line="225"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costs incurred during the thirteen and twenty-six weeks ended August 1,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(f)</w:t>
      </w:r>
    </w:p>
    <w:p>
      <w:pPr>
        <w:ind w:left="520"/>
        <w:spacing w:after="0"/>
        <w:rPr>
          <w:sz w:val="20"/>
          <w:szCs w:val="20"/>
          <w:color w:val="auto"/>
        </w:rPr>
      </w:pPr>
      <w:r>
        <w:rPr>
          <w:rFonts w:ascii="Arial" w:cs="Arial" w:eastAsia="Arial" w:hAnsi="Arial"/>
          <w:sz w:val="16"/>
          <w:szCs w:val="16"/>
          <w:color w:val="auto"/>
        </w:rPr>
        <w:t>Represents cash expenses related to taxes on equity-based compensation resulting from the 2021 Vesting Event.</w:t>
      </w:r>
    </w:p>
    <w:p>
      <w:pPr>
        <w:spacing w:after="0" w:line="18" w:lineRule="exact"/>
        <w:rPr>
          <w:sz w:val="20"/>
          <w:szCs w:val="20"/>
          <w:color w:val="auto"/>
        </w:rPr>
      </w:pPr>
    </w:p>
    <w:p>
      <w:pPr>
        <w:jc w:val="both"/>
        <w:ind w:left="520" w:right="20" w:hanging="494"/>
        <w:spacing w:after="0" w:line="268"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Other adjustments include (representing deductions or additions to Adjusted Net Income)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jc w:val="both"/>
        <w:ind w:left="520" w:right="20" w:hanging="494"/>
        <w:spacing w:after="0" w:line="230" w:lineRule="auto"/>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the thirteen and twenty-six weeks ended July 31, 2021, this represents the tax effect of the total adjustments made to arrive at Adjusted Net Income at the estimated effective tax rate for the fiscal year ended January 31, 2022. For thirteen and twenty-six weeks ended August 1, 2020, this represents the tax effect of the total adjustments made to arrive at Adjusted Net Income at our historical tax rate.</w:t>
      </w:r>
    </w:p>
    <w:p>
      <w:pPr>
        <w:spacing w:after="0" w:line="11" w:lineRule="exact"/>
        <w:rPr>
          <w:rFonts w:ascii="Arial" w:cs="Arial" w:eastAsia="Arial" w:hAnsi="Arial"/>
          <w:sz w:val="16"/>
          <w:szCs w:val="16"/>
          <w:color w:val="auto"/>
        </w:rPr>
      </w:pPr>
    </w:p>
    <w:p>
      <w:pPr>
        <w:ind w:left="520" w:right="20" w:hanging="494"/>
        <w:spacing w:after="0"/>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the retrospective tax effect of Adjusted Net Income at our estimated effective tax rate of approximately 25% for periods prior to October 1, 2020, the effective date of our conversion to a C-Corporation, upon which we became subject to federal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provides a reconciliation of net cash provided by operating activities to Adjusted Free Cash Flow for the periods presented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gridSpan w:val="5"/>
          </w:tcPr>
          <w:p>
            <w:pPr>
              <w:ind w:left="660"/>
              <w:spacing w:after="0"/>
              <w:rPr>
                <w:sz w:val="20"/>
                <w:szCs w:val="20"/>
                <w:color w:val="auto"/>
              </w:rPr>
            </w:pPr>
            <w:r>
              <w:rPr>
                <w:rFonts w:ascii="Arial" w:cs="Arial" w:eastAsia="Arial" w:hAnsi="Arial"/>
                <w:sz w:val="18"/>
                <w:szCs w:val="18"/>
                <w:b w:val="1"/>
                <w:bCs w:val="1"/>
                <w:color w:val="auto"/>
              </w:rPr>
              <w:t>Thirteen Weeks Ended</w:t>
            </w:r>
          </w:p>
        </w:tc>
        <w:tc>
          <w:tcPr>
            <w:tcW w:w="220" w:type="dxa"/>
            <w:vAlign w:val="bottom"/>
          </w:tcPr>
          <w:p>
            <w:pPr>
              <w:spacing w:after="0"/>
              <w:rPr>
                <w:sz w:val="20"/>
                <w:szCs w:val="20"/>
                <w:color w:val="auto"/>
              </w:rPr>
            </w:pPr>
          </w:p>
        </w:tc>
        <w:tc>
          <w:tcPr>
            <w:tcW w:w="3300" w:type="dxa"/>
            <w:vAlign w:val="bottom"/>
            <w:gridSpan w:val="4"/>
          </w:tcPr>
          <w:p>
            <w:pPr>
              <w:ind w:left="560"/>
              <w:spacing w:after="0"/>
              <w:rPr>
                <w:sz w:val="20"/>
                <w:szCs w:val="20"/>
                <w:color w:val="auto"/>
              </w:rPr>
            </w:pPr>
            <w:r>
              <w:rPr>
                <w:rFonts w:ascii="Arial" w:cs="Arial" w:eastAsia="Arial" w:hAnsi="Arial"/>
                <w:sz w:val="18"/>
                <w:szCs w:val="18"/>
                <w:b w:val="1"/>
                <w:bCs w:val="1"/>
                <w:color w:val="auto"/>
              </w:rPr>
              <w:t>Twenty-Six Weeks Ended</w:t>
            </w:r>
          </w:p>
        </w:tc>
      </w:tr>
      <w:tr>
        <w:trPr>
          <w:trHeight w:val="223"/>
        </w:trPr>
        <w:tc>
          <w:tcPr>
            <w:tcW w:w="4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July 31, 2021</w:t>
            </w:r>
          </w:p>
        </w:tc>
        <w:tc>
          <w:tcPr>
            <w:tcW w:w="2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August 1, 2020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July 31, 2021</w:t>
            </w:r>
          </w:p>
        </w:tc>
        <w:tc>
          <w:tcPr>
            <w:tcW w:w="2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August 1, 2020</w:t>
            </w: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b w:val="1"/>
                <w:bCs w:val="1"/>
                <w:color w:val="auto"/>
                <w:w w:val="98"/>
              </w:rPr>
              <w:t>186,446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682,865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b w:val="1"/>
                <w:bCs w:val="1"/>
                <w:color w:val="auto"/>
                <w:w w:val="98"/>
              </w:rPr>
              <w:t>405,674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8"/>
              </w:rPr>
              <w:t>773,621</w:t>
            </w:r>
          </w:p>
        </w:tc>
      </w:tr>
      <w:tr>
        <w:trPr>
          <w:trHeight w:val="230"/>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w w:val="92"/>
              </w:rPr>
              <w:t>(16,959)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w w:val="95"/>
              </w:rPr>
              <w:t>(33,767)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92"/>
              </w:rPr>
              <w:t>(13,850)</w:t>
            </w:r>
          </w:p>
        </w:tc>
      </w:tr>
      <w:tr>
        <w:trPr>
          <w:trHeight w:val="248"/>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Free Cash Flow</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b w:val="1"/>
                <w:bCs w:val="1"/>
                <w:color w:val="auto"/>
                <w:w w:val="98"/>
              </w:rPr>
              <w:t>169,487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b w:val="1"/>
                <w:bCs w:val="1"/>
                <w:color w:val="auto"/>
                <w:w w:val="98"/>
              </w:rPr>
              <w:t>371,907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8"/>
              </w:rPr>
              <w:t>759,771</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Historically, our principal sources of cash have included:</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generated from operating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issuances of the Notes / debt securities;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borrowings under our Term Loan and ABL Facility.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historical uses of cash have been associated primarily with:</w:t>
      </w:r>
    </w:p>
    <w:p>
      <w:pPr>
        <w:spacing w:after="0" w:line="171" w:lineRule="exact"/>
        <w:rPr>
          <w:sz w:val="20"/>
          <w:szCs w:val="20"/>
          <w:color w:val="auto"/>
        </w:rPr>
      </w:pPr>
    </w:p>
    <w:p>
      <w:pPr>
        <w:ind w:left="660" w:right="10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used for operating activities such as the purchase and growth of inventory, expansion of our sales and marketing activities and other working capital needs;</w:t>
      </w:r>
    </w:p>
    <w:p>
      <w:pPr>
        <w:spacing w:after="0" w:line="8"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used for capital improvements and support of expansion plans, as well as various investments in store renovations, store fixtures and on-going infrastructure improvements;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used to pay our debt obligations and related interest expense;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used to pay partnership distributions to our members;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used to pay for the repurchase of common stock;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working capital due to timing differences of cash receipts and cash disbursements.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31, 2021, our cash and cash equivalents totaled $553.8 million.</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2020, we focused on navigating the challenges presented by COVID-19 through the preservation of our long-term liquidity and management of cash flow through preemptive actions to enhance our ability to meet our short-term liquidity needs. We took various cost cutting measures to maximize operational cash flows (see "Impact of COVID-19 on Our Business" in the MD&amp;A). Such actions included, but are not limited to, reduction of discretionary spending, deferring or cancelling our planned expenses, revisiting and reprioritizing our strategic investments, and reducing our payroll costs, including temporary team member furloughs, workforce reductions and pay cuts.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28, 2020, we paid a $257.0 million one-time special distribution to our members of record as of August 25, 2020, $248.0 million of which was paid with cash on hand and the remainder of which was distributed through an offset of outstanding loans receivable from a member as well as state income tax withholdings made on behalf of NAHC's members. Related cash payments of $32.2 million to vested share-based award holders were paid in-full as of July 31, 2021 and no further payments are required relative to this distribution.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2" w:name="page43"/>
    <w:bookmarkEnd w:id="42"/>
    <w:p>
      <w:pPr>
        <w:ind w:left="340"/>
        <w:spacing w:after="0"/>
        <w:rPr>
          <w:sz w:val="20"/>
          <w:szCs w:val="20"/>
          <w:color w:val="auto"/>
        </w:rPr>
      </w:pPr>
      <w:r>
        <w:rPr>
          <w:rFonts w:ascii="Arial" w:cs="Arial" w:eastAsia="Arial" w:hAnsi="Arial"/>
          <w:sz w:val="16"/>
          <w:szCs w:val="16"/>
          <w:color w:val="auto"/>
        </w:rPr>
        <w:t>On October 6, 2020, we completed our IPO in which we issued and sold 15,625,000 shares of common stock, $0.01 par value, to the IPO underwriters</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cash consideration of $12.22 per share (representing an initial public offering price of $13.00 per share, net of underwriting discounts) that resulted in net proceeds of approximately $184.9 million after deducting underwriting discounts, which included approximately $2.7 million paid to KKR Capital Markets LLC ("KCM"), an affiliate of KKR, for underwriting services in connection with the IPO, and $6.1 million in costs directly associated with the IPO, such as legal and accounting fees (see "Initial Public Offering and Reorganization Transactions" and "IPO Over-Allotment Exercise" in Note 1 to the financial statements included in this Quarterly Report). The shares sold in the offering were registered under the Securities Act of 1933, as amended, pursuant to our registration statement on Form S-1 (File No. 333-248683, which was declared effective by the Securities and Exchange Commission on October 1, 2020).</w:t>
      </w:r>
    </w:p>
    <w:p>
      <w:pPr>
        <w:spacing w:after="0" w:line="14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November 3, 2020, the Company issued and sold an additional 1,807,495 shares of the Company’s common stock, par value $0.01 per share, for cash consideration of $12.22 per share (representing an initial public offering price of $13.00 per share, net of underwriting discounts) to the IPO underwriters, resulting in approximately $22.1 million in proceeds net of underwriting discounts (see "Initial Public Offering and Reorganization Transactions" and "IPO Over-Allotment Exercise" in Note 1 to the financial statements included in this Quarterly Report), which included $0.3 million paid to KCM, for underwriting services, pursuant to the partial exercise by the underwriters of their option to purchase up to 2,343,750 additional shares to cover over-allotments in connection with our IPO. The option has expired with respect to the remaining shares.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November 6, 2020, the Company (1) issued $400.0 million of 6.00% senior secured notes (the "Notes"), which are due November 15, 2027, (2) entered into a $400.0 million first lien term loan facility (the "2020 Term Loan" and, together with the 2015 Term Loan (as defined in the notes to the financial statements included in this Annual Report), the "Term Loan"), which is due November 6, 2027 and (3) extended the maturity of Academy, Ltd.’s asset-based revolving credit facility thereunder to November 6, 2025 (as extended, the "2020 ABL Facility" and, together with the 2015 ABL Facility (as defined in the notes to the financial statements included in this Annual Report), the "ABL Facility"). We used the net proceeds from the Notes and the net proceeds from the 2020 Term Loan, together with cash on hand, to repay in full the 2015 Term Loan, in the amount of $1,431.4 million (see Note 4 to the financial statements included in the Annual Report).</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May 10, 2021, the Company completed a repurchase and simultaneous retirement of 3,229,974 shares from the underwriters for cash consideration of $30.96 per share, resulting in a payment of approximately $100.0 million to the underwriters (see "May 2021 Secondary Offering and Stock Repurchase" in Note 1 to the financial statements included in this Quarterly Report). The May 2021 Secondary Offering reduced KKR's ownership interest in the Company and resulted in the 2021 Vesting Event for awards granted under the 2011 Unit Incentive Plan, whereby unvested time awards, and performance-based awards which had previously met their performance targets, vested, and unvested performance-based awards which had not previously met their performance targets were forfeited. As a result, we incurred approximately $24.9 million in non-cash expenses related to equity-based compensation and approximately $15.4 million of cash expenses related to taxes on equity-based compensation.</w:t>
      </w:r>
    </w:p>
    <w:p>
      <w:pPr>
        <w:spacing w:after="0" w:line="12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May 25, 2021, the Company entered into an Amendment No. 4 (the "Amendment") to the Second Amended and Restated Credit Agreement (as previously amended, the "Existing Credit Agreement") which (i) reduced the applicable margin on LIBOR borrowings under the Term Loan from 5.00% to 3.75% and (ii) utilized cash on hand to repay $99.0 million of outstanding borrowings under the Term Loan, leaving an outstanding principal balance of $300.0 million under the Amended Credit Agreement. Borrowings under the Amended Credit Agreement will continue to mature on November 6, 2027, and all other material terms and provisions of the Existing Credit Agreement remain substantially the same as the terms and provisions in place immediately prior to the effectiveness of the Amendment (see Note 4 to the financial statements included in this Quarterly Report).</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expect to use existing cash balances, internally generated cash flows, and available borrowings under the ABL Facility to fund anticipated capital expenditures, working capital needs and scheduled debt service costs and maturities over at least the next twelve months. The ABL Facility provides for these financing needs and other general corporate purposes, as well as to support certain letter of credit requirements. We may continue to use the ABL Facility to repay debt under the Term Loan. Availability under the ABL Facility is subject to customary asset-backed loan borrowing base and availability provisions. Amounts outstanding under the ABL Facility may fluctuate materially during each quarter mainly due to cash flow from operations, normal changes in working capital, capital expenditures and debt service costs. Our availability under the ABL Facility was ample to support our operations and service our requirements. To date in 2021, we have had no borrowings under the ABL Facility.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3" w:name="page44"/>
    <w:bookmarkEnd w:id="43"/>
    <w:p>
      <w:pPr>
        <w:ind w:left="340"/>
        <w:spacing w:after="0"/>
        <w:rPr>
          <w:sz w:val="20"/>
          <w:szCs w:val="20"/>
          <w:color w:val="auto"/>
        </w:rPr>
      </w:pPr>
      <w:r>
        <w:rPr>
          <w:rFonts w:ascii="Arial" w:cs="Arial" w:eastAsia="Arial" w:hAnsi="Arial"/>
          <w:sz w:val="18"/>
          <w:szCs w:val="18"/>
          <w:color w:val="auto"/>
        </w:rPr>
        <w:t>Liquidity information related to the ABL facility is as follows for the periods shown (dollar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Twenty-Six Weeks Ended</w:t>
            </w:r>
          </w:p>
        </w:tc>
      </w:tr>
      <w:tr>
        <w:trPr>
          <w:trHeight w:val="223"/>
        </w:trPr>
        <w:tc>
          <w:tcPr>
            <w:tcW w:w="7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31, 2021</w:t>
            </w:r>
          </w:p>
        </w:tc>
        <w:tc>
          <w:tcPr>
            <w:tcW w:w="220" w:type="dxa"/>
            <w:vAlign w:val="bottom"/>
          </w:tcPr>
          <w:p>
            <w:pPr>
              <w:spacing w:after="0"/>
              <w:rPr>
                <w:sz w:val="19"/>
                <w:szCs w:val="19"/>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August 1, 2020</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funds drawn</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253,297</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Number of days with outstanding balance</w:t>
            </w:r>
          </w:p>
        </w:tc>
        <w:tc>
          <w:tcPr>
            <w:tcW w:w="2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daily amount outstanding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4"/>
        </w:trPr>
        <w:tc>
          <w:tcPr>
            <w:tcW w:w="7560" w:type="dxa"/>
            <w:vAlign w:val="bottom"/>
          </w:tcPr>
          <w:p>
            <w:pPr>
              <w:ind w:left="20"/>
              <w:spacing w:after="0"/>
              <w:rPr>
                <w:sz w:val="20"/>
                <w:szCs w:val="20"/>
                <w:color w:val="auto"/>
              </w:rPr>
            </w:pPr>
            <w:r>
              <w:rPr>
                <w:rFonts w:ascii="Arial" w:cs="Arial" w:eastAsia="Arial" w:hAnsi="Arial"/>
                <w:sz w:val="18"/>
                <w:szCs w:val="18"/>
                <w:color w:val="auto"/>
              </w:rPr>
              <w:t>Minimum available borrowing capacity</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780,945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161,089</w:t>
            </w:r>
          </w:p>
        </w:tc>
      </w:tr>
    </w:tbl>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Liquidity information related to the ABL facility (amounts in thousands) as of:</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31, 2021</w:t>
            </w:r>
          </w:p>
        </w:tc>
        <w:tc>
          <w:tcPr>
            <w:tcW w:w="20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30, 2021</w:t>
            </w:r>
          </w:p>
        </w:tc>
        <w:tc>
          <w:tcPr>
            <w:tcW w:w="240" w:type="dxa"/>
            <w:vAlign w:val="bottom"/>
          </w:tcPr>
          <w:p>
            <w:pPr>
              <w:spacing w:after="0"/>
              <w:rPr>
                <w:sz w:val="20"/>
                <w:szCs w:val="20"/>
                <w:color w:val="auto"/>
              </w:rPr>
            </w:pPr>
          </w:p>
        </w:tc>
        <w:tc>
          <w:tcPr>
            <w:tcW w:w="164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August 1, 2020</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borrowings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Issued letters of credit</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15,478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20,112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19,927</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borrowing capacity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858,363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694,110</w:t>
            </w:r>
          </w:p>
        </w:tc>
      </w:tr>
    </w:tbl>
    <w:p>
      <w:pPr>
        <w:spacing w:after="0" w:line="3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We expect capital expenditures for fiscal year 2021 to be approximately $90.0 million. Approximately 50% of our planned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outflow relate to investments in our corporate, e-commerce and information technology programs. Investments in existing stores and distribution centers is expected to account for approximately 40% of the planned cash outflow and the remaining 10% is expected to be utilized through investments in new stores and relocations. We review forecasted capital expenditures throughout the year and will adjust or modify projects based on business conditions at that time.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b w:val="1"/>
                <w:bCs w:val="1"/>
                <w:i w:val="1"/>
                <w:iCs w:val="1"/>
                <w:color w:val="auto"/>
                <w:w w:val="99"/>
              </w:rPr>
              <w:t>Cash Flows for the Twenty-Six Weeks Ended July 31, 2021 and August 1, 2020</w:t>
            </w: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59"/>
        </w:trPr>
        <w:tc>
          <w:tcPr>
            <w:tcW w:w="6640" w:type="dxa"/>
            <w:vAlign w:val="bottom"/>
          </w:tcPr>
          <w:p>
            <w:pPr>
              <w:ind w:left="340"/>
              <w:spacing w:after="0"/>
              <w:rPr>
                <w:sz w:val="20"/>
                <w:szCs w:val="20"/>
                <w:color w:val="auto"/>
              </w:rPr>
            </w:pPr>
            <w:r>
              <w:rPr>
                <w:rFonts w:ascii="Arial" w:cs="Arial" w:eastAsia="Arial" w:hAnsi="Arial"/>
                <w:sz w:val="18"/>
                <w:szCs w:val="18"/>
                <w:color w:val="auto"/>
                <w:w w:val="95"/>
              </w:rPr>
              <w:t>Our unaudited statements of cash flows are summarized as follows (in thousands):</w:t>
            </w: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6"/>
        </w:trPr>
        <w:tc>
          <w:tcPr>
            <w:tcW w:w="664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4000" w:type="dxa"/>
            <w:vAlign w:val="bottom"/>
            <w:tcBorders>
              <w:bottom w:val="single" w:sz="8" w:color="auto"/>
            </w:tcBorders>
            <w:gridSpan w:val="4"/>
          </w:tcPr>
          <w:p>
            <w:pPr>
              <w:ind w:left="880"/>
              <w:spacing w:after="0"/>
              <w:rPr>
                <w:sz w:val="20"/>
                <w:szCs w:val="20"/>
                <w:color w:val="auto"/>
              </w:rPr>
            </w:pPr>
            <w:r>
              <w:rPr>
                <w:rFonts w:ascii="Arial" w:cs="Arial" w:eastAsia="Arial" w:hAnsi="Arial"/>
                <w:sz w:val="18"/>
                <w:szCs w:val="18"/>
                <w:b w:val="1"/>
                <w:bCs w:val="1"/>
                <w:color w:val="auto"/>
              </w:rPr>
              <w:t>Twenty-Six Weeks Ended</w:t>
            </w:r>
          </w:p>
        </w:tc>
      </w:tr>
      <w:tr>
        <w:trPr>
          <w:trHeight w:val="223"/>
        </w:trPr>
        <w:tc>
          <w:tcPr>
            <w:tcW w:w="6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July 31, 2021</w:t>
            </w:r>
          </w:p>
        </w:tc>
        <w:tc>
          <w:tcPr>
            <w:tcW w:w="580" w:type="dxa"/>
            <w:vAlign w:val="bottom"/>
          </w:tcPr>
          <w:p>
            <w:pPr>
              <w:spacing w:after="0"/>
              <w:rPr>
                <w:sz w:val="19"/>
                <w:szCs w:val="19"/>
                <w:color w:val="auto"/>
              </w:rPr>
            </w:pPr>
          </w:p>
        </w:tc>
        <w:tc>
          <w:tcPr>
            <w:tcW w:w="1680" w:type="dxa"/>
            <w:vAlign w:val="bottom"/>
          </w:tcPr>
          <w:p>
            <w:pPr>
              <w:ind w:left="140"/>
              <w:spacing w:after="0"/>
              <w:rPr>
                <w:sz w:val="20"/>
                <w:szCs w:val="20"/>
                <w:color w:val="auto"/>
              </w:rPr>
            </w:pPr>
            <w:r>
              <w:rPr>
                <w:rFonts w:ascii="Arial" w:cs="Arial" w:eastAsia="Arial" w:hAnsi="Arial"/>
                <w:sz w:val="18"/>
                <w:szCs w:val="18"/>
                <w:b w:val="1"/>
                <w:bCs w:val="1"/>
                <w:color w:val="auto"/>
              </w:rPr>
              <w:t>August 1, 2020</w:t>
            </w:r>
          </w:p>
        </w:tc>
      </w:tr>
      <w:tr>
        <w:trPr>
          <w:trHeight w:val="223"/>
        </w:trPr>
        <w:tc>
          <w:tcPr>
            <w:tcW w:w="6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405,674</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8"/>
              </w:rPr>
              <w:t>773,621</w:t>
            </w:r>
          </w:p>
        </w:tc>
      </w:tr>
      <w:tr>
        <w:trPr>
          <w:trHeight w:val="229"/>
        </w:trPr>
        <w:tc>
          <w:tcPr>
            <w:tcW w:w="664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(33,767)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80" w:type="dxa"/>
            <w:vAlign w:val="bottom"/>
          </w:tcPr>
          <w:p>
            <w:pPr>
              <w:ind w:left="1040"/>
              <w:spacing w:after="0"/>
              <w:rPr>
                <w:sz w:val="20"/>
                <w:szCs w:val="20"/>
                <w:color w:val="auto"/>
              </w:rPr>
            </w:pPr>
            <w:r>
              <w:rPr>
                <w:rFonts w:ascii="Arial" w:cs="Arial" w:eastAsia="Arial" w:hAnsi="Arial"/>
                <w:sz w:val="18"/>
                <w:szCs w:val="18"/>
                <w:color w:val="auto"/>
                <w:w w:val="92"/>
              </w:rPr>
              <w:t>(13,850)</w:t>
            </w:r>
          </w:p>
        </w:tc>
      </w:tr>
      <w:tr>
        <w:trPr>
          <w:trHeight w:val="230"/>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financing activities</w:t>
            </w:r>
          </w:p>
        </w:tc>
        <w:tc>
          <w:tcPr>
            <w:tcW w:w="6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(195,686)</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92"/>
              </w:rPr>
              <w:t>(25,127)</w:t>
            </w:r>
          </w:p>
        </w:tc>
      </w:tr>
      <w:tr>
        <w:trPr>
          <w:trHeight w:val="223"/>
        </w:trPr>
        <w:tc>
          <w:tcPr>
            <w:tcW w:w="6640" w:type="dxa"/>
            <w:vAlign w:val="bottom"/>
          </w:tcPr>
          <w:p>
            <w:pPr>
              <w:ind w:left="560"/>
              <w:spacing w:after="0"/>
              <w:rPr>
                <w:sz w:val="20"/>
                <w:szCs w:val="20"/>
                <w:color w:val="auto"/>
              </w:rPr>
            </w:pPr>
            <w:r>
              <w:rPr>
                <w:rFonts w:ascii="Arial" w:cs="Arial" w:eastAsia="Arial" w:hAnsi="Arial"/>
                <w:sz w:val="18"/>
                <w:szCs w:val="18"/>
                <w:color w:val="auto"/>
              </w:rPr>
              <w:t>Net increase in cash and cash equivalents</w:t>
            </w: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176,221</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8"/>
              </w:rPr>
              <w:t>734,644</w:t>
            </w:r>
          </w:p>
        </w:tc>
      </w:tr>
      <w:tr>
        <w:trPr>
          <w:trHeight w:val="20"/>
        </w:trPr>
        <w:tc>
          <w:tcPr>
            <w:tcW w:w="6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40" w:firstLine="324"/>
        <w:spacing w:after="0" w:line="342"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Cash flows from operating activities are seasonal in our business. Typically, cash flows from operations are used to build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inventory in advance of peak selling seasons, with the fourth quarter pre-holiday season inventory increase being the most significant.</w:t>
      </w:r>
    </w:p>
    <w:p>
      <w:pPr>
        <w:spacing w:after="0" w:line="15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Cash provided by operating activities in the year-to-date 2021 decreased $367.9 million, compared to the year-to-date 2020. This decrease in cash was attributable to:</w:t>
      </w:r>
    </w:p>
    <w:p>
      <w:pPr>
        <w:spacing w:after="0" w:line="25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$650.3 million net decrease in cash flows provided by operating assets and liabilities;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$210.7 million increase in net income;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$71.7 million net increase in non-cash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4" w:name="page45"/>
    <w:bookmarkEnd w:id="44"/>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cash flows from operating assets and liabilities was primarily attributable to:</w:t>
      </w:r>
    </w:p>
    <w:p>
      <w:pPr>
        <w:spacing w:after="0" w:line="36" w:lineRule="exact"/>
        <w:rPr>
          <w:sz w:val="20"/>
          <w:szCs w:val="20"/>
          <w:color w:val="auto"/>
        </w:rPr>
      </w:pPr>
    </w:p>
    <w:p>
      <w:pPr>
        <w:ind w:left="660" w:right="20" w:hanging="328"/>
        <w:spacing w:after="0" w:line="233"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$325.6 million decrease in cash flows from merchandise inventories, net related to an increase in inventory receipts during the twenty-six weeks ended July 31, 2021 quarter coupled with a prior year reduction of inventory from higher inventory turnover and supply chain constraints resulting from the COVID-19 pandemic; and</w:t>
      </w:r>
    </w:p>
    <w:p>
      <w:pPr>
        <w:spacing w:after="0" w:line="27" w:lineRule="exact"/>
        <w:rPr>
          <w:rFonts w:ascii="Arial" w:cs="Arial" w:eastAsia="Arial" w:hAnsi="Arial"/>
          <w:sz w:val="22"/>
          <w:szCs w:val="22"/>
          <w:color w:val="auto"/>
        </w:rPr>
      </w:pPr>
    </w:p>
    <w:p>
      <w:pPr>
        <w:ind w:left="660" w:right="4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$279.4 million decrease in cash flows from accounts payable related to the prior year extension of vendor payment terms intended to help mitigate the impact of COVID-19 on our business.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from non-cash charges was primarily caused by:</w:t>
      </w:r>
    </w:p>
    <w:p>
      <w:pPr>
        <w:spacing w:after="0" w:line="63" w:lineRule="exact"/>
        <w:rPr>
          <w:sz w:val="20"/>
          <w:szCs w:val="20"/>
          <w:color w:val="auto"/>
        </w:rPr>
      </w:pPr>
    </w:p>
    <w:p>
      <w:pPr>
        <w:ind w:left="660" w:right="2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$46.6 million increase in deferred income taxes as a result of ASO, Inc. becoming subject to U.S. federal income taxes after the Reorganization Transactions in October 2020;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$29.5 million increase in stock compensation expense as a result of the 2021 Vesting Event.</w:t>
      </w:r>
    </w:p>
    <w:p>
      <w:pPr>
        <w:spacing w:after="0" w:line="248"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i w:val="1"/>
          <w:iCs w:val="1"/>
          <w:color w:val="auto"/>
        </w:rPr>
        <w:t>Investing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used in investing activities increased $19.9 million in the current year-to-date compared to the same period last year.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cash used in investing activities is primarily due to:</w:t>
      </w:r>
    </w:p>
    <w:p>
      <w:pPr>
        <w:spacing w:after="0" w:line="112" w:lineRule="exact"/>
        <w:rPr>
          <w:sz w:val="20"/>
          <w:szCs w:val="20"/>
          <w:color w:val="auto"/>
        </w:rPr>
      </w:pPr>
    </w:p>
    <w:p>
      <w:pPr>
        <w:ind w:left="660" w:right="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$19.9 million higher capital expenditures on various digital projects, updates in the stores and distribution centers, and other improvements coupled with the strategic reduction of capital expenditures in the prior year in response to the COVID-19 pandemic.</w:t>
      </w:r>
    </w:p>
    <w:p>
      <w:pPr>
        <w:spacing w:after="0" w:line="193"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i w:val="1"/>
          <w:iCs w:val="1"/>
          <w:color w:val="auto"/>
        </w:rPr>
        <w:t>Financing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used in financing activities increased $170.6 million in the year-to-date 2021, compared to the same period last year.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primary drivers of the increase were:</w:t>
      </w:r>
    </w:p>
    <w:p>
      <w:pPr>
        <w:spacing w:after="0" w:line="11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$100.0 million increase in cash outflows related to Company's repurchase and simultaneous retirement of common stock; and</w:t>
      </w:r>
    </w:p>
    <w:p>
      <w:pPr>
        <w:spacing w:after="0" w:line="63" w:lineRule="exact"/>
        <w:rPr>
          <w:rFonts w:ascii="Arial" w:cs="Arial" w:eastAsia="Arial" w:hAnsi="Arial"/>
          <w:sz w:val="18"/>
          <w:szCs w:val="18"/>
          <w:color w:val="auto"/>
        </w:rPr>
      </w:pPr>
    </w:p>
    <w:p>
      <w:pPr>
        <w:ind w:left="660" w:right="100" w:hanging="328"/>
        <w:spacing w:after="0" w:line="308"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$75.7 million increase in cash outflows related to higher current year-to-date principal repurchases of our Term Loan, primarily attributable to the $99 million current year principal reduction associated with the second quarter Amendment to refinance the Term Loan.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management's discussion and analysis of our financial condition and results of operations is based upon our unaudited financial statements, which have been prepared in accordance with GAAP. 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3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Management evaluated the development and selection of our critical accounting policies and estimates used in the preparation of the Company's unaudited financial statements and related notes and believes these policies to be reasonable and appropriate. Certain of these policies involve a higher degree of judgment or complexity and are most significant to reporting our results of operations and financial position, and are, therefore, discussed as critical.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and additional unforeseen effects from the COVID-19 pandemic, these estimates remain more challenging, and actual results could differ materially from our estimates. More information on all of our significant accounting policies can be found in Note 2, "Summary of Significant Critical Accounting Policies and Estimates" to our audited consolidated financial statements included in the Annual Report and the section of the Annual Report entitled "Management's Discussion and Analysis of Financial Condition and Results of Operations." There have been no material changes to our critical accounting policies as compared to the critical accounting policies described in the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set forth in Note 2 to our unaudited consolidated financial statements under Part I, Item 1 of this Quarterly Report is incorporated herein by reference.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information set forth in Note 12 to our unaudited consolidated financial statements under Part I, Item 1 under the heading of this Quarterly Report entitled "Related Party Transactions" is incorporated herein by reference.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July 31, 2021, our off-balance sheet contractual obligations and commercial commitments relate to future minimum guaranteed contractual payments and letters of credit. There have been no other material changes in our off-balance sheet arrangements as discussed in the section of the Annual Report entitled "Management's Discussion and Analysis of Financial Condition and Results of Operations" or our audited financial statements for the fiscal year ended January 30, 2021 included in the "Off-Balance Sheet Arrangements" section of the Annual Report.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contractual obligations and commercial commitments primarily relate to our debt facilities and senior secured notes, operating leases for stores, distribution centers, and office buildings, technology related commitments, and sponsorship and intellectual property agreements. Other than the item noted below and fluctuations from transactions in the ordinary course of business, there were no material changes during the quarter ended July 31, 2021 to the contractual obligations and commercial commitments disclosed in "Contractual Obligations and Commercial Commitments" in the section of the Annual Report entitled "Management's Discussion and Analysis of Financial Condition and Results of Operations".</w:t>
      </w:r>
    </w:p>
    <w:p>
      <w:pPr>
        <w:spacing w:after="0" w:line="2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May 25, 2021, the Company refinanced its 2020 Term Loan and paid down approximately $99.0 million of the Term Loan (see Note 4 to the financial statements included in this Quarterly Report).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40" w:firstLine="324"/>
        <w:spacing w:after="0" w:line="324" w:lineRule="auto"/>
        <w:rPr>
          <w:sz w:val="20"/>
          <w:szCs w:val="20"/>
          <w:color w:val="auto"/>
        </w:rPr>
      </w:pPr>
      <w:r>
        <w:rPr>
          <w:rFonts w:ascii="Arial" w:cs="Arial" w:eastAsia="Arial" w:hAnsi="Arial"/>
          <w:sz w:val="16"/>
          <w:szCs w:val="16"/>
          <w:color w:val="auto"/>
        </w:rPr>
        <w:t>There have been no material changes in our primary risk exposures or management of market risks from those disclosed in the Annual Report under "Management’s Discussion and Analysis of Financial Condition and Results of Operations – Quantitative and Qualitative Disclosures About Market Risk."</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with the participation of our CEO and our CFO, evaluated the effectiveness of the design and operation of our disclosure controls and procedures as of the end of the period covered by this Quarterly Report. Based on such evaluation, our CEO and CFO have concluded that, as of the end of the period covered by this Quarterly Report, the design and operation of the Company's disclosure controls and procedures were effective to accomplish their objectives at the reasonable assurance level.</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 changes in our internal control over financial reporting (as defined in Rules 13a-15(f) and 15d-15(f) under the Exchange Act)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11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previously disclosed, the Company is a defendant in nine lawsuits filed against us between December 2017 and November 2019 in Texas state judicial courts located in Bexar County, Texas, by 79 plaintiffs on behalf of certain victims and family of victims of a November 2017 shooting in Sutherland Springs, Texas. The plaintiffs seek monetary relief ranging from $1 million to over $150 million and, in some cases, injunctive relief to prohibit us from selling certain firearms in Texas to residents of states where such a sale would violate their home state’s applicable firearm laws. These cases, which present substantially similar issues of law and fact, relate to the April 2016 sale by one of our stores of a firearm and magazine that were alleged to have been used in the Sutherland Springs incident. The Supreme Court of Texas heard oral arguments relating to our motion for summary judgment to dismiss certain of these cases in October 2020 (the “Texas Supreme Court Cases”), with the remainder of these cases stayed pending the Supreme Court of Texas’s decision. On June 25, 2021, the Supreme Court of Texas issued an opinion directing the trial court to grant the Company’s motion for summary judgment and held that the Texas Supreme Court Cases are statutorily barred and the Company is protected from continued participation in the Texas Supreme Court cases. Given the Supreme Court of Texas’s opinion and the substantial similarity of all these cases, we expect that any remaining claims and/or cases not included in the Texas Supreme Court Cases should also be dismissed by the trial court. However, the ultimate outcome of those claims and/or cases cannot be determined at this time.</w:t>
      </w:r>
    </w:p>
    <w:p>
      <w:pPr>
        <w:spacing w:after="0" w:line="1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are not currently party to any other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You should carefully consider the risk factors discussed in the section of the Annual Report entitled "Risk Factors", which could materially affect our business, financial condition or future results. The risks described in the Annual Report are not the only risks facing the Company. Additional risks and uncertainties not currently known to us or that we currently deem to be immaterial also may materially adversely affect our business, financial condition or future results. In addition to the effects of the COVID-19 pandemic and resulting global disruptions on our business and operations discussed in the MD&amp;A in this Quarterly Report and in the Risk Factors section of the Annual Report, additional or unforeseen effects from the COVID-19 pandemic and the global economic climate may give rise to or amplify many of these risks. Except as set forth below, there have been no material changes to the risk factors discussed in the section of the Annual Report entitled "Risk Factors".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KKR has the ability to exert substantial influence over us and their interests may conflict with yours in the future.</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of July 31, 2021, KKR beneficially owns approximately 20% of the voting power of our common stock. As a result, KKR will be able to exert substantial influence on our corporate and management policies, including potential mergers or acquisitions, payment of dividends, asset sales, amendment of our certificate of incorporation or bylaws and other significant corporate transactions for so long as KKR and their affiliates retain significant ownership of us. KKR and their affiliates may also influence us to make significant changes to our business operations and strategy, including with respect to, among other things, store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7" w:name="page48"/>
    <w:bookmarkEnd w:id="47"/>
    <w:p>
      <w:pPr>
        <w:jc w:val="both"/>
        <w:spacing w:after="0" w:line="254" w:lineRule="auto"/>
        <w:rPr>
          <w:sz w:val="20"/>
          <w:szCs w:val="20"/>
          <w:color w:val="auto"/>
        </w:rPr>
      </w:pPr>
      <w:r>
        <w:rPr>
          <w:rFonts w:ascii="Arial" w:cs="Arial" w:eastAsia="Arial" w:hAnsi="Arial"/>
          <w:sz w:val="18"/>
          <w:szCs w:val="18"/>
          <w:color w:val="auto"/>
        </w:rPr>
        <w:t>openings and closings, new product and service offerings, team member headcount levels and initiatives to reduce costs and expenses. This concentration of our ownership may delay or deter possible changes in control of the Company, which may reduce the value of an investment in our common stock. So long as KKR continues to own a significant amount of our voting power, even if such amount is less than 50%, KKR will continue to be able to strongly influence or effectively control our decisions and, so long as KKR and their affiliates collectively own at least 5% of all outstanding shares of our stock entitled to vote generally in the election of directors, KKR will be able to nominate individuals to our board of directors under the stockholders agreement. The interests of KKR may not coincide with the interests of other holders of our common stock. See Note 12 to the financial statements included in this Quarterly Report.</w:t>
      </w:r>
    </w:p>
    <w:p>
      <w:pPr>
        <w:spacing w:after="0" w:line="8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the ordinary course of their business activities, KKR and their affiliates may engage in activities where their interests conflict with our interests or those of our stockholders. Our amended and restated certificate of incorporation provides that any of KKR, any of their affiliates or any director who is not employed by us (including any non-employee director who serves as one of our officers in both his or her director and officer capacities) or his or her affiliates do not have any duty to refrain from engaging, directly or indirectly, in the same business activities or similar business activities or lines of business in which we operate. KKR and their affiliates also may pursue acquisition opportunities that may be complementary to our business and, as a result, those acquisition opportunities may not be available to us. In addition, KKR may have an interest in pursuing acquisitions, divestitures and other transactions that, in their judgment, could enhance their investment, even though such transactions might involve risks to you.</w:t>
      </w:r>
    </w:p>
    <w:p>
      <w:pPr>
        <w:spacing w:after="0" w:line="69"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In addition, KKR and their affiliates will be able to significantly influence the outcome of all matters requiring stockholder approval, including the election of our board of directors and potential acquisition of the Company. This concentration of voting control could deprive you of an opportunity to receive a premium for your shares of common stock as part of a sale of the Company and ultimately might affect the market price of our common stock.</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As discussed further in Note 1 (see “May 2021 Secondary Offering and Stock Repurchase”) to the financial statements included in this Quarterly Report, in connection with the May 2021 Secondary Offering, we repurchased 3,229,974 shares from the May 2021 Selling Stockholders at a price of $30.96 per share. We did not otherwise repurchase any shares of our common stock during the three months ended July 31, 2021.</w:t>
      </w:r>
    </w:p>
    <w:p>
      <w:pPr>
        <w:spacing w:after="0" w:line="19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7"/>
          <w:szCs w:val="17"/>
          <w:color w:val="auto"/>
        </w:rPr>
        <w:t>Subsequent to the quarter end, on September 2, 2021, our Board of Directors authorized a new share repurchase program under which the Company may purchase up to $500 million of its outstanding shares during the three-year period ending September 2, 2024. Under the share repurchase program, repurchases can be made using a variety of methods, which may include open market purchases, block trades, privately negotiated transactions and/or a non-discretionary trading plan, all in compliance with the rules of the SEC and other applicable legal requirements. The timing, manner, price and amount of any common share repurchases will be determined by the Company in its discretion and will depend on a variety of factors, including legal requirements, price and economic and market conditions. The share repurchase program does not obligate the Company to acquire any particular number of common shares, and the program may be suspended, extended, modified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Arrangements of Certain Officers</w:t>
      </w:r>
    </w:p>
    <w:p>
      <w:pPr>
        <w:spacing w:after="0" w:line="23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7"/>
          <w:szCs w:val="17"/>
          <w:color w:val="auto"/>
        </w:rPr>
        <w:t>The Compensation Committee (the “Committee”) of the Board of Directors (the “Board”) of the Company, in consultation with the Committee’s independent compensation consultant, undertook a review of the annual compensation of certain of the Company’s named executive officers.</w:t>
      </w:r>
    </w:p>
    <w:p>
      <w:pPr>
        <w:spacing w:after="0" w:line="17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6"/>
          <w:szCs w:val="16"/>
          <w:color w:val="auto"/>
        </w:rPr>
        <w:t>On September 5, 2021, the Committee approved increases to the annual base salary and target annual bonus opportunity of Mr. Mullican, Mr. Johnson, and Ms. Rutherford for fiscal 2021, as follows: (i) for Mr. Mullican, a base salary increase from $570,000 to $675,000 and a target bonus opportunity percentage increase from 100% to 120% of base salary, resulting in a target bonus opportunity increase from $570,000 to $810,000; (ii) for Mr. Johnson, a base salary increase from $527,500 to $577,500 and a target bonus opportunity percentage increase from 100% to 120% of base salary, resulting in a target bonus opportunity increase from $527,500 to $693,000; and (iii) for Ms. Rutherford, a base salary increase from $361,000 to $386,000, resulting in a target bonus opportunity increase from $270,750 to $289,500. These base salary increases are effective as of September 5, 2021.</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8" w:name="page49"/>
    <w:bookmarkEnd w:id="48"/>
    <w:p>
      <w:pPr>
        <w:jc w:val="both"/>
        <w:ind w:firstLine="243"/>
        <w:spacing w:after="0" w:line="276" w:lineRule="auto"/>
        <w:rPr>
          <w:sz w:val="20"/>
          <w:szCs w:val="20"/>
          <w:color w:val="auto"/>
        </w:rPr>
      </w:pPr>
      <w:r>
        <w:rPr>
          <w:rFonts w:ascii="Arial" w:cs="Arial" w:eastAsia="Arial" w:hAnsi="Arial"/>
          <w:sz w:val="16"/>
          <w:szCs w:val="16"/>
          <w:color w:val="auto"/>
        </w:rPr>
        <w:t>Additionally, on September 7, 2021, the Board, upon the recommendation of the Committee, approved a special onetime restricted stock unit award (each an “Executive Retention Award”) under the Company’s 2020 Omnibus Incentive Plan to Steven P. Lawrence (EVP, Chief Merchandising Officer), Michael P. Mullican (EVP, Chief Financial Officer), Sam J. Johnson (EVP, Retail Operations), and Jamey T. Rutherford (SVP, Omnichannel). The Executive Retention Awards have an effective grant date of the first trading day after the Company’s second quarter fiscal 2021 earnings release date and a grant date fair value of $1,000,000 for Messrs. Lawrence, Mullican and Johnson, respectively, and $750,000 for Ms. Rutherford, and will vest in 50% increments on the second and third anniversaries of the grant date, subject to the executive’s continued employment through the applicable vesting date.</w:t>
      </w:r>
    </w:p>
    <w:p>
      <w:pPr>
        <w:spacing w:after="0" w:line="189"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6"/>
          <w:szCs w:val="16"/>
          <w:color w:val="auto"/>
        </w:rPr>
        <w:t>The Board and Committee believe that the strategic leadership of Messrs. Lawrence, Mullican and Johnson, and Ms. Rutherford has been a key driver of the Company’s success to date, and that the Executive Retention Awards and the annual base salary and target annual bonus opportunity increases, in combination with other elements of their compensation, provide a market-competitive package designed to reward their strong performance, provides an ongoing motivating incentive to drive results, increase their alignment with stockholders, and retain their services for the Company’s long-term growth. The Executive Retention Awards also reflect the Board’s and the Committee’s desire to increase the proportion of unvested equity ownership held by Messrs. Lawrence, Mullican and Johnson and Ms. Rutherford, particularly in light of the Company’s May 2021 secondary offering that resulted in a change of control event which caused all equity awards granted to them under the Company’s 2011 Unit Incentive Plan to vest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w w:val="99"/>
              </w:rPr>
              <w:t>Exhibit Number</w:t>
            </w:r>
          </w:p>
        </w:tc>
        <w:tc>
          <w:tcPr>
            <w:tcW w:w="9740" w:type="dxa"/>
            <w:vAlign w:val="bottom"/>
            <w:tcBorders>
              <w:bottom w:val="single" w:sz="8" w:color="auto"/>
            </w:tcBorders>
          </w:tcPr>
          <w:p>
            <w:pPr>
              <w:ind w:left="4060"/>
              <w:spacing w:after="0"/>
              <w:rPr>
                <w:sz w:val="20"/>
                <w:szCs w:val="20"/>
                <w:color w:val="auto"/>
              </w:rPr>
            </w:pPr>
            <w:r>
              <w:rPr>
                <w:rFonts w:ascii="Arial" w:cs="Arial" w:eastAsia="Arial" w:hAnsi="Arial"/>
                <w:sz w:val="18"/>
                <w:szCs w:val="18"/>
                <w:b w:val="1"/>
                <w:bCs w:val="1"/>
                <w:color w:val="auto"/>
              </w:rPr>
              <w:t>Description of Exhibit</w:t>
            </w:r>
          </w:p>
        </w:tc>
      </w:tr>
      <w:tr>
        <w:trPr>
          <w:trHeight w:val="183"/>
        </w:trPr>
        <w:tc>
          <w:tcPr>
            <w:tcW w:w="440" w:type="dxa"/>
            <w:vAlign w:val="bottom"/>
            <w:gridSpan w:val="3"/>
            <w:shd w:val="clear" w:color="auto" w:fill="CCEEFF"/>
          </w:tcPr>
          <w:p>
            <w:pPr>
              <w:ind w:left="20"/>
              <w:spacing w:after="0" w:line="182" w:lineRule="exact"/>
              <w:rPr>
                <w:rFonts w:ascii="Arial" w:cs="Arial" w:eastAsia="Arial" w:hAnsi="Arial"/>
                <w:sz w:val="18"/>
                <w:szCs w:val="18"/>
                <w:color w:val="0000FF"/>
              </w:rPr>
            </w:pPr>
            <w:hyperlink r:id="rId60">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740" w:type="dxa"/>
            <w:vAlign w:val="bottom"/>
            <w:shd w:val="clear" w:color="auto" w:fill="CCEEFF"/>
          </w:tcPr>
          <w:p>
            <w:pPr>
              <w:ind w:left="80"/>
              <w:spacing w:after="0" w:line="182" w:lineRule="exact"/>
              <w:rPr>
                <w:sz w:val="20"/>
                <w:szCs w:val="20"/>
                <w:color w:val="auto"/>
              </w:rPr>
            </w:pPr>
            <w:r>
              <w:rPr>
                <w:rFonts w:ascii="Arial" w:cs="Arial" w:eastAsia="Arial" w:hAnsi="Arial"/>
                <w:sz w:val="18"/>
                <w:szCs w:val="18"/>
                <w:color w:val="auto"/>
                <w:w w:val="90"/>
              </w:rPr>
              <w:t>Amendment No. 4, dated May 25, 2021, to the Second Amended and Restated Credit Agreement among Academy, Ltd., as Borrower,</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9740" w:type="dxa"/>
            <w:vAlign w:val="bottom"/>
            <w:tcBorders>
              <w:top w:val="single" w:sz="8" w:color="CCEEFF"/>
            </w:tcBorders>
            <w:shd w:val="clear" w:color="auto" w:fill="CCEEFF"/>
          </w:tcPr>
          <w:p>
            <w:pPr>
              <w:ind w:left="80"/>
              <w:spacing w:after="0" w:line="142" w:lineRule="exact"/>
              <w:rPr>
                <w:sz w:val="20"/>
                <w:szCs w:val="20"/>
                <w:color w:val="auto"/>
              </w:rPr>
            </w:pPr>
            <w:r>
              <w:rPr>
                <w:rFonts w:ascii="Arial" w:cs="Arial" w:eastAsia="Arial" w:hAnsi="Arial"/>
                <w:sz w:val="16"/>
                <w:szCs w:val="16"/>
                <w:color w:val="auto"/>
              </w:rPr>
              <w:t>Credit Suisse AG, Cayman Islands Branch, as the administrative agent and collateral agent, the several lenders party thereto and the</w:t>
            </w: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74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1"/>
              </w:rPr>
              <w:t>several other parties named therein (incorporated herein by reference to Exhibit 10.1 to the Registrant’s Current Report on Form 8-K</w:t>
            </w: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filed on May 25, 2021).</w:t>
            </w:r>
          </w:p>
        </w:tc>
      </w:tr>
      <w:tr>
        <w:trPr>
          <w:trHeight w:val="189"/>
        </w:trPr>
        <w:tc>
          <w:tcPr>
            <w:tcW w:w="520" w:type="dxa"/>
            <w:vAlign w:val="bottom"/>
            <w:gridSpan w:val="4"/>
          </w:tcPr>
          <w:p>
            <w:pPr>
              <w:ind w:left="20"/>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Arial" w:cs="Arial" w:eastAsia="Arial" w:hAnsi="Arial"/>
                <w:sz w:val="18"/>
                <w:szCs w:val="18"/>
                <w:color w:val="auto"/>
              </w:rPr>
              <w:t>Certification of Periodic Report by Chief Executive Officer under Section 302 of the Sarbanes-Oxley Act of 2002.</w:t>
            </w: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2"/>
            <w:shd w:val="clear" w:color="auto" w:fill="CCEEFF"/>
          </w:tcPr>
          <w:p>
            <w:pPr>
              <w:spacing w:after="0" w:line="189" w:lineRule="exact"/>
              <w:rPr>
                <w:rFonts w:ascii="Arial" w:cs="Arial" w:eastAsia="Arial" w:hAnsi="Arial"/>
                <w:sz w:val="18"/>
                <w:szCs w:val="18"/>
                <w:color w:val="0000FF"/>
                <w:w w:val="95"/>
              </w:rPr>
            </w:pPr>
            <w:hyperlink w:anchor="page53">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hyperlink>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9740" w:type="dxa"/>
            <w:vAlign w:val="bottom"/>
            <w:tcBorders>
              <w:bottom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Certification of Periodic Report by Chief Financial Officer under Section 302 of the Sarbanes-Oxley Act of 2002.</w:t>
            </w:r>
          </w:p>
        </w:tc>
      </w:tr>
      <w:tr>
        <w:trPr>
          <w:trHeight w:val="189"/>
        </w:trPr>
        <w:tc>
          <w:tcPr>
            <w:tcW w:w="1500" w:type="dxa"/>
            <w:vAlign w:val="bottom"/>
            <w:gridSpan w:val="5"/>
          </w:tcPr>
          <w:p>
            <w:pPr>
              <w:ind w:left="20"/>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9740" w:type="dxa"/>
            <w:vAlign w:val="bottom"/>
          </w:tcPr>
          <w:p>
            <w:pPr>
              <w:ind w:left="80"/>
              <w:spacing w:after="0" w:line="189" w:lineRule="exact"/>
              <w:rPr>
                <w:sz w:val="20"/>
                <w:szCs w:val="20"/>
                <w:color w:val="auto"/>
              </w:rPr>
            </w:pPr>
            <w:r>
              <w:rPr>
                <w:rFonts w:ascii="Arial" w:cs="Arial" w:eastAsia="Arial" w:hAnsi="Arial"/>
                <w:sz w:val="18"/>
                <w:szCs w:val="18"/>
                <w:color w:val="auto"/>
                <w:w w:val="94"/>
              </w:rPr>
              <w:t>Certification of Chief Executive Officer Pursuant to 18 U.S.C. Section 1350 as Adopted Pursuant to Section 906 of the Sarbanes-</w:t>
            </w:r>
          </w:p>
        </w:tc>
      </w:tr>
      <w:tr>
        <w:trPr>
          <w:trHeight w:val="196"/>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980" w:type="dxa"/>
            <w:vAlign w:val="bottom"/>
          </w:tcPr>
          <w:p>
            <w:pPr>
              <w:spacing w:after="0"/>
              <w:rPr>
                <w:sz w:val="17"/>
                <w:szCs w:val="17"/>
                <w:color w:val="auto"/>
              </w:rPr>
            </w:pPr>
          </w:p>
        </w:tc>
        <w:tc>
          <w:tcPr>
            <w:tcW w:w="9740" w:type="dxa"/>
            <w:vAlign w:val="bottom"/>
          </w:tcPr>
          <w:p>
            <w:pPr>
              <w:ind w:left="80"/>
              <w:spacing w:after="0" w:line="196" w:lineRule="exact"/>
              <w:rPr>
                <w:sz w:val="20"/>
                <w:szCs w:val="20"/>
                <w:color w:val="auto"/>
              </w:rPr>
            </w:pPr>
            <w:r>
              <w:rPr>
                <w:rFonts w:ascii="Arial" w:cs="Arial" w:eastAsia="Arial" w:hAnsi="Arial"/>
                <w:sz w:val="18"/>
                <w:szCs w:val="18"/>
                <w:color w:val="auto"/>
              </w:rPr>
              <w:t>Oxley Act of 2002.</w:t>
            </w:r>
          </w:p>
        </w:tc>
      </w:tr>
      <w:tr>
        <w:trPr>
          <w:trHeight w:val="189"/>
        </w:trPr>
        <w:tc>
          <w:tcPr>
            <w:tcW w:w="1500" w:type="dxa"/>
            <w:vAlign w:val="bottom"/>
            <w:gridSpan w:val="5"/>
            <w:shd w:val="clear" w:color="auto" w:fill="CCEEFF"/>
          </w:tcPr>
          <w:p>
            <w:pPr>
              <w:ind w:left="20"/>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974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w w:val="94"/>
              </w:rPr>
              <w:t>Certification of Chief Financial Officer Pursuant to 18 U.S.C. Section 1350 as Adopted Pursuant to Section 906 of the Sarbanes-</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974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Oxley Act of 2002.</w:t>
            </w:r>
          </w:p>
        </w:tc>
      </w:tr>
      <w:tr>
        <w:trPr>
          <w:trHeight w:val="175"/>
        </w:trPr>
        <w:tc>
          <w:tcPr>
            <w:tcW w:w="20" w:type="dxa"/>
            <w:vAlign w:val="bottom"/>
          </w:tcPr>
          <w:p>
            <w:pPr>
              <w:spacing w:after="0"/>
              <w:rPr>
                <w:sz w:val="15"/>
                <w:szCs w:val="15"/>
                <w:color w:val="auto"/>
              </w:rPr>
            </w:pPr>
          </w:p>
        </w:tc>
        <w:tc>
          <w:tcPr>
            <w:tcW w:w="1480" w:type="dxa"/>
            <w:vAlign w:val="bottom"/>
            <w:gridSpan w:val="4"/>
          </w:tcPr>
          <w:p>
            <w:pPr>
              <w:spacing w:after="0" w:line="176" w:lineRule="exact"/>
              <w:rPr>
                <w:sz w:val="20"/>
                <w:szCs w:val="20"/>
                <w:color w:val="auto"/>
              </w:rPr>
            </w:pPr>
            <w:r>
              <w:rPr>
                <w:rFonts w:ascii="Arial" w:cs="Arial" w:eastAsia="Arial" w:hAnsi="Arial"/>
                <w:sz w:val="18"/>
                <w:szCs w:val="18"/>
                <w:color w:val="auto"/>
              </w:rPr>
              <w:t>101.INS</w:t>
            </w:r>
          </w:p>
        </w:tc>
        <w:tc>
          <w:tcPr>
            <w:tcW w:w="9740" w:type="dxa"/>
            <w:vAlign w:val="bottom"/>
          </w:tcPr>
          <w:p>
            <w:pPr>
              <w:ind w:left="80"/>
              <w:spacing w:after="0" w:line="176" w:lineRule="exact"/>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within the Inline XBRL document.</w:t>
            </w:r>
          </w:p>
        </w:tc>
      </w:tr>
      <w:tr>
        <w:trPr>
          <w:trHeight w:val="229"/>
        </w:trPr>
        <w:tc>
          <w:tcPr>
            <w:tcW w:w="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101.SCH</w:t>
            </w: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229"/>
        </w:trPr>
        <w:tc>
          <w:tcPr>
            <w:tcW w:w="20" w:type="dxa"/>
            <w:vAlign w:val="bottom"/>
          </w:tcPr>
          <w:p>
            <w:pPr>
              <w:spacing w:after="0"/>
              <w:rPr>
                <w:sz w:val="19"/>
                <w:szCs w:val="19"/>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101.CAL</w:t>
            </w:r>
          </w:p>
        </w:tc>
        <w:tc>
          <w:tcPr>
            <w:tcW w:w="9740" w:type="dxa"/>
            <w:vAlign w:val="bottom"/>
          </w:tcPr>
          <w:p>
            <w:pPr>
              <w:ind w:left="80"/>
              <w:spacing w:after="0"/>
              <w:rPr>
                <w:sz w:val="20"/>
                <w:szCs w:val="20"/>
                <w:color w:val="auto"/>
              </w:rPr>
            </w:pPr>
            <w:r>
              <w:rPr>
                <w:rFonts w:ascii="Arial" w:cs="Arial" w:eastAsia="Arial" w:hAnsi="Arial"/>
                <w:sz w:val="18"/>
                <w:szCs w:val="18"/>
                <w:color w:val="auto"/>
              </w:rPr>
              <w:t>XBRL Taxonomy Calculation Linkbase Document</w:t>
            </w:r>
          </w:p>
        </w:tc>
      </w:tr>
      <w:tr>
        <w:trPr>
          <w:trHeight w:val="230"/>
        </w:trPr>
        <w:tc>
          <w:tcPr>
            <w:tcW w:w="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101.DEF</w:t>
            </w: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Taxonomy Definition Linkbase Document</w:t>
            </w:r>
          </w:p>
        </w:tc>
      </w:tr>
      <w:tr>
        <w:trPr>
          <w:trHeight w:val="229"/>
        </w:trPr>
        <w:tc>
          <w:tcPr>
            <w:tcW w:w="20" w:type="dxa"/>
            <w:vAlign w:val="bottom"/>
          </w:tcPr>
          <w:p>
            <w:pPr>
              <w:spacing w:after="0"/>
              <w:rPr>
                <w:sz w:val="19"/>
                <w:szCs w:val="19"/>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101.LAB</w:t>
            </w:r>
          </w:p>
        </w:tc>
        <w:tc>
          <w:tcPr>
            <w:tcW w:w="9740" w:type="dxa"/>
            <w:vAlign w:val="bottom"/>
          </w:tcPr>
          <w:p>
            <w:pPr>
              <w:ind w:left="80"/>
              <w:spacing w:after="0"/>
              <w:rPr>
                <w:sz w:val="20"/>
                <w:szCs w:val="20"/>
                <w:color w:val="auto"/>
              </w:rPr>
            </w:pPr>
            <w:r>
              <w:rPr>
                <w:rFonts w:ascii="Arial" w:cs="Arial" w:eastAsia="Arial" w:hAnsi="Arial"/>
                <w:sz w:val="18"/>
                <w:szCs w:val="18"/>
                <w:color w:val="auto"/>
              </w:rPr>
              <w:t>XBRL Taxonomy Label Linkbase Document</w:t>
            </w:r>
          </w:p>
        </w:tc>
      </w:tr>
      <w:tr>
        <w:trPr>
          <w:trHeight w:val="230"/>
        </w:trPr>
        <w:tc>
          <w:tcPr>
            <w:tcW w:w="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101.PRE</w:t>
            </w: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Taxonomy Presentation Linkbase Document</w:t>
            </w: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740" w:type="dxa"/>
            <w:vAlign w:val="bottom"/>
          </w:tcPr>
          <w:p>
            <w:pPr>
              <w:spacing w:after="0"/>
              <w:rPr>
                <w:sz w:val="23"/>
                <w:szCs w:val="23"/>
                <w:color w:val="auto"/>
              </w:rPr>
            </w:pPr>
          </w:p>
        </w:tc>
      </w:tr>
      <w:tr>
        <w:trPr>
          <w:trHeight w:val="229"/>
        </w:trPr>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Furnished herewith</w:t>
            </w:r>
          </w:p>
        </w:tc>
      </w:tr>
    </w:tbl>
    <w:p>
      <w:pPr>
        <w:spacing w:after="0" w:line="2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September 9, 2021 on its behalf by the undersigned, thereto duly authorized.</w:t>
      </w:r>
    </w:p>
    <w:p>
      <w:pPr>
        <w:spacing w:after="0" w:line="23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14"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C. HICKS</w:t>
            </w:r>
          </w:p>
        </w:tc>
      </w:tr>
      <w:tr>
        <w:trPr>
          <w:trHeight w:val="222"/>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Ken C. Hicks</w:t>
            </w:r>
          </w:p>
        </w:tc>
      </w:tr>
      <w:tr>
        <w:trPr>
          <w:trHeight w:val="230"/>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7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P. MULLICAN</w:t>
            </w:r>
          </w:p>
        </w:tc>
      </w:tr>
      <w:tr>
        <w:trPr>
          <w:trHeight w:val="222"/>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Michael P. Mullican</w:t>
            </w:r>
          </w:p>
        </w:tc>
      </w:tr>
      <w:tr>
        <w:trPr>
          <w:trHeight w:val="229"/>
        </w:trPr>
        <w:tc>
          <w:tcPr>
            <w:tcW w:w="7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7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093"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Ken C. Hicks, certify that:</w:t>
      </w:r>
    </w:p>
    <w:p>
      <w:pPr>
        <w:spacing w:after="0" w:line="117" w:lineRule="exact"/>
        <w:rPr>
          <w:sz w:val="20"/>
          <w:szCs w:val="20"/>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July 31, 2021 (this “Report”) of Academy Sports and Outdoors, Inc. (the “Registrant”);</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3" w:lineRule="auto"/>
        <w:tabs>
          <w:tab w:leader="none" w:pos="12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C. HICKS</w:t>
            </w:r>
          </w:p>
        </w:tc>
        <w:tc>
          <w:tcPr>
            <w:tcW w:w="5040" w:type="dxa"/>
            <w:vAlign w:val="bottom"/>
          </w:tcPr>
          <w:p>
            <w:pPr>
              <w:ind w:left="4400"/>
              <w:spacing w:after="0"/>
              <w:rPr>
                <w:sz w:val="20"/>
                <w:szCs w:val="20"/>
                <w:color w:val="auto"/>
              </w:rPr>
            </w:pPr>
            <w:r>
              <w:rPr>
                <w:rFonts w:ascii="Arial" w:cs="Arial" w:eastAsia="Arial" w:hAnsi="Arial"/>
                <w:sz w:val="18"/>
                <w:szCs w:val="18"/>
                <w:color w:val="auto"/>
              </w:rPr>
              <w:t>Date:</w:t>
            </w:r>
          </w:p>
        </w:tc>
        <w:tc>
          <w:tcPr>
            <w:tcW w:w="1620" w:type="dxa"/>
            <w:vAlign w:val="bottom"/>
          </w:tcPr>
          <w:p>
            <w:pPr>
              <w:ind w:left="260"/>
              <w:spacing w:after="0"/>
              <w:rPr>
                <w:sz w:val="20"/>
                <w:szCs w:val="20"/>
                <w:color w:val="auto"/>
              </w:rPr>
            </w:pPr>
            <w:r>
              <w:rPr>
                <w:rFonts w:ascii="Arial" w:cs="Arial" w:eastAsia="Arial" w:hAnsi="Arial"/>
                <w:sz w:val="18"/>
                <w:szCs w:val="18"/>
                <w:color w:val="auto"/>
                <w:w w:val="87"/>
              </w:rPr>
              <w:t>September 9, 2021</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Ken C. Hicks</w:t>
            </w:r>
          </w:p>
        </w:tc>
        <w:tc>
          <w:tcPr>
            <w:tcW w:w="50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c>
          <w:tcPr>
            <w:tcW w:w="50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504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P. Mullican, certify that:</w:t>
      </w:r>
    </w:p>
    <w:p>
      <w:pPr>
        <w:spacing w:after="0" w:line="117" w:lineRule="exact"/>
        <w:rPr>
          <w:sz w:val="20"/>
          <w:szCs w:val="20"/>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July 31, 2021 (this “Report”) of Academy Sports and Outdoors, Inc. (the “Registrant”);</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3" w:lineRule="auto"/>
        <w:tabs>
          <w:tab w:leader="none" w:pos="12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P. MULLICAN</w:t>
            </w:r>
          </w:p>
        </w:tc>
        <w:tc>
          <w:tcPr>
            <w:tcW w:w="5040" w:type="dxa"/>
            <w:vAlign w:val="bottom"/>
          </w:tcPr>
          <w:p>
            <w:pPr>
              <w:ind w:left="4400"/>
              <w:spacing w:after="0"/>
              <w:rPr>
                <w:sz w:val="20"/>
                <w:szCs w:val="20"/>
                <w:color w:val="auto"/>
              </w:rPr>
            </w:pPr>
            <w:r>
              <w:rPr>
                <w:rFonts w:ascii="Arial" w:cs="Arial" w:eastAsia="Arial" w:hAnsi="Arial"/>
                <w:sz w:val="18"/>
                <w:szCs w:val="18"/>
                <w:color w:val="auto"/>
              </w:rPr>
              <w:t>Date:</w:t>
            </w:r>
          </w:p>
        </w:tc>
        <w:tc>
          <w:tcPr>
            <w:tcW w:w="1620" w:type="dxa"/>
            <w:vAlign w:val="bottom"/>
          </w:tcPr>
          <w:p>
            <w:pPr>
              <w:ind w:left="260"/>
              <w:spacing w:after="0"/>
              <w:rPr>
                <w:sz w:val="20"/>
                <w:szCs w:val="20"/>
                <w:color w:val="auto"/>
              </w:rPr>
            </w:pPr>
            <w:r>
              <w:rPr>
                <w:rFonts w:ascii="Arial" w:cs="Arial" w:eastAsia="Arial" w:hAnsi="Arial"/>
                <w:sz w:val="18"/>
                <w:szCs w:val="18"/>
                <w:color w:val="auto"/>
                <w:w w:val="87"/>
              </w:rPr>
              <w:t>September 9, 2021</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Michael P. Mullican</w:t>
            </w:r>
          </w:p>
        </w:tc>
        <w:tc>
          <w:tcPr>
            <w:tcW w:w="50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50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504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on Form 10-Q of Academy Sports and Outdoors, Inc. (the “Company”) for the quarterly period ended July 31, 2021, as filed with the Securities and Exchange Commission on the date hereof (the “Report”), I, Ken C. Hicks, Chairman, President and Chief Executive Officer of the Company, do hereby certify, pursuant to 18 U.S.C. Section 1350, as adopted pursuant to Section 906 of the Sarbanes-Oxley Act of 2002, that:</w:t>
      </w:r>
    </w:p>
    <w:p>
      <w:pPr>
        <w:spacing w:after="0" w:line="4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/s/  KEN C. HICKS</w:t>
            </w:r>
          </w:p>
        </w:tc>
        <w:tc>
          <w:tcPr>
            <w:tcW w:w="4480" w:type="dxa"/>
            <w:vAlign w:val="bottom"/>
            <w:gridSpan w:val="2"/>
          </w:tcPr>
          <w:p>
            <w:pPr>
              <w:ind w:left="2700"/>
              <w:spacing w:after="0"/>
              <w:rPr>
                <w:sz w:val="20"/>
                <w:szCs w:val="20"/>
                <w:color w:val="auto"/>
              </w:rPr>
            </w:pPr>
            <w:r>
              <w:rPr>
                <w:rFonts w:ascii="Arial" w:cs="Arial" w:eastAsia="Arial" w:hAnsi="Arial"/>
                <w:sz w:val="18"/>
                <w:szCs w:val="18"/>
                <w:color w:val="auto"/>
                <w:w w:val="87"/>
              </w:rPr>
              <w:t>Date: September 9, 2021</w:t>
            </w:r>
          </w:p>
        </w:tc>
      </w:tr>
      <w:tr>
        <w:trPr>
          <w:trHeight w:val="222"/>
        </w:trPr>
        <w:tc>
          <w:tcPr>
            <w:tcW w:w="6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Ken C. Hicks</w:t>
            </w:r>
          </w:p>
        </w:tc>
        <w:tc>
          <w:tcPr>
            <w:tcW w:w="3100" w:type="dxa"/>
            <w:vAlign w:val="bottom"/>
            <w:tcBorders>
              <w:top w:val="single" w:sz="8" w:color="auto"/>
            </w:tcBorders>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c>
          <w:tcPr>
            <w:tcW w:w="3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310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Academy Sports and Outdoors, Inc. (the “Company”) for the quarterly period ended July 31, 2021, as filed with the Securities and Exchange Commission on the date hereof (the “Report”), I, Michael P. Mullican, Executive Vice President and Chief Financial Officer of the Company, do hereby certify, pursuant to 18 U.S.C. Section 1350, as adopted pursuant to Section 906 of the Sarbanes-Oxley Act of 2002, that:</w:t>
      </w:r>
    </w:p>
    <w:p>
      <w:pPr>
        <w:spacing w:after="0" w:line="7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/s/  MICHAEL P. MULLICAN</w:t>
            </w:r>
          </w:p>
        </w:tc>
        <w:tc>
          <w:tcPr>
            <w:tcW w:w="4340" w:type="dxa"/>
            <w:vAlign w:val="bottom"/>
            <w:gridSpan w:val="2"/>
          </w:tcPr>
          <w:p>
            <w:pPr>
              <w:ind w:left="2560"/>
              <w:spacing w:after="0"/>
              <w:rPr>
                <w:sz w:val="20"/>
                <w:szCs w:val="20"/>
                <w:color w:val="auto"/>
              </w:rPr>
            </w:pPr>
            <w:r>
              <w:rPr>
                <w:rFonts w:ascii="Arial" w:cs="Arial" w:eastAsia="Arial" w:hAnsi="Arial"/>
                <w:sz w:val="18"/>
                <w:szCs w:val="18"/>
                <w:color w:val="auto"/>
                <w:w w:val="87"/>
              </w:rPr>
              <w:t>Date: September 9, 2021</w:t>
            </w:r>
          </w:p>
        </w:tc>
      </w:tr>
      <w:tr>
        <w:trPr>
          <w:trHeight w:val="222"/>
        </w:trPr>
        <w:tc>
          <w:tcPr>
            <w:tcW w:w="6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P. Mullican</w:t>
            </w:r>
          </w:p>
        </w:tc>
        <w:tc>
          <w:tcPr>
            <w:tcW w:w="2960" w:type="dxa"/>
            <w:vAlign w:val="bottom"/>
            <w:tcBorders>
              <w:top w:val="single" w:sz="8" w:color="auto"/>
            </w:tcBorders>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29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296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amp;"/>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lowerLetter"/>
      <w:start w:val="7"/>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lowerLetter"/>
      <w:start w:val="7"/>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1" Type="http://schemas.openxmlformats.org/officeDocument/2006/relationships/image" Target="media/image53.png"/><Relationship Id="rId60" Type="http://schemas.openxmlformats.org/officeDocument/2006/relationships/hyperlink" Target="http://www.sec.gov/Archives/edgar/data/0001817358/000181735821000102/exh101-asoxamendmentno4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2021-09-09T15:11:01Z</dcterms:created>
  <dcterms:modified xsi:type="dcterms:W3CDTF">2021-09-09T15:11:01Z</dcterms:modified>
</cp:coreProperties>
</file>